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DBB" w:rsidRDefault="00360AAE">
      <w:pPr>
        <w:pStyle w:val="Textoindependiente"/>
        <w:spacing w:after="120" w:line="288" w:lineRule="auto"/>
        <w:rPr>
          <w:rFonts w:ascii="Cambria" w:hAnsi="Cambria"/>
          <w:sz w:val="36"/>
        </w:rPr>
      </w:pPr>
      <w:bookmarkStart w:id="0" w:name="_GoBack"/>
      <w:bookmarkEnd w:id="0"/>
      <w:r>
        <w:rPr>
          <w:rFonts w:ascii="Cambria" w:hAnsi="Cambria"/>
          <w:sz w:val="36"/>
        </w:rPr>
        <w:t>Indicaciones para la realización del Balance Anual de Ciencia Tecnología e Innovación del año 201</w:t>
      </w:r>
      <w:r>
        <w:rPr>
          <w:rFonts w:ascii="Cambria" w:hAnsi="Cambria"/>
          <w:sz w:val="36"/>
          <w:lang w:val="es-AR"/>
        </w:rPr>
        <w:t>8</w:t>
      </w:r>
    </w:p>
    <w:p w:rsidR="00FE4DBB" w:rsidRDefault="00FE4DBB">
      <w:pPr>
        <w:pStyle w:val="Textoindependiente"/>
        <w:spacing w:after="120" w:line="288" w:lineRule="auto"/>
        <w:rPr>
          <w:rFonts w:ascii="Arial" w:hAnsi="Arial" w:cs="Arial"/>
          <w:b w:val="0"/>
          <w:sz w:val="28"/>
        </w:rPr>
      </w:pPr>
    </w:p>
    <w:p w:rsidR="00FE4DBB" w:rsidRDefault="00360AAE">
      <w:pPr>
        <w:pStyle w:val="Ttulo4"/>
        <w:spacing w:after="120" w:line="288" w:lineRule="auto"/>
        <w:ind w:hanging="28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INTRODUCCIÓN </w:t>
      </w:r>
    </w:p>
    <w:p w:rsidR="00FE4DBB" w:rsidRDefault="00360AAE">
      <w:pPr>
        <w:spacing w:after="120" w:line="288" w:lineRule="auto"/>
        <w:ind w:left="390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sz w:val="24"/>
          <w:lang w:val="es-MX"/>
        </w:rPr>
        <w:t xml:space="preserve">Este año es el </w:t>
      </w:r>
      <w:r>
        <w:rPr>
          <w:rFonts w:asciiTheme="minorHAnsi" w:hAnsiTheme="minorHAnsi" w:cstheme="minorHAnsi"/>
          <w:sz w:val="24"/>
          <w:lang w:val="es-AR"/>
        </w:rPr>
        <w:t>segundo</w:t>
      </w:r>
      <w:r>
        <w:rPr>
          <w:rFonts w:asciiTheme="minorHAnsi" w:hAnsiTheme="minorHAnsi" w:cstheme="minorHAnsi"/>
          <w:sz w:val="24"/>
          <w:lang w:val="es-MX"/>
        </w:rPr>
        <w:t xml:space="preserve"> del ciclo de plan</w:t>
      </w:r>
      <w:r>
        <w:rPr>
          <w:rFonts w:asciiTheme="minorHAnsi" w:hAnsiTheme="minorHAnsi" w:cstheme="minorHAnsi"/>
          <w:sz w:val="24"/>
          <w:lang w:val="es-AR"/>
        </w:rPr>
        <w:t>ific</w:t>
      </w:r>
      <w:r>
        <w:rPr>
          <w:rFonts w:asciiTheme="minorHAnsi" w:hAnsiTheme="minorHAnsi" w:cstheme="minorHAnsi"/>
          <w:sz w:val="24"/>
          <w:lang w:val="es-MX"/>
        </w:rPr>
        <w:t xml:space="preserve">ación estratégica 2017 – 2021 por lo que el análisis de los diferentes aspectos </w:t>
      </w:r>
      <w:r>
        <w:rPr>
          <w:rFonts w:asciiTheme="minorHAnsi" w:hAnsiTheme="minorHAnsi" w:cstheme="minorHAnsi"/>
          <w:sz w:val="24"/>
          <w:lang w:val="es-MX"/>
        </w:rPr>
        <w:t xml:space="preserve">del balance anual debe de estar encaminado a realizar </w:t>
      </w:r>
      <w:r>
        <w:rPr>
          <w:rFonts w:asciiTheme="minorHAnsi" w:hAnsiTheme="minorHAnsi" w:cstheme="minorHAnsi"/>
          <w:sz w:val="24"/>
          <w:lang w:val="es-AR"/>
        </w:rPr>
        <w:t>un ajuste</w:t>
      </w:r>
      <w:r>
        <w:rPr>
          <w:rFonts w:asciiTheme="minorHAnsi" w:hAnsiTheme="minorHAnsi" w:cstheme="minorHAnsi"/>
          <w:sz w:val="24"/>
          <w:lang w:val="es-MX"/>
        </w:rPr>
        <w:t xml:space="preserve"> de </w:t>
      </w:r>
      <w:r>
        <w:rPr>
          <w:rFonts w:asciiTheme="minorHAnsi" w:hAnsiTheme="minorHAnsi" w:cstheme="minorHAnsi"/>
          <w:sz w:val="24"/>
          <w:lang w:val="es-AR"/>
        </w:rPr>
        <w:t>los objetivos estratégicos</w:t>
      </w:r>
      <w:r>
        <w:rPr>
          <w:rFonts w:asciiTheme="minorHAnsi" w:hAnsiTheme="minorHAnsi" w:cstheme="minorHAnsi"/>
          <w:sz w:val="24"/>
          <w:lang w:val="es-MX"/>
        </w:rPr>
        <w:t xml:space="preserve"> de cada institución </w:t>
      </w:r>
      <w:r>
        <w:rPr>
          <w:rFonts w:asciiTheme="minorHAnsi" w:hAnsiTheme="minorHAnsi" w:cstheme="minorHAnsi"/>
          <w:sz w:val="24"/>
          <w:lang w:val="es-AR"/>
        </w:rPr>
        <w:t>acorde con lo alcanzado en los dos primeros años y poder garantizar un nivel de desempeño que nos permita alcanzar las metas trazadas</w:t>
      </w:r>
      <w:r>
        <w:rPr>
          <w:rFonts w:asciiTheme="minorHAnsi" w:hAnsiTheme="minorHAnsi" w:cstheme="minorHAnsi"/>
          <w:sz w:val="24"/>
          <w:lang w:val="es-MX"/>
        </w:rPr>
        <w:t>.</w:t>
      </w:r>
      <w:r>
        <w:rPr>
          <w:rFonts w:asciiTheme="minorHAnsi" w:hAnsiTheme="minorHAnsi" w:cstheme="minorHAnsi"/>
          <w:color w:val="000000"/>
          <w:sz w:val="24"/>
        </w:rPr>
        <w:t xml:space="preserve"> El aspe</w:t>
      </w:r>
      <w:r>
        <w:rPr>
          <w:rFonts w:asciiTheme="minorHAnsi" w:hAnsiTheme="minorHAnsi" w:cstheme="minorHAnsi"/>
          <w:color w:val="000000"/>
          <w:sz w:val="24"/>
        </w:rPr>
        <w:t xml:space="preserve">cto fundamental de valoración del proceso de balance en cada centro debe girar alrededor de la implementación de la Política Integrada de CTI + FD. </w:t>
      </w:r>
    </w:p>
    <w:p w:rsidR="00FE4DBB" w:rsidRDefault="00FE4DBB">
      <w:pPr>
        <w:rPr>
          <w:rFonts w:asciiTheme="minorHAnsi" w:hAnsiTheme="minorHAnsi" w:cstheme="minorHAnsi"/>
        </w:rPr>
      </w:pPr>
    </w:p>
    <w:p w:rsidR="00FE4DBB" w:rsidRDefault="00360AAE">
      <w:pPr>
        <w:pStyle w:val="Ttulo4"/>
        <w:spacing w:after="120" w:line="288" w:lineRule="auto"/>
        <w:ind w:hanging="28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CONTENIDO DEL INFORME DE BALANCE ANUAL</w:t>
      </w:r>
    </w:p>
    <w:p w:rsidR="00FE4DBB" w:rsidRDefault="00360AAE">
      <w:pPr>
        <w:numPr>
          <w:ilvl w:val="0"/>
          <w:numId w:val="7"/>
        </w:numPr>
        <w:spacing w:before="240" w:after="120" w:line="288" w:lineRule="auto"/>
        <w:rPr>
          <w:rFonts w:asciiTheme="minorHAnsi" w:hAnsiTheme="minorHAnsi" w:cstheme="minorHAnsi"/>
          <w:b/>
          <w:color w:val="000000"/>
          <w:sz w:val="24"/>
          <w:u w:val="single"/>
        </w:rPr>
      </w:pPr>
      <w:r>
        <w:rPr>
          <w:rFonts w:asciiTheme="minorHAnsi" w:hAnsiTheme="minorHAnsi" w:cstheme="minorHAnsi"/>
          <w:b/>
          <w:color w:val="000000"/>
          <w:sz w:val="24"/>
          <w:u w:val="single"/>
        </w:rPr>
        <w:t>Resultados e Impactos de la CTI</w:t>
      </w:r>
    </w:p>
    <w:p w:rsidR="00FE4DBB" w:rsidRDefault="00360AAE">
      <w:pPr>
        <w:spacing w:after="120" w:line="288" w:lineRule="auto"/>
        <w:ind w:left="390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Elementos esenciales de la valoraci</w:t>
      </w:r>
      <w:r>
        <w:rPr>
          <w:rFonts w:asciiTheme="minorHAnsi" w:hAnsiTheme="minorHAnsi" w:cstheme="minorHAnsi"/>
          <w:color w:val="000000"/>
          <w:sz w:val="24"/>
        </w:rPr>
        <w:t>ón cualitativa del trabajo de la CTI, son los resultados de I+D y los impactos logrados en el año. Aunque esta valoración es cualitativa, debe incluir datos que fundamenten el valor del resultado científico y del impacto según sea el caso</w:t>
      </w:r>
    </w:p>
    <w:p w:rsidR="00FE4DBB" w:rsidRDefault="00360AAE">
      <w:pPr>
        <w:spacing w:after="120" w:line="288" w:lineRule="auto"/>
        <w:ind w:left="390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En el Informe deb</w:t>
      </w:r>
      <w:r>
        <w:rPr>
          <w:rFonts w:asciiTheme="minorHAnsi" w:hAnsiTheme="minorHAnsi" w:cstheme="minorHAnsi"/>
          <w:color w:val="000000"/>
          <w:sz w:val="24"/>
        </w:rPr>
        <w:t>e incluirse:</w:t>
      </w:r>
    </w:p>
    <w:p w:rsidR="00FE4DBB" w:rsidRDefault="00360AAE">
      <w:pPr>
        <w:pStyle w:val="Prrafodelista"/>
        <w:numPr>
          <w:ilvl w:val="0"/>
          <w:numId w:val="5"/>
        </w:numPr>
        <w:spacing w:after="120" w:line="288" w:lineRule="auto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Una reseña breve y precisa de los </w:t>
      </w:r>
      <w:r>
        <w:rPr>
          <w:rFonts w:asciiTheme="minorHAnsi" w:hAnsiTheme="minorHAnsi" w:cstheme="minorHAnsi"/>
          <w:color w:val="000000"/>
          <w:sz w:val="24"/>
          <w:u w:val="single"/>
        </w:rPr>
        <w:t xml:space="preserve">PRINCIPALES RESULTADOS </w:t>
      </w:r>
      <w:r>
        <w:rPr>
          <w:rFonts w:asciiTheme="minorHAnsi" w:hAnsiTheme="minorHAnsi" w:cstheme="minorHAnsi"/>
          <w:color w:val="000000"/>
          <w:sz w:val="24"/>
        </w:rPr>
        <w:t xml:space="preserve">de la CTI obtenidos en el año que </w:t>
      </w:r>
      <w:r>
        <w:rPr>
          <w:rFonts w:asciiTheme="minorHAnsi" w:hAnsiTheme="minorHAnsi" w:cstheme="minorHAnsi"/>
          <w:color w:val="000000"/>
          <w:sz w:val="24"/>
          <w:u w:val="single"/>
        </w:rPr>
        <w:t>hayan sido avalados como logros por el Consejo Científico universitario</w:t>
      </w:r>
      <w:r>
        <w:rPr>
          <w:rFonts w:asciiTheme="minorHAnsi" w:hAnsiTheme="minorHAnsi" w:cstheme="minorHAnsi"/>
          <w:color w:val="000000"/>
          <w:sz w:val="24"/>
        </w:rPr>
        <w:t>. En la reseña precisar las consideraciones sobre la relevancia e impacto potenci</w:t>
      </w:r>
      <w:r>
        <w:rPr>
          <w:rFonts w:asciiTheme="minorHAnsi" w:hAnsiTheme="minorHAnsi" w:cstheme="minorHAnsi"/>
          <w:color w:val="000000"/>
          <w:sz w:val="24"/>
        </w:rPr>
        <w:t>al previsible de cada resultado informado. Cada resultado debe contener 250 palabras como máximo.</w:t>
      </w:r>
    </w:p>
    <w:p w:rsidR="00FE4DBB" w:rsidRDefault="00360AAE">
      <w:pPr>
        <w:pStyle w:val="Prrafodelista"/>
        <w:numPr>
          <w:ilvl w:val="0"/>
          <w:numId w:val="5"/>
        </w:numPr>
        <w:spacing w:after="120" w:line="288" w:lineRule="auto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Una reseña precisa y breve de los </w:t>
      </w:r>
      <w:r>
        <w:rPr>
          <w:rFonts w:asciiTheme="minorHAnsi" w:hAnsiTheme="minorHAnsi" w:cstheme="minorHAnsi"/>
          <w:color w:val="000000"/>
          <w:sz w:val="24"/>
          <w:u w:val="single"/>
        </w:rPr>
        <w:t>PRINCIPALES IMPACTOS</w:t>
      </w:r>
      <w:r>
        <w:rPr>
          <w:rFonts w:asciiTheme="minorHAnsi" w:hAnsiTheme="minorHAnsi" w:cstheme="minorHAnsi"/>
          <w:color w:val="000000"/>
          <w:sz w:val="24"/>
        </w:rPr>
        <w:t xml:space="preserve"> económicos, sociales y de otro tipo, que fueron obtenidos en las </w:t>
      </w:r>
      <w:r>
        <w:rPr>
          <w:rFonts w:asciiTheme="minorHAnsi" w:hAnsiTheme="minorHAnsi" w:cstheme="minorHAnsi"/>
          <w:color w:val="000000"/>
          <w:sz w:val="24"/>
        </w:rPr>
        <w:t xml:space="preserve">prioridades nacionalmente establecidas, como consecuencia de la aplicación y generalización de los resultados de investigación obtenidos por cada universidad y ECTI. Los impactos descritos son resultados ya aplicados y deben haber sido </w:t>
      </w:r>
      <w:r>
        <w:rPr>
          <w:rFonts w:asciiTheme="minorHAnsi" w:hAnsiTheme="minorHAnsi" w:cstheme="minorHAnsi"/>
          <w:color w:val="000000"/>
          <w:sz w:val="24"/>
          <w:u w:val="single"/>
        </w:rPr>
        <w:t>a</w:t>
      </w:r>
      <w:r>
        <w:rPr>
          <w:rFonts w:asciiTheme="minorHAnsi" w:hAnsiTheme="minorHAnsi" w:cstheme="minorHAnsi"/>
          <w:color w:val="000000"/>
          <w:sz w:val="24"/>
          <w:u w:val="single"/>
          <w:lang w:val="es-AR"/>
        </w:rPr>
        <w:t>valados</w:t>
      </w:r>
      <w:r>
        <w:rPr>
          <w:rFonts w:asciiTheme="minorHAnsi" w:hAnsiTheme="minorHAnsi" w:cstheme="minorHAnsi"/>
          <w:color w:val="000000"/>
          <w:sz w:val="24"/>
          <w:u w:val="single"/>
        </w:rPr>
        <w:t xml:space="preserve"> como IMPACT</w:t>
      </w:r>
      <w:r>
        <w:rPr>
          <w:rFonts w:asciiTheme="minorHAnsi" w:hAnsiTheme="minorHAnsi" w:cstheme="minorHAnsi"/>
          <w:color w:val="000000"/>
          <w:sz w:val="24"/>
          <w:u w:val="single"/>
        </w:rPr>
        <w:t>OS por el Consejo Científico universitario.</w:t>
      </w:r>
      <w:r>
        <w:rPr>
          <w:rFonts w:asciiTheme="minorHAnsi" w:hAnsiTheme="minorHAnsi" w:cstheme="minorHAnsi"/>
          <w:color w:val="000000"/>
          <w:sz w:val="24"/>
        </w:rPr>
        <w:t xml:space="preserve"> Debe tratarse de cuantificar o precisar en el mayor grado posible la expresión del impacto que se informa.</w:t>
      </w:r>
    </w:p>
    <w:p w:rsidR="00FE4DBB" w:rsidRDefault="00360AAE">
      <w:pPr>
        <w:pStyle w:val="Prrafodelista"/>
        <w:spacing w:after="120" w:line="288" w:lineRule="auto"/>
        <w:ind w:left="390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lastRenderedPageBreak/>
        <w:t xml:space="preserve">“Se consideran impactos, los cambios relevantes, favorables y sostenibles obtenidos por la aplicación de </w:t>
      </w:r>
      <w:r>
        <w:rPr>
          <w:rFonts w:asciiTheme="minorHAnsi" w:hAnsiTheme="minorHAnsi" w:cstheme="minorHAnsi"/>
          <w:color w:val="000000"/>
          <w:sz w:val="24"/>
        </w:rPr>
        <w:t>los resultados de la actividad científica en la economía y la sociedad. Deben expresarse en indicadores objetivos de medición comprobada y verificable, como la elevación de la eficiencia económica, el incremento de las exportaciones, la defensa de la sober</w:t>
      </w:r>
      <w:r>
        <w:rPr>
          <w:rFonts w:asciiTheme="minorHAnsi" w:hAnsiTheme="minorHAnsi" w:cstheme="minorHAnsi"/>
          <w:color w:val="000000"/>
          <w:sz w:val="24"/>
        </w:rPr>
        <w:t>anía tecnológica y la elevación de la calidad de vida de la población beneficiaria del resultado aplicado”.</w:t>
      </w:r>
    </w:p>
    <w:p w:rsidR="00FE4DBB" w:rsidRDefault="00360AAE">
      <w:pPr>
        <w:numPr>
          <w:ilvl w:val="0"/>
          <w:numId w:val="7"/>
        </w:numPr>
        <w:spacing w:before="240" w:after="120" w:line="288" w:lineRule="auto"/>
        <w:rPr>
          <w:rFonts w:asciiTheme="minorHAnsi" w:hAnsiTheme="minorHAnsi" w:cstheme="minorHAnsi"/>
          <w:b/>
          <w:color w:val="000000"/>
          <w:sz w:val="24"/>
          <w:u w:val="single"/>
        </w:rPr>
      </w:pPr>
      <w:r>
        <w:rPr>
          <w:rFonts w:asciiTheme="minorHAnsi" w:hAnsiTheme="minorHAnsi" w:cstheme="minorHAnsi"/>
          <w:b/>
          <w:color w:val="000000"/>
          <w:sz w:val="24"/>
          <w:u w:val="single"/>
        </w:rPr>
        <w:t xml:space="preserve">Análisis del cumplimiento de los objetivos del año </w:t>
      </w:r>
      <w:r>
        <w:rPr>
          <w:rFonts w:asciiTheme="minorHAnsi" w:hAnsiTheme="minorHAnsi" w:cstheme="minorHAnsi"/>
          <w:b/>
          <w:sz w:val="24"/>
          <w:u w:val="single"/>
        </w:rPr>
        <w:t>201</w:t>
      </w:r>
      <w:r>
        <w:rPr>
          <w:rFonts w:asciiTheme="minorHAnsi" w:hAnsiTheme="minorHAnsi" w:cstheme="minorHAnsi"/>
          <w:b/>
          <w:sz w:val="24"/>
          <w:u w:val="single"/>
          <w:lang w:val="es-AR"/>
        </w:rPr>
        <w:t>8</w:t>
      </w:r>
      <w:r>
        <w:rPr>
          <w:rFonts w:asciiTheme="minorHAnsi" w:hAnsiTheme="minorHAnsi" w:cstheme="minorHAnsi"/>
          <w:b/>
          <w:color w:val="000000"/>
          <w:sz w:val="24"/>
          <w:u w:val="single"/>
        </w:rPr>
        <w:t xml:space="preserve"> y la dinámica de los principales indicadores de ciencia y tecnología.</w:t>
      </w:r>
    </w:p>
    <w:p w:rsidR="00FE4DBB" w:rsidRDefault="00360AAE">
      <w:pPr>
        <w:spacing w:after="120" w:line="288" w:lineRule="auto"/>
        <w:ind w:left="567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sz w:val="24"/>
          <w:lang w:val="es-MX"/>
        </w:rPr>
        <w:t>En este aspecto del in</w:t>
      </w:r>
      <w:r>
        <w:rPr>
          <w:rFonts w:asciiTheme="minorHAnsi" w:hAnsiTheme="minorHAnsi" w:cstheme="minorHAnsi"/>
          <w:sz w:val="24"/>
          <w:lang w:val="es-MX"/>
        </w:rPr>
        <w:t xml:space="preserve">forme debe reflejarse el análisis cuantitativo y cualitativo del cumplimiento de los criterios de medida establecidos para el año en el Objetivo 5 del ARC 3, así como el comportamiento de otros indicadores que se recogen en los modelos estadísticos. </w:t>
      </w:r>
      <w:r>
        <w:rPr>
          <w:rFonts w:asciiTheme="minorHAnsi" w:hAnsiTheme="minorHAnsi" w:cstheme="minorHAnsi"/>
          <w:color w:val="000000"/>
          <w:sz w:val="24"/>
        </w:rPr>
        <w:t>Los pr</w:t>
      </w:r>
      <w:r>
        <w:rPr>
          <w:rFonts w:asciiTheme="minorHAnsi" w:hAnsiTheme="minorHAnsi" w:cstheme="minorHAnsi"/>
          <w:color w:val="000000"/>
          <w:sz w:val="24"/>
        </w:rPr>
        <w:t>incipales indicadores a tener en cuenta son los siguientes:</w:t>
      </w:r>
    </w:p>
    <w:p w:rsidR="00FE4DBB" w:rsidRDefault="00360AAE">
      <w:pPr>
        <w:pStyle w:val="Prrafodelista"/>
        <w:numPr>
          <w:ilvl w:val="0"/>
          <w:numId w:val="5"/>
        </w:numPr>
        <w:spacing w:after="120" w:line="288" w:lineRule="auto"/>
        <w:rPr>
          <w:rFonts w:asciiTheme="minorHAnsi" w:hAnsiTheme="minorHAnsi" w:cstheme="minorHAnsi"/>
          <w:b/>
          <w:color w:val="000000"/>
          <w:sz w:val="24"/>
        </w:rPr>
      </w:pPr>
      <w:r>
        <w:rPr>
          <w:rFonts w:asciiTheme="minorHAnsi" w:hAnsiTheme="minorHAnsi" w:cstheme="minorHAnsi"/>
          <w:b/>
          <w:color w:val="000000"/>
          <w:sz w:val="24"/>
        </w:rPr>
        <w:t xml:space="preserve">Estructura del plan de proyectos de I+D+i por los tipos establecidos. </w:t>
      </w:r>
    </w:p>
    <w:p w:rsidR="00FE4DBB" w:rsidRDefault="00360AAE">
      <w:pPr>
        <w:spacing w:after="120" w:line="288" w:lineRule="auto"/>
        <w:ind w:left="861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La estructura de proyectos es una expresión de pertinencia en la actividad científica. Los proyectos se clasificarán en las </w:t>
      </w:r>
      <w:r>
        <w:rPr>
          <w:rFonts w:asciiTheme="minorHAnsi" w:hAnsiTheme="minorHAnsi" w:cstheme="minorHAnsi"/>
          <w:color w:val="000000"/>
          <w:sz w:val="24"/>
        </w:rPr>
        <w:t>cuatro categorías que se describen en la Resolución 44/2012 del CITMA:</w:t>
      </w:r>
    </w:p>
    <w:p w:rsidR="00FE4DBB" w:rsidRDefault="00360AAE">
      <w:pPr>
        <w:pStyle w:val="Prrafodelista"/>
        <w:numPr>
          <w:ilvl w:val="0"/>
          <w:numId w:val="12"/>
        </w:numPr>
        <w:spacing w:after="120" w:line="288" w:lineRule="auto"/>
        <w:ind w:left="2073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Proyectos asociados a Programas (PA) </w:t>
      </w:r>
    </w:p>
    <w:p w:rsidR="00FE4DBB" w:rsidRDefault="00360AAE">
      <w:pPr>
        <w:pStyle w:val="Prrafodelista"/>
        <w:numPr>
          <w:ilvl w:val="0"/>
          <w:numId w:val="12"/>
        </w:numPr>
        <w:spacing w:after="120" w:line="288" w:lineRule="auto"/>
        <w:ind w:left="2073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Proyectos No Asociados a Programas (PNAP)</w:t>
      </w:r>
    </w:p>
    <w:p w:rsidR="00FE4DBB" w:rsidRDefault="00360AAE">
      <w:pPr>
        <w:pStyle w:val="Prrafodelista"/>
        <w:numPr>
          <w:ilvl w:val="0"/>
          <w:numId w:val="12"/>
        </w:numPr>
        <w:spacing w:after="120" w:line="288" w:lineRule="auto"/>
        <w:ind w:left="2073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Proyectos empresariales (PE)</w:t>
      </w:r>
    </w:p>
    <w:p w:rsidR="00FE4DBB" w:rsidRDefault="00360AAE">
      <w:pPr>
        <w:pStyle w:val="Prrafodelista"/>
        <w:numPr>
          <w:ilvl w:val="0"/>
          <w:numId w:val="12"/>
        </w:numPr>
        <w:spacing w:after="120" w:line="288" w:lineRule="auto"/>
        <w:ind w:left="2073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Proyectos institucionales (PI)</w:t>
      </w:r>
    </w:p>
    <w:p w:rsidR="00FE4DBB" w:rsidRDefault="00360AAE">
      <w:pPr>
        <w:spacing w:after="120" w:line="288" w:lineRule="auto"/>
        <w:ind w:left="927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En esta última categoría de proyectos debe de</w:t>
      </w:r>
      <w:r>
        <w:rPr>
          <w:rFonts w:asciiTheme="minorHAnsi" w:hAnsiTheme="minorHAnsi" w:cstheme="minorHAnsi"/>
          <w:color w:val="000000"/>
          <w:sz w:val="24"/>
        </w:rPr>
        <w:t xml:space="preserve"> hacerse una distinción de aquellos proyectos vinculados </w:t>
      </w:r>
      <w:r>
        <w:rPr>
          <w:rFonts w:asciiTheme="minorHAnsi" w:hAnsiTheme="minorHAnsi" w:cstheme="minorHAnsi"/>
          <w:color w:val="000000"/>
          <w:sz w:val="24"/>
          <w:lang w:val="es-AR"/>
        </w:rPr>
        <w:t>a entidades externas a las universidades,</w:t>
      </w:r>
      <w:r>
        <w:rPr>
          <w:rFonts w:asciiTheme="minorHAnsi" w:hAnsiTheme="minorHAnsi" w:cstheme="minorHAnsi"/>
          <w:color w:val="000000"/>
          <w:sz w:val="24"/>
        </w:rPr>
        <w:t xml:space="preserve"> que posean una evidencia de demanda formal por parte de </w:t>
      </w:r>
      <w:r>
        <w:rPr>
          <w:rFonts w:asciiTheme="minorHAnsi" w:hAnsiTheme="minorHAnsi" w:cstheme="minorHAnsi"/>
          <w:color w:val="000000"/>
          <w:sz w:val="24"/>
          <w:lang w:val="es-AR"/>
        </w:rPr>
        <w:t>las mismas</w:t>
      </w:r>
      <w:r>
        <w:rPr>
          <w:rFonts w:asciiTheme="minorHAnsi" w:hAnsiTheme="minorHAnsi" w:cstheme="minorHAnsi"/>
          <w:color w:val="000000"/>
          <w:sz w:val="24"/>
        </w:rPr>
        <w:t>. En todos los casos se debe referir el número total de proyectos.</w:t>
      </w:r>
      <w:r>
        <w:rPr>
          <w:rFonts w:asciiTheme="minorHAnsi" w:hAnsiTheme="minorHAnsi" w:cstheme="minorHAnsi"/>
          <w:color w:val="000000"/>
          <w:sz w:val="24"/>
        </w:rPr>
        <w:t xml:space="preserve"> Los proyectos de colaboración internacional no forman parte de estos tipos de proyectos porque son de apoyo a la realización de los que tienen una categoría nacional. Debe existir una conciliación y coincidencia de la estructura y número de proyectos que </w:t>
      </w:r>
      <w:r>
        <w:rPr>
          <w:rFonts w:asciiTheme="minorHAnsi" w:hAnsiTheme="minorHAnsi" w:cstheme="minorHAnsi"/>
          <w:color w:val="000000"/>
          <w:sz w:val="24"/>
        </w:rPr>
        <w:t>se incluyen en el balance con el Plan de Ciencia y Tecnología 201</w:t>
      </w:r>
      <w:r>
        <w:rPr>
          <w:rFonts w:asciiTheme="minorHAnsi" w:hAnsiTheme="minorHAnsi" w:cstheme="minorHAnsi"/>
          <w:color w:val="000000"/>
          <w:sz w:val="24"/>
          <w:lang w:val="es-AR"/>
        </w:rPr>
        <w:t>8</w:t>
      </w:r>
      <w:r>
        <w:rPr>
          <w:rFonts w:asciiTheme="minorHAnsi" w:hAnsiTheme="minorHAnsi" w:cstheme="minorHAnsi"/>
          <w:color w:val="000000"/>
          <w:sz w:val="24"/>
        </w:rPr>
        <w:t xml:space="preserve"> aprobado para la universidad o ECTI.</w:t>
      </w:r>
    </w:p>
    <w:p w:rsidR="00FE4DBB" w:rsidRDefault="00360AAE">
      <w:pPr>
        <w:pStyle w:val="Prrafodelista"/>
        <w:numPr>
          <w:ilvl w:val="0"/>
          <w:numId w:val="5"/>
        </w:numPr>
        <w:spacing w:after="120" w:line="288" w:lineRule="auto"/>
        <w:ind w:left="856" w:hanging="357"/>
        <w:contextualSpacing w:val="0"/>
        <w:rPr>
          <w:rFonts w:asciiTheme="minorHAnsi" w:hAnsiTheme="minorHAnsi" w:cstheme="minorHAnsi"/>
          <w:b/>
          <w:color w:val="000000"/>
          <w:sz w:val="24"/>
        </w:rPr>
      </w:pPr>
      <w:r>
        <w:rPr>
          <w:rFonts w:asciiTheme="minorHAnsi" w:hAnsiTheme="minorHAnsi" w:cstheme="minorHAnsi"/>
          <w:b/>
          <w:color w:val="000000"/>
          <w:sz w:val="24"/>
        </w:rPr>
        <w:t>Financiamiento en CUC para proyectos de I+D+i de fuentes nacionales y extranjeras.</w:t>
      </w:r>
    </w:p>
    <w:p w:rsidR="00FE4DBB" w:rsidRDefault="00360AAE">
      <w:pPr>
        <w:pStyle w:val="Prrafodelista"/>
        <w:numPr>
          <w:ilvl w:val="0"/>
          <w:numId w:val="13"/>
        </w:numPr>
        <w:spacing w:after="120" w:line="288" w:lineRule="auto"/>
        <w:rPr>
          <w:rFonts w:asciiTheme="minorHAnsi" w:hAnsiTheme="minorHAnsi" w:cstheme="minorHAnsi"/>
          <w:b/>
          <w:color w:val="000000"/>
          <w:sz w:val="24"/>
        </w:rPr>
      </w:pPr>
      <w:r>
        <w:rPr>
          <w:rFonts w:asciiTheme="minorHAnsi" w:hAnsiTheme="minorHAnsi" w:cstheme="minorHAnsi"/>
          <w:b/>
          <w:color w:val="000000"/>
          <w:sz w:val="24"/>
        </w:rPr>
        <w:t>Financiamiento en CUP para proyectos de I+D+i de fuentes nacionales.</w:t>
      </w:r>
    </w:p>
    <w:p w:rsidR="00FE4DBB" w:rsidRDefault="00360AAE">
      <w:pPr>
        <w:pStyle w:val="Prrafodelista"/>
        <w:numPr>
          <w:ilvl w:val="0"/>
          <w:numId w:val="13"/>
        </w:numPr>
        <w:spacing w:before="240" w:line="288" w:lineRule="auto"/>
        <w:ind w:left="856" w:hanging="357"/>
        <w:contextualSpacing w:val="0"/>
        <w:rPr>
          <w:rFonts w:asciiTheme="minorHAnsi" w:hAnsiTheme="minorHAnsi" w:cstheme="minorHAnsi"/>
          <w:b/>
          <w:color w:val="000000"/>
          <w:sz w:val="24"/>
        </w:rPr>
      </w:pPr>
      <w:r>
        <w:rPr>
          <w:rFonts w:asciiTheme="minorHAnsi" w:hAnsiTheme="minorHAnsi" w:cstheme="minorHAnsi"/>
          <w:b/>
          <w:color w:val="000000"/>
          <w:sz w:val="24"/>
        </w:rPr>
        <w:lastRenderedPageBreak/>
        <w:t xml:space="preserve">Ingresos por la comercialización de productos de la CTI </w:t>
      </w:r>
    </w:p>
    <w:p w:rsidR="00FE4DBB" w:rsidRDefault="00360AAE">
      <w:pPr>
        <w:spacing w:line="288" w:lineRule="auto"/>
        <w:ind w:left="919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El logro de financiamiento y recursos por y para proyectos de I+D+I es también una expresión de pertinencia y se considera una variable de entrada (para ejecutar la investigación) y de salida, en el </w:t>
      </w:r>
      <w:r>
        <w:rPr>
          <w:rFonts w:asciiTheme="minorHAnsi" w:hAnsiTheme="minorHAnsi" w:cstheme="minorHAnsi"/>
          <w:color w:val="000000"/>
          <w:sz w:val="24"/>
        </w:rPr>
        <w:t xml:space="preserve">caso que se obtenga el financiamiento por la comercialización del producto tecnología o servicio derivado de la ejecución de un proyecto. Se deben utilizar </w:t>
      </w:r>
      <w:r>
        <w:rPr>
          <w:rFonts w:asciiTheme="minorHAnsi" w:hAnsiTheme="minorHAnsi" w:cstheme="minorHAnsi"/>
          <w:color w:val="000000"/>
          <w:sz w:val="24"/>
          <w:u w:val="single"/>
        </w:rPr>
        <w:t>cifras oficiales del área económica</w:t>
      </w:r>
      <w:r>
        <w:rPr>
          <w:rFonts w:asciiTheme="minorHAnsi" w:hAnsiTheme="minorHAnsi" w:cstheme="minorHAnsi"/>
          <w:color w:val="000000"/>
          <w:sz w:val="24"/>
        </w:rPr>
        <w:t>, no se deben incluir las  actividades académicas de pregrado, ni</w:t>
      </w:r>
      <w:r>
        <w:rPr>
          <w:rFonts w:asciiTheme="minorHAnsi" w:hAnsiTheme="minorHAnsi" w:cstheme="minorHAnsi"/>
          <w:color w:val="000000"/>
          <w:sz w:val="24"/>
        </w:rPr>
        <w:t xml:space="preserve"> de postgrado.</w:t>
      </w:r>
    </w:p>
    <w:p w:rsidR="00FE4DBB" w:rsidRDefault="00360AAE">
      <w:pPr>
        <w:pStyle w:val="Prrafodelista"/>
        <w:numPr>
          <w:ilvl w:val="0"/>
          <w:numId w:val="5"/>
        </w:numPr>
        <w:spacing w:before="240" w:line="288" w:lineRule="auto"/>
        <w:ind w:left="856" w:hanging="357"/>
        <w:rPr>
          <w:rFonts w:asciiTheme="minorHAnsi" w:hAnsiTheme="minorHAnsi" w:cstheme="minorHAnsi"/>
          <w:b/>
          <w:color w:val="000000"/>
          <w:sz w:val="24"/>
        </w:rPr>
      </w:pPr>
      <w:r>
        <w:rPr>
          <w:rFonts w:asciiTheme="minorHAnsi" w:hAnsiTheme="minorHAnsi" w:cstheme="minorHAnsi"/>
          <w:b/>
          <w:color w:val="000000"/>
          <w:sz w:val="24"/>
        </w:rPr>
        <w:t xml:space="preserve">Premios y reconocimientos: </w:t>
      </w:r>
    </w:p>
    <w:p w:rsidR="00FE4DBB" w:rsidRDefault="00360AAE">
      <w:pPr>
        <w:spacing w:line="288" w:lineRule="auto"/>
        <w:ind w:left="919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Se valora positivamente cuando un premio es obtenido por varias universidades y ECTI y cuando es otorgado por otro OACE</w:t>
      </w:r>
    </w:p>
    <w:p w:rsidR="00FE4DBB" w:rsidRDefault="00360AAE">
      <w:pPr>
        <w:pStyle w:val="Prrafodelista"/>
        <w:numPr>
          <w:ilvl w:val="0"/>
          <w:numId w:val="8"/>
        </w:numPr>
        <w:spacing w:after="120" w:line="288" w:lineRule="auto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Nacionales: ACC, Innovación Tecnológica, CITMA, MINAG, MINSAP, y otros OACE. </w:t>
      </w:r>
    </w:p>
    <w:p w:rsidR="00FE4DBB" w:rsidRDefault="00360AAE">
      <w:pPr>
        <w:pStyle w:val="Prrafodelista"/>
        <w:numPr>
          <w:ilvl w:val="0"/>
          <w:numId w:val="8"/>
        </w:numPr>
        <w:spacing w:after="120" w:line="288" w:lineRule="auto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Provinciales: </w:t>
      </w:r>
      <w:r>
        <w:rPr>
          <w:rFonts w:asciiTheme="minorHAnsi" w:hAnsiTheme="minorHAnsi" w:cstheme="minorHAnsi"/>
          <w:color w:val="000000"/>
          <w:sz w:val="24"/>
        </w:rPr>
        <w:t xml:space="preserve">de Ciencia, de innovación y en </w:t>
      </w:r>
      <w:r>
        <w:rPr>
          <w:rFonts w:asciiTheme="minorHAnsi" w:hAnsiTheme="minorHAnsi" w:cstheme="minorHAnsi"/>
          <w:color w:val="000000"/>
          <w:sz w:val="24"/>
          <w:lang w:val="es-AR"/>
        </w:rPr>
        <w:t>d</w:t>
      </w:r>
      <w:r>
        <w:rPr>
          <w:rFonts w:asciiTheme="minorHAnsi" w:hAnsiTheme="minorHAnsi" w:cstheme="minorHAnsi"/>
          <w:color w:val="000000"/>
          <w:sz w:val="24"/>
        </w:rPr>
        <w:t>el F</w:t>
      </w:r>
      <w:r>
        <w:rPr>
          <w:rFonts w:asciiTheme="minorHAnsi" w:hAnsiTheme="minorHAnsi" w:cstheme="minorHAnsi"/>
          <w:color w:val="000000"/>
          <w:sz w:val="24"/>
          <w:lang w:val="es-AR"/>
        </w:rPr>
        <w:t>ó</w:t>
      </w:r>
      <w:r>
        <w:rPr>
          <w:rFonts w:asciiTheme="minorHAnsi" w:hAnsiTheme="minorHAnsi" w:cstheme="minorHAnsi"/>
          <w:color w:val="000000"/>
          <w:sz w:val="24"/>
        </w:rPr>
        <w:t xml:space="preserve">rum de C y T. </w:t>
      </w:r>
    </w:p>
    <w:p w:rsidR="00FE4DBB" w:rsidRDefault="00360AAE">
      <w:pPr>
        <w:pStyle w:val="Prrafodelista"/>
        <w:numPr>
          <w:ilvl w:val="0"/>
          <w:numId w:val="8"/>
        </w:numPr>
        <w:spacing w:after="120" w:line="288" w:lineRule="auto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Municipales: Premios FCT de los CUM y su selección como Destacados. </w:t>
      </w:r>
    </w:p>
    <w:p w:rsidR="00FE4DBB" w:rsidRDefault="00360AAE">
      <w:pPr>
        <w:pStyle w:val="Prrafodelista"/>
        <w:numPr>
          <w:ilvl w:val="0"/>
          <w:numId w:val="8"/>
        </w:numPr>
        <w:spacing w:after="120" w:line="288" w:lineRule="auto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Premios Internacionales. </w:t>
      </w:r>
    </w:p>
    <w:p w:rsidR="00FE4DBB" w:rsidRDefault="00360AAE">
      <w:pPr>
        <w:pStyle w:val="Prrafodelista"/>
        <w:spacing w:after="120" w:line="288" w:lineRule="auto"/>
        <w:ind w:left="856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Para los premios provinciales que otorgan las delegaciones del CITMA y el FCT se deben reflejar el resultado </w:t>
      </w:r>
      <w:r>
        <w:rPr>
          <w:rFonts w:asciiTheme="minorHAnsi" w:hAnsiTheme="minorHAnsi" w:cstheme="minorHAnsi"/>
          <w:color w:val="000000"/>
          <w:sz w:val="24"/>
        </w:rPr>
        <w:t>y añadir el</w:t>
      </w:r>
      <w:r>
        <w:rPr>
          <w:rFonts w:asciiTheme="minorHAnsi" w:hAnsiTheme="minorHAnsi" w:cstheme="minorHAnsi"/>
          <w:color w:val="000000"/>
          <w:sz w:val="24"/>
          <w:u w:val="single"/>
        </w:rPr>
        <w:t xml:space="preserve"> dato del total </w:t>
      </w:r>
      <w:r>
        <w:rPr>
          <w:rFonts w:asciiTheme="minorHAnsi" w:hAnsiTheme="minorHAnsi" w:cstheme="minorHAnsi"/>
          <w:color w:val="000000"/>
          <w:sz w:val="24"/>
          <w:u w:val="single"/>
          <w:lang w:val="es-AR"/>
        </w:rPr>
        <w:t>de premios otorgados</w:t>
      </w:r>
      <w:r>
        <w:rPr>
          <w:rFonts w:asciiTheme="minorHAnsi" w:hAnsiTheme="minorHAnsi" w:cstheme="minorHAnsi"/>
          <w:color w:val="000000"/>
          <w:sz w:val="24"/>
          <w:u w:val="single"/>
        </w:rPr>
        <w:t xml:space="preserve"> para calcular el porciento del total que se otorgó</w:t>
      </w:r>
      <w:r>
        <w:rPr>
          <w:rFonts w:asciiTheme="minorHAnsi" w:hAnsiTheme="minorHAnsi" w:cstheme="minorHAnsi"/>
          <w:color w:val="000000"/>
          <w:sz w:val="24"/>
        </w:rPr>
        <w:t xml:space="preserve"> en la provincia y puede complementarse también en términos absolutos.</w:t>
      </w:r>
    </w:p>
    <w:p w:rsidR="00FE4DBB" w:rsidRDefault="00360AAE">
      <w:pPr>
        <w:pStyle w:val="Prrafodelista"/>
        <w:numPr>
          <w:ilvl w:val="0"/>
          <w:numId w:val="5"/>
        </w:numPr>
        <w:spacing w:before="240" w:after="240" w:line="288" w:lineRule="auto"/>
        <w:ind w:left="856" w:hanging="357"/>
        <w:contextualSpacing w:val="0"/>
        <w:rPr>
          <w:rFonts w:asciiTheme="minorHAnsi" w:hAnsiTheme="minorHAnsi" w:cstheme="minorHAnsi"/>
          <w:b/>
          <w:color w:val="000000"/>
          <w:sz w:val="24"/>
        </w:rPr>
      </w:pPr>
      <w:r>
        <w:rPr>
          <w:rFonts w:asciiTheme="minorHAnsi" w:hAnsiTheme="minorHAnsi" w:cstheme="minorHAnsi"/>
          <w:b/>
          <w:color w:val="000000"/>
          <w:sz w:val="24"/>
        </w:rPr>
        <w:t>Publicaciones:</w:t>
      </w:r>
    </w:p>
    <w:p w:rsidR="00FE4DBB" w:rsidRDefault="00360AAE">
      <w:pPr>
        <w:pStyle w:val="Prrafodelista"/>
        <w:numPr>
          <w:ilvl w:val="0"/>
          <w:numId w:val="10"/>
        </w:numPr>
        <w:spacing w:before="240" w:after="240" w:line="288" w:lineRule="auto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Artículos publicados en revistas científicas, en los 4 grupos de </w:t>
      </w:r>
      <w:r>
        <w:rPr>
          <w:rFonts w:ascii="Calibri" w:eastAsia="Calibri" w:hAnsi="Calibri" w:cs="Calibri"/>
          <w:color w:val="000000"/>
          <w:sz w:val="24"/>
        </w:rPr>
        <w:t>bases d</w:t>
      </w:r>
      <w:r>
        <w:rPr>
          <w:rFonts w:ascii="Calibri" w:eastAsia="Calibri" w:hAnsi="Calibri" w:cs="Calibri"/>
          <w:color w:val="000000"/>
          <w:sz w:val="24"/>
        </w:rPr>
        <w:t xml:space="preserve">e datos establecidas. Los artículos se deben de reportar en </w:t>
      </w:r>
      <w:r>
        <w:rPr>
          <w:rFonts w:ascii="Calibri" w:eastAsia="Calibri" w:hAnsi="Calibri" w:cs="Calibri"/>
          <w:color w:val="000000"/>
          <w:sz w:val="24"/>
          <w:lang w:val="es-AR"/>
        </w:rPr>
        <w:t>una</w:t>
      </w:r>
      <w:r>
        <w:rPr>
          <w:rFonts w:ascii="Calibri" w:eastAsia="Calibri" w:hAnsi="Calibri" w:cs="Calibri"/>
          <w:color w:val="000000"/>
          <w:sz w:val="24"/>
        </w:rPr>
        <w:t xml:space="preserve"> tabla qu</w:t>
      </w:r>
      <w:r>
        <w:rPr>
          <w:rFonts w:ascii="Calibri" w:eastAsia="Calibri" w:hAnsi="Calibri" w:cs="Calibri"/>
          <w:color w:val="000000"/>
          <w:sz w:val="24"/>
          <w:lang w:val="es-AR"/>
        </w:rPr>
        <w:t>e contenga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4"/>
          <w:lang w:val="es-AR"/>
        </w:rPr>
        <w:t>p</w:t>
      </w:r>
      <w:r>
        <w:rPr>
          <w:rFonts w:ascii="Calibri" w:eastAsia="Calibri" w:hAnsi="Calibri" w:cs="Calibri"/>
          <w:sz w:val="24"/>
        </w:rPr>
        <w:t>or cada artículo informado: Título del artículo, título de la revista, número, año, mes y volumen de la revista, país o localizac</w:t>
      </w:r>
      <w:r>
        <w:rPr>
          <w:rFonts w:ascii="Calibri" w:eastAsia="Calibri" w:hAnsi="Calibri" w:cs="Calibri"/>
          <w:sz w:val="24"/>
          <w:lang w:val="es-AR"/>
        </w:rPr>
        <w:t>i</w:t>
      </w:r>
      <w:r>
        <w:rPr>
          <w:rFonts w:ascii="Calibri" w:eastAsia="Calibri" w:hAnsi="Calibri" w:cs="Calibri"/>
          <w:sz w:val="24"/>
        </w:rPr>
        <w:t xml:space="preserve">ón de la edición de la revista, nombre de </w:t>
      </w:r>
      <w:r>
        <w:rPr>
          <w:rFonts w:ascii="Calibri" w:eastAsia="Calibri" w:hAnsi="Calibri" w:cs="Calibri"/>
          <w:sz w:val="24"/>
        </w:rPr>
        <w:t>la base de datos donde se referencia la revista (solo una</w:t>
      </w:r>
      <w:r>
        <w:rPr>
          <w:rFonts w:ascii="Calibri" w:eastAsia="Calibri" w:hAnsi="Calibri" w:cs="Calibri"/>
          <w:sz w:val="24"/>
          <w:lang w:val="es-AR"/>
        </w:rPr>
        <w:t>,</w:t>
      </w:r>
      <w:r>
        <w:rPr>
          <w:rFonts w:ascii="Calibri" w:eastAsia="Calibri" w:hAnsi="Calibri" w:cs="Calibri"/>
          <w:sz w:val="24"/>
        </w:rPr>
        <w:t xml:space="preserve"> la de mayor relevancia). Deben ser relacionados los libros y monograf</w:t>
      </w:r>
      <w:r>
        <w:rPr>
          <w:rFonts w:ascii="Calibri" w:eastAsia="Calibri" w:hAnsi="Calibri" w:cs="Calibri"/>
          <w:sz w:val="24"/>
          <w:lang w:val="es-AR"/>
        </w:rPr>
        <w:t>í</w:t>
      </w:r>
      <w:r>
        <w:rPr>
          <w:rFonts w:ascii="Calibri" w:eastAsia="Calibri" w:hAnsi="Calibri" w:cs="Calibri"/>
          <w:sz w:val="24"/>
        </w:rPr>
        <w:t>as que se informen, contenido, título, editora, código ISBN, país, (cuando sea Cuba, los libros y monografías con fines docente</w:t>
      </w:r>
      <w:r>
        <w:rPr>
          <w:rFonts w:ascii="Calibri" w:eastAsia="Calibri" w:hAnsi="Calibri" w:cs="Calibri"/>
          <w:sz w:val="24"/>
        </w:rPr>
        <w:t>s no se incluyen en esta estadística con los</w:t>
      </w:r>
      <w:r>
        <w:rPr>
          <w:rFonts w:ascii="Calibri" w:eastAsia="Calibri" w:hAnsi="Calibri" w:cs="Calibri"/>
          <w:color w:val="000000"/>
          <w:sz w:val="24"/>
        </w:rPr>
        <w:t xml:space="preserve"> enlaces necesarios a las BD que permitan su validación.</w:t>
      </w:r>
      <w:r>
        <w:rPr>
          <w:rFonts w:asciiTheme="minorHAnsi" w:hAnsiTheme="minorHAnsi" w:cstheme="minorHAnsi"/>
          <w:color w:val="000000"/>
          <w:sz w:val="24"/>
        </w:rPr>
        <w:t xml:space="preserve"> Al incluir dentro del grupo IV, revistas extranjeras certificadas en sus países, se debe tener en cuenta el fenómeno de las editoras y revistas predadoras.</w:t>
      </w:r>
      <w:r>
        <w:rPr>
          <w:rFonts w:asciiTheme="minorHAnsi" w:hAnsiTheme="minorHAnsi" w:cstheme="minorHAnsi"/>
          <w:color w:val="000000"/>
          <w:sz w:val="24"/>
        </w:rPr>
        <w:t xml:space="preserve"> Se anexa el documento </w:t>
      </w:r>
      <w:r>
        <w:rPr>
          <w:rFonts w:asciiTheme="minorHAnsi" w:hAnsiTheme="minorHAnsi" w:cstheme="minorHAnsi"/>
          <w:b/>
          <w:color w:val="000000"/>
          <w:sz w:val="24"/>
        </w:rPr>
        <w:t>NORMATIVAS PARA REGISTRAR Y REPORTAR LAS PUBLICACIONES CIENTIFICAS  201</w:t>
      </w:r>
      <w:r>
        <w:rPr>
          <w:rFonts w:asciiTheme="minorHAnsi" w:hAnsiTheme="minorHAnsi" w:cstheme="minorHAnsi"/>
          <w:b/>
          <w:color w:val="000000"/>
          <w:sz w:val="24"/>
          <w:lang w:val="es-AR"/>
        </w:rPr>
        <w:t>8</w:t>
      </w:r>
      <w:r>
        <w:rPr>
          <w:rFonts w:asciiTheme="minorHAnsi" w:hAnsiTheme="minorHAnsi" w:cstheme="minorHAnsi"/>
          <w:color w:val="000000"/>
          <w:sz w:val="24"/>
        </w:rPr>
        <w:t xml:space="preserve">. </w:t>
      </w:r>
      <w:r>
        <w:rPr>
          <w:rFonts w:asciiTheme="minorHAnsi" w:hAnsiTheme="minorHAnsi" w:cstheme="minorHAnsi"/>
          <w:color w:val="000000"/>
          <w:sz w:val="24"/>
          <w:lang w:val="es-AR"/>
        </w:rPr>
        <w:t>Se debe tener en cuenta los cambios realizados al retornar las BD RedALIC y DOAJ al grupo 3.</w:t>
      </w:r>
    </w:p>
    <w:p w:rsidR="00FE4DBB" w:rsidRDefault="00360AAE">
      <w:pPr>
        <w:pStyle w:val="Prrafodelista"/>
        <w:numPr>
          <w:ilvl w:val="0"/>
          <w:numId w:val="10"/>
        </w:numPr>
        <w:spacing w:after="120" w:line="288" w:lineRule="auto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lastRenderedPageBreak/>
        <w:t>Resultados en la certificación de revistas de la universidad o ECT</w:t>
      </w:r>
      <w:r>
        <w:rPr>
          <w:rFonts w:asciiTheme="minorHAnsi" w:hAnsiTheme="minorHAnsi" w:cstheme="minorHAnsi"/>
          <w:color w:val="000000"/>
          <w:sz w:val="24"/>
        </w:rPr>
        <w:t xml:space="preserve">I por el CITMA y de los avances concretos en la mejora de visibilidad, su posicionamiento en bases de datos internacionales. </w:t>
      </w:r>
      <w:r>
        <w:rPr>
          <w:rFonts w:asciiTheme="minorHAnsi" w:hAnsiTheme="minorHAnsi" w:cstheme="minorHAnsi"/>
          <w:color w:val="000000"/>
          <w:sz w:val="24"/>
          <w:lang w:val="es-AR"/>
        </w:rPr>
        <w:t>Se debe de hacer una valoración del nivel de citaciones a través de su índice h.</w:t>
      </w:r>
      <w:r>
        <w:rPr>
          <w:rFonts w:asciiTheme="minorHAnsi" w:hAnsiTheme="minorHAnsi" w:cstheme="minorHAnsi"/>
          <w:color w:val="000000"/>
          <w:sz w:val="24"/>
        </w:rPr>
        <w:t xml:space="preserve"> Se debe analizar la desactivación de las revistas </w:t>
      </w:r>
      <w:r>
        <w:rPr>
          <w:rFonts w:asciiTheme="minorHAnsi" w:hAnsiTheme="minorHAnsi" w:cstheme="minorHAnsi"/>
          <w:color w:val="000000"/>
          <w:sz w:val="24"/>
        </w:rPr>
        <w:t xml:space="preserve">que no estén acreditadas por el CITMA y las revistas que un año después de su inscripción en el ICL no hayan sacado su primer número. </w:t>
      </w:r>
    </w:p>
    <w:p w:rsidR="00FE4DBB" w:rsidRDefault="00360AAE">
      <w:pPr>
        <w:pStyle w:val="Prrafodelista"/>
        <w:numPr>
          <w:ilvl w:val="0"/>
          <w:numId w:val="10"/>
        </w:numPr>
        <w:spacing w:after="120" w:line="288" w:lineRule="auto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Publicaciones de libros y monografías en editoriales científicas reconocidas, clasificados según los grupos que se define</w:t>
      </w:r>
      <w:r>
        <w:rPr>
          <w:rFonts w:asciiTheme="minorHAnsi" w:hAnsiTheme="minorHAnsi" w:cstheme="minorHAnsi"/>
          <w:color w:val="000000"/>
          <w:sz w:val="24"/>
        </w:rPr>
        <w:t xml:space="preserve">n para publicaciones no periódicas en el ANEXO </w:t>
      </w:r>
      <w:r>
        <w:rPr>
          <w:rFonts w:asciiTheme="minorHAnsi" w:hAnsiTheme="minorHAnsi" w:cstheme="minorHAnsi"/>
          <w:color w:val="000000"/>
          <w:sz w:val="24"/>
          <w:lang w:val="es-AR"/>
        </w:rPr>
        <w:t>1</w:t>
      </w:r>
      <w:r>
        <w:rPr>
          <w:rFonts w:asciiTheme="minorHAnsi" w:hAnsiTheme="minorHAnsi" w:cstheme="minorHAnsi"/>
          <w:color w:val="000000"/>
          <w:sz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lang w:val="es-AR"/>
        </w:rPr>
        <w:t>de las normativas</w:t>
      </w:r>
      <w:r>
        <w:rPr>
          <w:rFonts w:asciiTheme="minorHAnsi" w:hAnsiTheme="minorHAnsi" w:cstheme="minorHAnsi"/>
          <w:color w:val="000000"/>
          <w:sz w:val="24"/>
        </w:rPr>
        <w:t>.</w:t>
      </w:r>
    </w:p>
    <w:p w:rsidR="00FE4DBB" w:rsidRDefault="00FE4DBB">
      <w:pPr>
        <w:pStyle w:val="Prrafodelista"/>
        <w:spacing w:after="120" w:line="288" w:lineRule="auto"/>
        <w:ind w:left="1639"/>
        <w:jc w:val="both"/>
        <w:rPr>
          <w:rFonts w:asciiTheme="minorHAnsi" w:hAnsiTheme="minorHAnsi" w:cstheme="minorHAnsi"/>
          <w:color w:val="000000"/>
          <w:sz w:val="24"/>
        </w:rPr>
      </w:pPr>
    </w:p>
    <w:p w:rsidR="00FE4DBB" w:rsidRDefault="00360AAE">
      <w:pPr>
        <w:pStyle w:val="Prrafodelista"/>
        <w:numPr>
          <w:ilvl w:val="0"/>
          <w:numId w:val="5"/>
        </w:numPr>
        <w:spacing w:after="120" w:line="288" w:lineRule="auto"/>
        <w:rPr>
          <w:rFonts w:asciiTheme="minorHAnsi" w:hAnsiTheme="minorHAnsi" w:cstheme="minorHAnsi"/>
          <w:b/>
          <w:color w:val="000000"/>
          <w:sz w:val="24"/>
        </w:rPr>
      </w:pPr>
      <w:r>
        <w:rPr>
          <w:rFonts w:asciiTheme="minorHAnsi" w:hAnsiTheme="minorHAnsi" w:cstheme="minorHAnsi"/>
          <w:b/>
          <w:color w:val="000000"/>
          <w:sz w:val="24"/>
        </w:rPr>
        <w:t>Patentes y Registros:</w:t>
      </w:r>
    </w:p>
    <w:p w:rsidR="00FE4DBB" w:rsidRDefault="00360AAE">
      <w:pPr>
        <w:pStyle w:val="Prrafodelista"/>
        <w:numPr>
          <w:ilvl w:val="0"/>
          <w:numId w:val="11"/>
        </w:numPr>
        <w:spacing w:after="120" w:line="288" w:lineRule="auto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Cantidad de Patentes de invención y modelos de utilidad solicitados y concedidos.</w:t>
      </w:r>
    </w:p>
    <w:p w:rsidR="00FE4DBB" w:rsidRDefault="00360AAE">
      <w:pPr>
        <w:pStyle w:val="Prrafodelista"/>
        <w:numPr>
          <w:ilvl w:val="0"/>
          <w:numId w:val="11"/>
        </w:numPr>
        <w:spacing w:after="120" w:line="288" w:lineRule="auto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Cantidad de Registros no informáticos (no se deben incluir los registros de autor </w:t>
      </w:r>
      <w:r>
        <w:rPr>
          <w:rFonts w:asciiTheme="minorHAnsi" w:hAnsiTheme="minorHAnsi" w:cstheme="minorHAnsi"/>
          <w:color w:val="000000"/>
          <w:sz w:val="24"/>
        </w:rPr>
        <w:t>en CENDA)</w:t>
      </w:r>
    </w:p>
    <w:p w:rsidR="00FE4DBB" w:rsidRDefault="00360AAE">
      <w:pPr>
        <w:pStyle w:val="Prrafodelista"/>
        <w:numPr>
          <w:ilvl w:val="0"/>
          <w:numId w:val="11"/>
        </w:numPr>
        <w:spacing w:after="120" w:line="288" w:lineRule="auto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Cantidad de Registros de software (incluye multimedia)</w:t>
      </w:r>
    </w:p>
    <w:p w:rsidR="00FE4DBB" w:rsidRDefault="00360AAE">
      <w:pPr>
        <w:pStyle w:val="Prrafodelista"/>
        <w:numPr>
          <w:ilvl w:val="0"/>
          <w:numId w:val="11"/>
        </w:numPr>
        <w:spacing w:after="120" w:line="288" w:lineRule="auto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Cantidad de Normas nacionales, ramales y empresariales.</w:t>
      </w:r>
    </w:p>
    <w:p w:rsidR="00FE4DBB" w:rsidRDefault="00360AAE">
      <w:pPr>
        <w:pStyle w:val="Prrafodelista"/>
        <w:numPr>
          <w:ilvl w:val="0"/>
          <w:numId w:val="11"/>
        </w:numPr>
        <w:spacing w:after="120" w:line="288" w:lineRule="auto"/>
        <w:jc w:val="both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Valoración del funcionamiento del SIPI en la institución. </w:t>
      </w:r>
    </w:p>
    <w:p w:rsidR="00FE4DBB" w:rsidRDefault="00360AAE">
      <w:pPr>
        <w:numPr>
          <w:ilvl w:val="0"/>
          <w:numId w:val="7"/>
        </w:numPr>
        <w:spacing w:before="240" w:after="120" w:line="288" w:lineRule="auto"/>
        <w:rPr>
          <w:rFonts w:asciiTheme="minorHAnsi" w:hAnsiTheme="minorHAnsi" w:cstheme="minorHAnsi"/>
          <w:b/>
          <w:color w:val="000000"/>
          <w:sz w:val="24"/>
          <w:u w:val="single"/>
        </w:rPr>
      </w:pPr>
      <w:r>
        <w:rPr>
          <w:rFonts w:asciiTheme="minorHAnsi" w:hAnsiTheme="minorHAnsi" w:cstheme="minorHAnsi"/>
          <w:b/>
          <w:color w:val="000000"/>
          <w:sz w:val="24"/>
          <w:u w:val="single"/>
        </w:rPr>
        <w:t>Desarrollo Local</w:t>
      </w:r>
    </w:p>
    <w:p w:rsidR="00FE4DBB" w:rsidRDefault="00360AAE">
      <w:pPr>
        <w:spacing w:after="120" w:line="288" w:lineRule="auto"/>
        <w:ind w:left="567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Debe hacerse un análisis de la incidencia del trabajo de </w:t>
      </w:r>
      <w:r>
        <w:rPr>
          <w:rFonts w:asciiTheme="minorHAnsi" w:hAnsiTheme="minorHAnsi" w:cstheme="minorHAnsi"/>
          <w:sz w:val="24"/>
        </w:rPr>
        <w:t xml:space="preserve">I+D+i de la universidad y sus CUM en el desarrollo de los municipios de su radio de acción. </w:t>
      </w:r>
    </w:p>
    <w:p w:rsidR="00FE4DBB" w:rsidRDefault="00360AAE">
      <w:pPr>
        <w:spacing w:after="120" w:line="288" w:lineRule="auto"/>
        <w:ind w:left="567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En la valoración de este aspecto debe tomarse como referencia los criterios de medidas 5 y 6 planificados del objetivo 6 del ARC 3. Referir el número de proyectos </w:t>
      </w:r>
      <w:r>
        <w:rPr>
          <w:rFonts w:asciiTheme="minorHAnsi" w:hAnsiTheme="minorHAnsi" w:cstheme="minorHAnsi"/>
          <w:sz w:val="24"/>
        </w:rPr>
        <w:t>de I+D+i en los municipios y su impacto expresado en indicadores pertinentes y objetivos. Debe precisarse la participación y colaboración de la universidad y sus CUM en los Sistemas de innovación local (SIL) articulados con las EDM y PIDM. Demostrar que s</w:t>
      </w:r>
      <w:r>
        <w:rPr>
          <w:rFonts w:asciiTheme="minorHAnsi" w:hAnsiTheme="minorHAnsi" w:cstheme="minorHAnsi"/>
          <w:sz w:val="24"/>
          <w:lang w:val="es-PR"/>
        </w:rPr>
        <w:t>e</w:t>
      </w:r>
      <w:r>
        <w:rPr>
          <w:rFonts w:asciiTheme="minorHAnsi" w:hAnsiTheme="minorHAnsi" w:cstheme="minorHAnsi"/>
          <w:sz w:val="24"/>
          <w:lang w:val="es-PR"/>
        </w:rPr>
        <w:t xml:space="preserve"> logra una atención e impacto diferenciado sobre el desarrollo económico y social de los 60 municipios priorizados. </w:t>
      </w:r>
      <w:r>
        <w:rPr>
          <w:rFonts w:asciiTheme="minorHAnsi" w:hAnsiTheme="minorHAnsi" w:cstheme="minorHAnsi"/>
          <w:sz w:val="24"/>
        </w:rPr>
        <w:t>Puntualizar la influencia de GUCID y participación en PADIT</w:t>
      </w:r>
    </w:p>
    <w:p w:rsidR="00FE4DBB" w:rsidRDefault="00FE4DBB">
      <w:pPr>
        <w:spacing w:after="120" w:line="288" w:lineRule="auto"/>
        <w:ind w:left="567"/>
        <w:jc w:val="both"/>
        <w:rPr>
          <w:rFonts w:asciiTheme="minorHAnsi" w:hAnsiTheme="minorHAnsi" w:cstheme="minorHAnsi"/>
          <w:sz w:val="24"/>
        </w:rPr>
      </w:pPr>
    </w:p>
    <w:p w:rsidR="00FE4DBB" w:rsidRDefault="00360AAE">
      <w:pPr>
        <w:numPr>
          <w:ilvl w:val="0"/>
          <w:numId w:val="7"/>
        </w:numPr>
        <w:spacing w:after="120" w:line="288" w:lineRule="auto"/>
        <w:rPr>
          <w:rFonts w:asciiTheme="minorHAnsi" w:hAnsiTheme="minorHAnsi" w:cstheme="minorHAnsi"/>
          <w:b/>
          <w:color w:val="000000"/>
          <w:sz w:val="24"/>
          <w:u w:val="single"/>
        </w:rPr>
      </w:pPr>
      <w:r>
        <w:rPr>
          <w:rFonts w:asciiTheme="minorHAnsi" w:hAnsiTheme="minorHAnsi" w:cstheme="minorHAnsi"/>
          <w:b/>
          <w:color w:val="000000"/>
          <w:sz w:val="24"/>
          <w:u w:val="single"/>
        </w:rPr>
        <w:t>Análisis sobre la actividad de los Centros de Estudio.</w:t>
      </w:r>
    </w:p>
    <w:p w:rsidR="00FE4DBB" w:rsidRDefault="00360AAE">
      <w:pPr>
        <w:pStyle w:val="Textoindependiente3"/>
        <w:spacing w:after="120" w:line="288" w:lineRule="auto"/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L</w:t>
      </w:r>
      <w:r>
        <w:rPr>
          <w:rFonts w:asciiTheme="minorHAnsi" w:hAnsiTheme="minorHAnsi" w:cstheme="minorHAnsi"/>
          <w:lang w:val="es-MX"/>
        </w:rPr>
        <w:t>as universidades realiz</w:t>
      </w:r>
      <w:r>
        <w:rPr>
          <w:rFonts w:asciiTheme="minorHAnsi" w:hAnsiTheme="minorHAnsi" w:cstheme="minorHAnsi"/>
          <w:lang w:val="es-MX"/>
        </w:rPr>
        <w:t>arán como parte del proceso de balance anual, el análisis de la pertinencia de los Centros de Estudios, entregando un resumen del proceso según la planilla que se anexa.</w:t>
      </w:r>
    </w:p>
    <w:p w:rsidR="00FE4DBB" w:rsidRDefault="00360AAE">
      <w:pPr>
        <w:pStyle w:val="Textoindependiente3"/>
        <w:spacing w:after="120" w:line="288" w:lineRule="auto"/>
        <w:ind w:left="567"/>
        <w:rPr>
          <w:rFonts w:ascii="Calibri" w:hAnsi="Calibri" w:cs="Calibri"/>
          <w:u w:val="single"/>
          <w:lang w:val="es-AR"/>
        </w:rPr>
      </w:pPr>
      <w:r>
        <w:rPr>
          <w:rFonts w:asciiTheme="minorHAnsi" w:hAnsiTheme="minorHAnsi" w:cstheme="minorHAnsi"/>
        </w:rPr>
        <w:t xml:space="preserve">Se hace necesaria una visión estratégica de los marcos institucionales para enfrentar </w:t>
      </w:r>
      <w:r>
        <w:rPr>
          <w:rFonts w:asciiTheme="minorHAnsi" w:hAnsiTheme="minorHAnsi" w:cstheme="minorHAnsi"/>
        </w:rPr>
        <w:t xml:space="preserve">los nuevos retos del desarrollo científico, la importancia de fortalecer la inter- y transdisciplinariedad y el desarrollo de las redes de investigación; </w:t>
      </w:r>
      <w:r>
        <w:rPr>
          <w:rFonts w:ascii="Calibri" w:hAnsi="Calibri" w:cs="Calibri"/>
        </w:rPr>
        <w:t xml:space="preserve">el vinculo entre investigación, extensión y formación profesional y la </w:t>
      </w:r>
      <w:r>
        <w:rPr>
          <w:rFonts w:ascii="Calibri" w:hAnsi="Calibri" w:cs="Calibri"/>
          <w:u w:val="single"/>
        </w:rPr>
        <w:t>requerida colaboración que debe</w:t>
      </w:r>
      <w:r>
        <w:rPr>
          <w:rFonts w:ascii="Calibri" w:hAnsi="Calibri" w:cs="Calibri"/>
          <w:u w:val="single"/>
        </w:rPr>
        <w:t xml:space="preserve"> existir entre los Centros de Estudio homólogo</w:t>
      </w:r>
      <w:r>
        <w:rPr>
          <w:rFonts w:ascii="Calibri" w:hAnsi="Calibri" w:cs="Calibri"/>
          <w:u w:val="single"/>
          <w:lang w:val="es-AR"/>
        </w:rPr>
        <w:t>s.</w:t>
      </w:r>
    </w:p>
    <w:p w:rsidR="00FE4DBB" w:rsidRDefault="00FE4DBB">
      <w:pPr>
        <w:pStyle w:val="Textoindependiente3"/>
        <w:spacing w:after="120" w:line="288" w:lineRule="auto"/>
        <w:ind w:left="567"/>
        <w:rPr>
          <w:rFonts w:asciiTheme="minorHAnsi" w:hAnsiTheme="minorHAnsi" w:cstheme="minorHAnsi"/>
          <w:lang w:val="es-MX"/>
        </w:rPr>
      </w:pPr>
    </w:p>
    <w:p w:rsidR="00FE4DBB" w:rsidRDefault="00360AAE">
      <w:pPr>
        <w:numPr>
          <w:ilvl w:val="0"/>
          <w:numId w:val="7"/>
        </w:numPr>
        <w:spacing w:after="120" w:line="288" w:lineRule="auto"/>
        <w:rPr>
          <w:rFonts w:asciiTheme="minorHAnsi" w:hAnsiTheme="minorHAnsi" w:cstheme="minorHAnsi"/>
          <w:b/>
          <w:color w:val="000000"/>
          <w:sz w:val="24"/>
          <w:u w:val="single"/>
        </w:rPr>
      </w:pPr>
      <w:r>
        <w:rPr>
          <w:rFonts w:asciiTheme="minorHAnsi" w:hAnsiTheme="minorHAnsi" w:cstheme="minorHAnsi"/>
          <w:b/>
          <w:color w:val="000000"/>
          <w:sz w:val="24"/>
          <w:u w:val="single"/>
          <w:lang w:val="es-AR"/>
        </w:rPr>
        <w:t>Análisis del trabajo de los dispositivos de interfase universidad-sector productivo.</w:t>
      </w:r>
    </w:p>
    <w:p w:rsidR="00FE4DBB" w:rsidRDefault="00360AAE">
      <w:pPr>
        <w:pStyle w:val="Textoindependiente3"/>
        <w:spacing w:after="120" w:line="288" w:lineRule="auto"/>
        <w:ind w:left="567"/>
        <w:rPr>
          <w:rFonts w:ascii="Calibri" w:hAnsi="Calibri" w:cs="Calibri"/>
          <w:lang w:val="es-AR"/>
        </w:rPr>
      </w:pPr>
      <w:r>
        <w:rPr>
          <w:rFonts w:asciiTheme="minorHAnsi" w:hAnsiTheme="minorHAnsi" w:cstheme="minorHAnsi"/>
          <w:lang w:val="es-MX"/>
        </w:rPr>
        <w:t xml:space="preserve">Las universidades y ECTI </w:t>
      </w:r>
      <w:r>
        <w:rPr>
          <w:rFonts w:asciiTheme="minorHAnsi" w:hAnsiTheme="minorHAnsi" w:cstheme="minorHAnsi"/>
          <w:lang w:val="es-AR"/>
        </w:rPr>
        <w:t>deberán</w:t>
      </w:r>
      <w:r>
        <w:rPr>
          <w:rFonts w:asciiTheme="minorHAnsi" w:hAnsiTheme="minorHAnsi" w:cstheme="minorHAnsi"/>
          <w:lang w:val="es-MX"/>
        </w:rPr>
        <w:t xml:space="preserve"> incorporar al Balance Anual de Ciencia Tecnología e Innovación, </w:t>
      </w:r>
      <w:r>
        <w:rPr>
          <w:rFonts w:asciiTheme="minorHAnsi" w:hAnsiTheme="minorHAnsi" w:cstheme="minorHAnsi"/>
          <w:lang w:val="es-AR"/>
        </w:rPr>
        <w:t>el análisis d</w:t>
      </w:r>
      <w:r>
        <w:rPr>
          <w:rFonts w:ascii="Calibri" w:hAnsi="Calibri" w:cs="Calibri"/>
        </w:rPr>
        <w:t xml:space="preserve">el vínculo </w:t>
      </w:r>
      <w:r>
        <w:rPr>
          <w:rFonts w:ascii="Calibri" w:hAnsi="Calibri" w:cs="Calibri"/>
        </w:rPr>
        <w:t>universidad-empresa para lograr el encadenamiento productivo; alianzas estratégicas con las entidades no empresariales; actividades todas que favorecen el incremento del impacto de los resultados científicos y su adecuación a los cambios generados en la ac</w:t>
      </w:r>
      <w:r>
        <w:rPr>
          <w:rFonts w:ascii="Calibri" w:hAnsi="Calibri" w:cs="Calibri"/>
        </w:rPr>
        <w:t>tualización del modelo económico cubano</w:t>
      </w:r>
      <w:r>
        <w:rPr>
          <w:rFonts w:ascii="Calibri" w:hAnsi="Calibri" w:cs="Calibri"/>
          <w:lang w:val="es-MX"/>
        </w:rPr>
        <w:t xml:space="preserve"> así como una evaluación de los mecanismos y dispositivos con que cuenta la universidad para la transferencia de los resultados de la investigación</w:t>
      </w:r>
      <w:r>
        <w:rPr>
          <w:rFonts w:ascii="Calibri" w:hAnsi="Calibri" w:cs="Calibri"/>
          <w:lang w:val="es-AR"/>
        </w:rPr>
        <w:t>.</w:t>
      </w:r>
    </w:p>
    <w:p w:rsidR="00FE4DBB" w:rsidRDefault="00FE4DBB">
      <w:pPr>
        <w:pStyle w:val="Textoindependiente3"/>
        <w:spacing w:after="120" w:line="288" w:lineRule="auto"/>
        <w:ind w:left="567"/>
        <w:rPr>
          <w:rFonts w:ascii="Calibri" w:hAnsi="Calibri" w:cs="Calibri"/>
          <w:lang w:val="es-AR"/>
        </w:rPr>
      </w:pPr>
    </w:p>
    <w:p w:rsidR="00FE4DBB" w:rsidRDefault="00360AAE">
      <w:pPr>
        <w:pStyle w:val="Textoindependiente3"/>
        <w:spacing w:after="120" w:line="288" w:lineRule="auto"/>
        <w:rPr>
          <w:rFonts w:asciiTheme="minorHAnsi" w:hAnsiTheme="minorHAnsi" w:cstheme="minorHAnsi"/>
          <w:lang w:val="es-MX"/>
        </w:rPr>
      </w:pPr>
      <w:r>
        <w:rPr>
          <w:rFonts w:asciiTheme="minorHAnsi" w:hAnsiTheme="minorHAnsi" w:cstheme="minorHAnsi"/>
          <w:lang w:val="es-AR"/>
        </w:rPr>
        <w:t>C</w:t>
      </w:r>
      <w:r>
        <w:rPr>
          <w:rFonts w:asciiTheme="minorHAnsi" w:hAnsiTheme="minorHAnsi" w:cstheme="minorHAnsi"/>
          <w:lang w:val="es-MX"/>
        </w:rPr>
        <w:t>ualquier otro aspecto que considere de interés y necesario para pr</w:t>
      </w:r>
      <w:r>
        <w:rPr>
          <w:rFonts w:asciiTheme="minorHAnsi" w:hAnsiTheme="minorHAnsi" w:cstheme="minorHAnsi"/>
          <w:lang w:val="es-MX"/>
        </w:rPr>
        <w:t>ofundizar sobre los resultados del trabajo de investigaci</w:t>
      </w:r>
      <w:r>
        <w:rPr>
          <w:rFonts w:asciiTheme="minorHAnsi" w:hAnsiTheme="minorHAnsi" w:cstheme="minorHAnsi"/>
          <w:lang w:val="es-AR"/>
        </w:rPr>
        <w:t>ón</w:t>
      </w:r>
      <w:r>
        <w:rPr>
          <w:rFonts w:asciiTheme="minorHAnsi" w:hAnsiTheme="minorHAnsi" w:cstheme="minorHAnsi"/>
          <w:lang w:val="es-MX"/>
        </w:rPr>
        <w:t xml:space="preserve"> en </w:t>
      </w:r>
      <w:r>
        <w:rPr>
          <w:rFonts w:asciiTheme="minorHAnsi" w:hAnsiTheme="minorHAnsi" w:cstheme="minorHAnsi"/>
          <w:lang w:val="es-AR"/>
        </w:rPr>
        <w:t>la</w:t>
      </w:r>
      <w:r>
        <w:rPr>
          <w:rFonts w:asciiTheme="minorHAnsi" w:hAnsiTheme="minorHAnsi" w:cstheme="minorHAnsi"/>
          <w:lang w:val="es-MX"/>
        </w:rPr>
        <w:t xml:space="preserve"> institución.</w:t>
      </w:r>
    </w:p>
    <w:p w:rsidR="00FE4DBB" w:rsidRDefault="00FE4DBB">
      <w:pPr>
        <w:rPr>
          <w:rFonts w:asciiTheme="minorHAnsi" w:hAnsiTheme="minorHAnsi" w:cstheme="minorHAnsi"/>
          <w:b/>
          <w:sz w:val="24"/>
        </w:rPr>
      </w:pPr>
    </w:p>
    <w:p w:rsidR="00FE4DBB" w:rsidRDefault="00360AAE">
      <w:pPr>
        <w:pStyle w:val="Textoindependiente3"/>
        <w:spacing w:after="120" w:line="288" w:lineRule="auto"/>
        <w:rPr>
          <w:rFonts w:asciiTheme="minorHAnsi" w:hAnsiTheme="minorHAnsi" w:cstheme="minorHAnsi"/>
          <w:b/>
          <w:lang w:val="es-MX"/>
        </w:rPr>
      </w:pPr>
      <w:r>
        <w:rPr>
          <w:rFonts w:asciiTheme="minorHAnsi" w:hAnsiTheme="minorHAnsi" w:cstheme="minorHAnsi"/>
          <w:b/>
        </w:rPr>
        <w:t>DETERMINACIÓN DE LOS PREMIOS AL MÉRITO CIENTÍFICO-TÉCNICO Y PROPUESTAS DE PREMIOS AL MES Y DISTINCIONES ESPECIALES</w:t>
      </w:r>
    </w:p>
    <w:p w:rsidR="00FE4DBB" w:rsidRDefault="00360AAE">
      <w:pPr>
        <w:spacing w:after="120" w:line="288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Según lo establecido cada centro selecciona y aprueba en la i</w:t>
      </w:r>
      <w:r>
        <w:rPr>
          <w:rFonts w:asciiTheme="minorHAnsi" w:hAnsiTheme="minorHAnsi" w:cstheme="minorHAnsi"/>
          <w:sz w:val="24"/>
        </w:rPr>
        <w:t>nstancia de la universidad o ECTI, los Premios al Mérito Científico-Técnico de acuerdo a los requisitos y cuotas establecidas en el “Sistema de Premios a los resultados del trabajo de la Ciencia, la Tecnología y la Innovación del Ministerio de Educación Su</w:t>
      </w:r>
      <w:r>
        <w:rPr>
          <w:rFonts w:asciiTheme="minorHAnsi" w:hAnsiTheme="minorHAnsi" w:cstheme="minorHAnsi"/>
          <w:sz w:val="24"/>
        </w:rPr>
        <w:t>perior”.</w:t>
      </w:r>
    </w:p>
    <w:p w:rsidR="00FE4DBB" w:rsidRDefault="00360AAE">
      <w:pPr>
        <w:spacing w:after="120" w:line="288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A partir de los Premios al Mérito Científico-Técnico aprobados por los Centros, éstos podrán optar por los Premios del Ministerio de Educación Superior por la Investigación Científica y Tecnológica y la Innovación a los:  </w:t>
      </w:r>
    </w:p>
    <w:p w:rsidR="00FE4DBB" w:rsidRDefault="00360AAE">
      <w:pPr>
        <w:numPr>
          <w:ilvl w:val="0"/>
          <w:numId w:val="14"/>
        </w:numPr>
        <w:spacing w:after="89" w:line="271" w:lineRule="auto"/>
        <w:ind w:hanging="446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>Resultados de mayor impa</w:t>
      </w:r>
      <w:r>
        <w:rPr>
          <w:rFonts w:asciiTheme="minorHAnsi" w:hAnsiTheme="minorHAnsi" w:cstheme="minorHAnsi"/>
          <w:sz w:val="24"/>
        </w:rPr>
        <w:t xml:space="preserve">cto científico en las Ciencias Naturales y Exactas, Ciencias Agrícolas, Ciencias Sociales y Humanísticas, Ciencias Económicas, Ciencias Pedagógicas, Ciencias de la Cultura Física y el deporte o Ciencias Técnicas  </w:t>
      </w:r>
    </w:p>
    <w:p w:rsidR="00FE4DBB" w:rsidRDefault="00360AAE">
      <w:pPr>
        <w:numPr>
          <w:ilvl w:val="0"/>
          <w:numId w:val="14"/>
        </w:numPr>
        <w:spacing w:after="89" w:line="271" w:lineRule="auto"/>
        <w:ind w:hanging="446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Resultados de mayor impacto económico, soc</w:t>
      </w:r>
      <w:r>
        <w:rPr>
          <w:rFonts w:asciiTheme="minorHAnsi" w:hAnsiTheme="minorHAnsi" w:cstheme="minorHAnsi"/>
          <w:sz w:val="24"/>
        </w:rPr>
        <w:t xml:space="preserve">ial o al medioambiente </w:t>
      </w:r>
    </w:p>
    <w:p w:rsidR="00FE4DBB" w:rsidRDefault="00360AAE">
      <w:pPr>
        <w:numPr>
          <w:ilvl w:val="0"/>
          <w:numId w:val="14"/>
        </w:numPr>
        <w:spacing w:after="89" w:line="271" w:lineRule="auto"/>
        <w:ind w:hanging="446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Resultados de mayor aporte a la Defensa del país, a la Educación o al Desarrollo Local</w:t>
      </w:r>
      <w:r>
        <w:rPr>
          <w:rFonts w:asciiTheme="minorHAnsi" w:hAnsiTheme="minorHAnsi" w:cstheme="minorHAnsi"/>
          <w:sz w:val="24"/>
          <w:lang w:val="es-AR"/>
        </w:rPr>
        <w:t>.</w:t>
      </w:r>
    </w:p>
    <w:p w:rsidR="00FE4DBB" w:rsidRDefault="00360AAE">
      <w:pPr>
        <w:pStyle w:val="Textoindependiente2"/>
        <w:spacing w:after="120" w:line="288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Los centros también enviaran también las propuestas de Distinciones Especiales que otorga el Ministro, según las cuotas establecidas. En todos </w:t>
      </w:r>
      <w:r>
        <w:rPr>
          <w:rFonts w:asciiTheme="minorHAnsi" w:hAnsiTheme="minorHAnsi" w:cstheme="minorHAnsi"/>
          <w:sz w:val="24"/>
        </w:rPr>
        <w:t>los resultados que se propongan a premio</w:t>
      </w:r>
      <w:r>
        <w:rPr>
          <w:rFonts w:asciiTheme="minorHAnsi" w:hAnsiTheme="minorHAnsi" w:cstheme="minorHAnsi"/>
          <w:sz w:val="24"/>
          <w:lang w:val="es-AR"/>
        </w:rPr>
        <w:t>s o</w:t>
      </w:r>
      <w:r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  <w:lang w:val="es-AR"/>
        </w:rPr>
        <w:t>d</w:t>
      </w:r>
      <w:r>
        <w:rPr>
          <w:rFonts w:asciiTheme="minorHAnsi" w:hAnsiTheme="minorHAnsi" w:cstheme="minorHAnsi"/>
          <w:sz w:val="24"/>
        </w:rPr>
        <w:t>istinci</w:t>
      </w:r>
      <w:r>
        <w:rPr>
          <w:rFonts w:asciiTheme="minorHAnsi" w:hAnsiTheme="minorHAnsi" w:cstheme="minorHAnsi"/>
          <w:sz w:val="24"/>
          <w:lang w:val="es-AR"/>
        </w:rPr>
        <w:t>ones</w:t>
      </w:r>
      <w:r>
        <w:rPr>
          <w:rFonts w:asciiTheme="minorHAnsi" w:hAnsiTheme="minorHAnsi" w:cstheme="minorHAnsi"/>
          <w:sz w:val="24"/>
        </w:rPr>
        <w:t xml:space="preserve"> debe estar clara la concreción de los resultados en los últimos 2 ó 3 años como máximo.</w:t>
      </w:r>
    </w:p>
    <w:p w:rsidR="00FE4DBB" w:rsidRDefault="00FE4DBB">
      <w:pPr>
        <w:spacing w:after="120" w:line="288" w:lineRule="auto"/>
        <w:rPr>
          <w:rFonts w:asciiTheme="minorHAnsi" w:hAnsiTheme="minorHAnsi" w:cstheme="minorHAnsi"/>
          <w:b/>
          <w:sz w:val="24"/>
          <w:lang w:val="es-MX"/>
        </w:rPr>
      </w:pPr>
    </w:p>
    <w:p w:rsidR="00FE4DBB" w:rsidRDefault="00360AAE">
      <w:pPr>
        <w:spacing w:after="120" w:line="288" w:lineRule="auto"/>
        <w:rPr>
          <w:rFonts w:asciiTheme="minorHAnsi" w:hAnsiTheme="minorHAnsi" w:cstheme="minorHAnsi"/>
          <w:b/>
          <w:sz w:val="24"/>
          <w:lang w:val="es-MX"/>
        </w:rPr>
      </w:pPr>
      <w:r>
        <w:rPr>
          <w:rFonts w:asciiTheme="minorHAnsi" w:hAnsiTheme="minorHAnsi" w:cstheme="minorHAnsi"/>
          <w:b/>
          <w:sz w:val="24"/>
          <w:lang w:val="es-MX"/>
        </w:rPr>
        <w:t xml:space="preserve">FECHA DE ENTREGA DEL BALANCE ANUAL </w:t>
      </w:r>
    </w:p>
    <w:p w:rsidR="00FE4DBB" w:rsidRDefault="00360AAE">
      <w:pPr>
        <w:spacing w:after="120" w:line="288" w:lineRule="auto"/>
        <w:jc w:val="both"/>
        <w:rPr>
          <w:rFonts w:asciiTheme="minorHAnsi" w:hAnsiTheme="minorHAnsi" w:cstheme="minorHAnsi"/>
          <w:sz w:val="24"/>
          <w:lang w:val="es-MX"/>
        </w:rPr>
      </w:pPr>
      <w:r>
        <w:rPr>
          <w:rFonts w:asciiTheme="minorHAnsi" w:hAnsiTheme="minorHAnsi" w:cstheme="minorHAnsi"/>
          <w:sz w:val="24"/>
          <w:lang w:val="es-MX"/>
        </w:rPr>
        <w:t xml:space="preserve">El Informe Balance Anual de Ciencia Tecnología e Innovación se entregará </w:t>
      </w:r>
      <w:r>
        <w:rPr>
          <w:rFonts w:asciiTheme="minorHAnsi" w:hAnsiTheme="minorHAnsi" w:cstheme="minorHAnsi"/>
          <w:sz w:val="24"/>
          <w:lang w:val="es-AR"/>
        </w:rPr>
        <w:t>a</w:t>
      </w:r>
      <w:r>
        <w:rPr>
          <w:rFonts w:asciiTheme="minorHAnsi" w:hAnsiTheme="minorHAnsi" w:cstheme="minorHAnsi"/>
          <w:sz w:val="24"/>
          <w:lang w:val="es-AR"/>
        </w:rPr>
        <w:t xml:space="preserve">ntes del </w:t>
      </w:r>
      <w:r>
        <w:rPr>
          <w:rFonts w:asciiTheme="minorHAnsi" w:hAnsiTheme="minorHAnsi" w:cstheme="minorHAnsi"/>
          <w:sz w:val="24"/>
          <w:lang w:val="es-MX"/>
        </w:rPr>
        <w:t>15 de enero del 2018. Deberá presentarse un ejemplar en soporte papel y otro digital. Las propuestas de Premios del MES y de las Distinciones Especiales del Ministro, también se entregarán en esa fecha.</w:t>
      </w:r>
    </w:p>
    <w:p w:rsidR="00FE4DBB" w:rsidRDefault="00360AAE">
      <w:pPr>
        <w:spacing w:after="120" w:line="288" w:lineRule="auto"/>
        <w:jc w:val="both"/>
        <w:rPr>
          <w:rFonts w:asciiTheme="minorHAnsi" w:hAnsiTheme="minorHAnsi" w:cstheme="minorHAnsi"/>
          <w:sz w:val="24"/>
          <w:lang w:val="es-MX"/>
        </w:rPr>
      </w:pPr>
      <w:r>
        <w:rPr>
          <w:rFonts w:asciiTheme="minorHAnsi" w:hAnsiTheme="minorHAnsi" w:cstheme="minorHAnsi"/>
          <w:sz w:val="24"/>
          <w:lang w:val="es-MX"/>
        </w:rPr>
        <w:t>La información estadística que incluye los i</w:t>
      </w:r>
      <w:r>
        <w:rPr>
          <w:rFonts w:asciiTheme="minorHAnsi" w:hAnsiTheme="minorHAnsi" w:cstheme="minorHAnsi"/>
          <w:sz w:val="24"/>
          <w:lang w:val="es-MX"/>
        </w:rPr>
        <w:t xml:space="preserve">ndicadores utilizados para valorar el trabajo de investigación e innovación tecnológica deberá ser procesada por los dispositivos estadísticos de las universidades y ECTI y enviada </w:t>
      </w:r>
      <w:r>
        <w:rPr>
          <w:rFonts w:asciiTheme="minorHAnsi" w:hAnsiTheme="minorHAnsi" w:cstheme="minorHAnsi"/>
          <w:sz w:val="24"/>
          <w:lang w:val="es-AR"/>
        </w:rPr>
        <w:t xml:space="preserve">también </w:t>
      </w:r>
      <w:r>
        <w:rPr>
          <w:rFonts w:asciiTheme="minorHAnsi" w:hAnsiTheme="minorHAnsi" w:cstheme="minorHAnsi"/>
          <w:sz w:val="24"/>
          <w:lang w:val="es-MX"/>
        </w:rPr>
        <w:t xml:space="preserve">al Departamento de Estadística del MES </w:t>
      </w:r>
      <w:r>
        <w:rPr>
          <w:rFonts w:asciiTheme="minorHAnsi" w:hAnsiTheme="minorHAnsi" w:cstheme="minorHAnsi"/>
          <w:sz w:val="24"/>
          <w:u w:val="single"/>
          <w:lang w:val="es-MX"/>
        </w:rPr>
        <w:t>antes del 15 de enero de 201</w:t>
      </w:r>
      <w:r>
        <w:rPr>
          <w:rFonts w:asciiTheme="minorHAnsi" w:hAnsiTheme="minorHAnsi" w:cstheme="minorHAnsi"/>
          <w:sz w:val="24"/>
          <w:u w:val="single"/>
          <w:lang w:val="es-MX"/>
        </w:rPr>
        <w:t>8</w:t>
      </w:r>
      <w:r>
        <w:rPr>
          <w:rFonts w:asciiTheme="minorHAnsi" w:hAnsiTheme="minorHAnsi" w:cstheme="minorHAnsi"/>
          <w:sz w:val="24"/>
          <w:lang w:val="es-MX"/>
        </w:rPr>
        <w:t xml:space="preserve">, una vez revisada y utilizada por cada centro para conformar el Informe Balance Anual debe de ser aprobado por el </w:t>
      </w:r>
      <w:r>
        <w:rPr>
          <w:rFonts w:asciiTheme="minorHAnsi" w:hAnsiTheme="minorHAnsi" w:cstheme="minorHAnsi"/>
          <w:sz w:val="24"/>
          <w:lang w:val="es-MX"/>
        </w:rPr>
        <w:t xml:space="preserve">Vicerrector </w:t>
      </w:r>
      <w:r>
        <w:rPr>
          <w:rFonts w:asciiTheme="minorHAnsi" w:hAnsiTheme="minorHAnsi" w:cstheme="minorHAnsi"/>
          <w:sz w:val="24"/>
          <w:lang w:val="es-MX"/>
        </w:rPr>
        <w:t>que atiende la actividad. Se anexa el formato del Modelo Estadístico 223.090 Ciencia y Técnica.</w:t>
      </w:r>
    </w:p>
    <w:p w:rsidR="00FE4DBB" w:rsidRDefault="00FE4DBB">
      <w:pPr>
        <w:spacing w:after="120" w:line="288" w:lineRule="auto"/>
        <w:rPr>
          <w:rFonts w:asciiTheme="minorHAnsi" w:hAnsiTheme="minorHAnsi" w:cstheme="minorHAnsi"/>
          <w:sz w:val="24"/>
          <w:lang w:val="es-MX"/>
        </w:rPr>
      </w:pPr>
    </w:p>
    <w:p w:rsidR="00FE4DBB" w:rsidRDefault="00360AAE">
      <w:pPr>
        <w:spacing w:line="288" w:lineRule="auto"/>
        <w:rPr>
          <w:rFonts w:asciiTheme="minorHAnsi" w:hAnsiTheme="minorHAnsi" w:cstheme="minorHAnsi"/>
          <w:sz w:val="24"/>
          <w:lang w:val="es-MX"/>
        </w:rPr>
      </w:pPr>
      <w:r>
        <w:rPr>
          <w:rFonts w:asciiTheme="minorHAnsi" w:hAnsiTheme="minorHAnsi" w:cstheme="minorHAnsi"/>
          <w:sz w:val="24"/>
          <w:lang w:val="es-AR"/>
        </w:rPr>
        <w:t>1ro.</w:t>
      </w:r>
      <w:r>
        <w:rPr>
          <w:rFonts w:asciiTheme="minorHAnsi" w:hAnsiTheme="minorHAnsi" w:cstheme="minorHAnsi"/>
          <w:sz w:val="24"/>
          <w:lang w:val="es-MX"/>
        </w:rPr>
        <w:t xml:space="preserve"> de </w:t>
      </w:r>
      <w:r>
        <w:rPr>
          <w:rFonts w:asciiTheme="minorHAnsi" w:hAnsiTheme="minorHAnsi" w:cstheme="minorHAnsi"/>
          <w:sz w:val="24"/>
          <w:lang w:val="es-AR"/>
        </w:rPr>
        <w:t>septiembre</w:t>
      </w:r>
      <w:r>
        <w:rPr>
          <w:rFonts w:asciiTheme="minorHAnsi" w:hAnsiTheme="minorHAnsi" w:cstheme="minorHAnsi"/>
          <w:sz w:val="24"/>
          <w:lang w:val="es-MX"/>
        </w:rPr>
        <w:t xml:space="preserve"> 201</w:t>
      </w:r>
      <w:r>
        <w:rPr>
          <w:rFonts w:asciiTheme="minorHAnsi" w:hAnsiTheme="minorHAnsi" w:cstheme="minorHAnsi"/>
          <w:sz w:val="24"/>
          <w:lang w:val="es-AR"/>
        </w:rPr>
        <w:t>8</w:t>
      </w:r>
    </w:p>
    <w:p w:rsidR="00FE4DBB" w:rsidRDefault="00360AAE">
      <w:pPr>
        <w:pStyle w:val="Ttulo1"/>
        <w:spacing w:line="288" w:lineRule="auto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DIRECCI</w:t>
      </w:r>
      <w:r>
        <w:rPr>
          <w:rFonts w:asciiTheme="minorHAnsi" w:hAnsiTheme="minorHAnsi" w:cstheme="minorHAnsi"/>
          <w:b w:val="0"/>
        </w:rPr>
        <w:t>ON DE CIENCIA Y TÉCNICA</w:t>
      </w:r>
    </w:p>
    <w:p w:rsidR="00FE4DBB" w:rsidRDefault="00360AAE">
      <w:pPr>
        <w:spacing w:line="288" w:lineRule="auto"/>
        <w:rPr>
          <w:rFonts w:asciiTheme="minorHAnsi" w:hAnsiTheme="minorHAnsi" w:cstheme="minorHAnsi"/>
          <w:sz w:val="24"/>
          <w:lang w:val="es-MX"/>
        </w:rPr>
      </w:pPr>
      <w:r>
        <w:rPr>
          <w:rFonts w:asciiTheme="minorHAnsi" w:hAnsiTheme="minorHAnsi" w:cstheme="minorHAnsi"/>
          <w:sz w:val="24"/>
          <w:lang w:val="es-MX"/>
        </w:rPr>
        <w:t>MINISTERIO DE EDUCACI</w:t>
      </w:r>
      <w:r>
        <w:rPr>
          <w:rFonts w:asciiTheme="minorHAnsi" w:hAnsiTheme="minorHAnsi" w:cstheme="minorHAnsi"/>
          <w:sz w:val="24"/>
          <w:lang w:val="es-AR"/>
        </w:rPr>
        <w:t>Ó</w:t>
      </w:r>
      <w:r>
        <w:rPr>
          <w:rFonts w:asciiTheme="minorHAnsi" w:hAnsiTheme="minorHAnsi" w:cstheme="minorHAnsi"/>
          <w:sz w:val="24"/>
          <w:lang w:val="es-MX"/>
        </w:rPr>
        <w:t>N SUPERIOR</w:t>
      </w:r>
    </w:p>
    <w:sectPr w:rsidR="00FE4DBB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B7CC3"/>
    <w:multiLevelType w:val="hybridMultilevel"/>
    <w:tmpl w:val="524E0096"/>
    <w:lvl w:ilvl="0" w:tplc="D8549006">
      <w:start w:val="1"/>
      <w:numFmt w:val="bullet"/>
      <w:lvlText w:val=""/>
      <w:lvlJc w:val="left"/>
      <w:pPr>
        <w:ind w:left="861" w:hanging="360"/>
      </w:pPr>
      <w:rPr>
        <w:rFonts w:ascii="Symbol" w:hAnsi="Symbol"/>
      </w:rPr>
    </w:lvl>
    <w:lvl w:ilvl="1" w:tplc="D618D81E">
      <w:start w:val="1"/>
      <w:numFmt w:val="lowerLetter"/>
      <w:lvlText w:val="%2."/>
      <w:lvlJc w:val="left"/>
      <w:pPr>
        <w:ind w:left="1581" w:hanging="360"/>
      </w:pPr>
    </w:lvl>
    <w:lvl w:ilvl="2" w:tplc="B6320C78">
      <w:start w:val="1"/>
      <w:numFmt w:val="lowerRoman"/>
      <w:lvlText w:val="%3."/>
      <w:lvlJc w:val="right"/>
      <w:pPr>
        <w:ind w:left="2301" w:hanging="180"/>
      </w:pPr>
    </w:lvl>
    <w:lvl w:ilvl="3" w:tplc="BBBA4AA6">
      <w:start w:val="1"/>
      <w:numFmt w:val="decimal"/>
      <w:lvlText w:val="%4."/>
      <w:lvlJc w:val="left"/>
      <w:pPr>
        <w:ind w:left="3021" w:hanging="360"/>
      </w:pPr>
    </w:lvl>
    <w:lvl w:ilvl="4" w:tplc="4CBC3614">
      <w:start w:val="1"/>
      <w:numFmt w:val="lowerLetter"/>
      <w:lvlText w:val="%5."/>
      <w:lvlJc w:val="left"/>
      <w:pPr>
        <w:ind w:left="3741" w:hanging="360"/>
      </w:pPr>
    </w:lvl>
    <w:lvl w:ilvl="5" w:tplc="ED96317E">
      <w:start w:val="1"/>
      <w:numFmt w:val="lowerRoman"/>
      <w:lvlText w:val="%6."/>
      <w:lvlJc w:val="right"/>
      <w:pPr>
        <w:ind w:left="4461" w:hanging="180"/>
      </w:pPr>
    </w:lvl>
    <w:lvl w:ilvl="6" w:tplc="2E8CF5D8">
      <w:start w:val="1"/>
      <w:numFmt w:val="decimal"/>
      <w:lvlText w:val="%7."/>
      <w:lvlJc w:val="left"/>
      <w:pPr>
        <w:ind w:left="5181" w:hanging="360"/>
      </w:pPr>
    </w:lvl>
    <w:lvl w:ilvl="7" w:tplc="26BA197A">
      <w:start w:val="1"/>
      <w:numFmt w:val="lowerLetter"/>
      <w:lvlText w:val="%8."/>
      <w:lvlJc w:val="left"/>
      <w:pPr>
        <w:ind w:left="5901" w:hanging="360"/>
      </w:pPr>
    </w:lvl>
    <w:lvl w:ilvl="8" w:tplc="D936781C">
      <w:start w:val="1"/>
      <w:numFmt w:val="lowerRoman"/>
      <w:lvlText w:val="%9."/>
      <w:lvlJc w:val="right"/>
      <w:pPr>
        <w:ind w:left="6621" w:hanging="180"/>
      </w:pPr>
    </w:lvl>
  </w:abstractNum>
  <w:abstractNum w:abstractNumId="1">
    <w:nsid w:val="0BE879CE"/>
    <w:multiLevelType w:val="hybridMultilevel"/>
    <w:tmpl w:val="351820F6"/>
    <w:lvl w:ilvl="0" w:tplc="F8B4B862">
      <w:start w:val="1"/>
      <w:numFmt w:val="decimal"/>
      <w:lvlText w:val="%1."/>
      <w:lvlJc w:val="left"/>
      <w:pPr>
        <w:ind w:left="1428" w:hanging="360"/>
      </w:pPr>
    </w:lvl>
    <w:lvl w:ilvl="1" w:tplc="180E4FF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FA66D23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32B6F642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D4928190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F42A8BFA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78BE8EF8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264B32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2AD2304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">
    <w:nsid w:val="1353127B"/>
    <w:multiLevelType w:val="hybridMultilevel"/>
    <w:tmpl w:val="6EDA22B0"/>
    <w:lvl w:ilvl="0" w:tplc="1638C0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b w:val="0"/>
      </w:rPr>
    </w:lvl>
    <w:lvl w:ilvl="1" w:tplc="4AF613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726E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85D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84F95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460A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9248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28CC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34E3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400D9A"/>
    <w:multiLevelType w:val="hybridMultilevel"/>
    <w:tmpl w:val="050ACC30"/>
    <w:lvl w:ilvl="0" w:tplc="037059DC">
      <w:start w:val="1"/>
      <w:numFmt w:val="upperRoman"/>
      <w:lvlText w:val="%1."/>
      <w:lvlJc w:val="right"/>
      <w:pPr>
        <w:tabs>
          <w:tab w:val="num" w:pos="390"/>
        </w:tabs>
        <w:ind w:left="390" w:hanging="390"/>
      </w:pPr>
    </w:lvl>
    <w:lvl w:ilvl="1" w:tplc="BEA2E6A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338868AE">
      <w:start w:val="1"/>
      <w:numFmt w:val="decimal"/>
      <w:lvlText w:val="%3."/>
      <w:lvlJc w:val="left"/>
      <w:pPr>
        <w:tabs>
          <w:tab w:val="num" w:pos="1516"/>
        </w:tabs>
        <w:ind w:left="1516" w:hanging="180"/>
      </w:pPr>
    </w:lvl>
    <w:lvl w:ilvl="3" w:tplc="77BAC0A0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5B60033C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7D76B760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85209E2C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7368FC7C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BA828E0C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4">
    <w:nsid w:val="26861130"/>
    <w:multiLevelType w:val="hybridMultilevel"/>
    <w:tmpl w:val="236C2CDC"/>
    <w:lvl w:ilvl="0" w:tplc="446C729E">
      <w:start w:val="1"/>
      <w:numFmt w:val="bullet"/>
      <w:lvlText w:val=""/>
      <w:lvlJc w:val="left"/>
      <w:pPr>
        <w:ind w:left="768"/>
      </w:pPr>
      <w:rPr>
        <w:rFonts w:ascii="Symbol" w:hAnsi="Symbol"/>
        <w:b w:val="0"/>
        <w:i w:val="0"/>
        <w:strike w:val="0"/>
        <w:dstrike w:val="0"/>
        <w:color w:val="000000"/>
        <w:sz w:val="24"/>
        <w:u w:val="none" w:color="000000"/>
        <w:bdr w:val="none" w:sz="4" w:space="0" w:color="auto"/>
        <w:shd w:val="clear" w:color="auto" w:fill="auto"/>
        <w:vertAlign w:val="baseline"/>
      </w:rPr>
    </w:lvl>
    <w:lvl w:ilvl="1" w:tplc="AACCE762">
      <w:start w:val="1"/>
      <w:numFmt w:val="lowerLetter"/>
      <w:lvlText w:val="%2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4" w:space="0" w:color="auto"/>
        <w:shd w:val="clear" w:color="auto" w:fill="auto"/>
        <w:vertAlign w:val="baseline"/>
      </w:rPr>
    </w:lvl>
    <w:lvl w:ilvl="2" w:tplc="2B4A10CE">
      <w:start w:val="1"/>
      <w:numFmt w:val="lowerRoman"/>
      <w:lvlText w:val="%3"/>
      <w:lvlJc w:val="left"/>
      <w:pPr>
        <w:ind w:left="2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4" w:space="0" w:color="auto"/>
        <w:shd w:val="clear" w:color="auto" w:fill="auto"/>
        <w:vertAlign w:val="baseline"/>
      </w:rPr>
    </w:lvl>
    <w:lvl w:ilvl="3" w:tplc="EE12D4E2">
      <w:start w:val="1"/>
      <w:numFmt w:val="decimal"/>
      <w:lvlText w:val="%4"/>
      <w:lvlJc w:val="left"/>
      <w:pPr>
        <w:ind w:left="2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4" w:space="0" w:color="auto"/>
        <w:shd w:val="clear" w:color="auto" w:fill="auto"/>
        <w:vertAlign w:val="baseline"/>
      </w:rPr>
    </w:lvl>
    <w:lvl w:ilvl="4" w:tplc="95F69BA6">
      <w:start w:val="1"/>
      <w:numFmt w:val="lowerLetter"/>
      <w:lvlText w:val="%5"/>
      <w:lvlJc w:val="left"/>
      <w:pPr>
        <w:ind w:left="3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4" w:space="0" w:color="auto"/>
        <w:shd w:val="clear" w:color="auto" w:fill="auto"/>
        <w:vertAlign w:val="baseline"/>
      </w:rPr>
    </w:lvl>
    <w:lvl w:ilvl="5" w:tplc="ADE83DC4">
      <w:start w:val="1"/>
      <w:numFmt w:val="lowerRoman"/>
      <w:lvlText w:val="%6"/>
      <w:lvlJc w:val="left"/>
      <w:pPr>
        <w:ind w:left="42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4" w:space="0" w:color="auto"/>
        <w:shd w:val="clear" w:color="auto" w:fill="auto"/>
        <w:vertAlign w:val="baseline"/>
      </w:rPr>
    </w:lvl>
    <w:lvl w:ilvl="6" w:tplc="F68ACFBC">
      <w:start w:val="1"/>
      <w:numFmt w:val="decimal"/>
      <w:lvlText w:val="%7"/>
      <w:lvlJc w:val="left"/>
      <w:pPr>
        <w:ind w:left="50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4" w:space="0" w:color="auto"/>
        <w:shd w:val="clear" w:color="auto" w:fill="auto"/>
        <w:vertAlign w:val="baseline"/>
      </w:rPr>
    </w:lvl>
    <w:lvl w:ilvl="7" w:tplc="F2A2D35E">
      <w:start w:val="1"/>
      <w:numFmt w:val="lowerLetter"/>
      <w:lvlText w:val="%8"/>
      <w:lvlJc w:val="left"/>
      <w:pPr>
        <w:ind w:left="5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4" w:space="0" w:color="auto"/>
        <w:shd w:val="clear" w:color="auto" w:fill="auto"/>
        <w:vertAlign w:val="baseline"/>
      </w:rPr>
    </w:lvl>
    <w:lvl w:ilvl="8" w:tplc="5E56613E">
      <w:start w:val="1"/>
      <w:numFmt w:val="lowerRoman"/>
      <w:lvlText w:val="%9"/>
      <w:lvlJc w:val="left"/>
      <w:pPr>
        <w:ind w:left="6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4" w:space="0" w:color="auto"/>
        <w:shd w:val="clear" w:color="auto" w:fill="auto"/>
        <w:vertAlign w:val="baseline"/>
      </w:rPr>
    </w:lvl>
  </w:abstractNum>
  <w:abstractNum w:abstractNumId="5">
    <w:nsid w:val="36DB3185"/>
    <w:multiLevelType w:val="hybridMultilevel"/>
    <w:tmpl w:val="EAB830E8"/>
    <w:lvl w:ilvl="0" w:tplc="9C0AB0D6">
      <w:start w:val="1"/>
      <w:numFmt w:val="decimal"/>
      <w:lvlText w:val="%1."/>
      <w:lvlJc w:val="left"/>
      <w:pPr>
        <w:ind w:left="1639" w:hanging="360"/>
      </w:pPr>
    </w:lvl>
    <w:lvl w:ilvl="1" w:tplc="A3CA0768">
      <w:start w:val="1"/>
      <w:numFmt w:val="lowerLetter"/>
      <w:lvlText w:val="%2."/>
      <w:lvlJc w:val="left"/>
      <w:pPr>
        <w:ind w:left="2359" w:hanging="360"/>
      </w:pPr>
    </w:lvl>
    <w:lvl w:ilvl="2" w:tplc="73AAB206">
      <w:start w:val="1"/>
      <w:numFmt w:val="lowerRoman"/>
      <w:lvlText w:val="%3."/>
      <w:lvlJc w:val="right"/>
      <w:pPr>
        <w:ind w:left="3079" w:hanging="180"/>
      </w:pPr>
    </w:lvl>
    <w:lvl w:ilvl="3" w:tplc="23804FA2">
      <w:start w:val="1"/>
      <w:numFmt w:val="decimal"/>
      <w:lvlText w:val="%4."/>
      <w:lvlJc w:val="left"/>
      <w:pPr>
        <w:ind w:left="3799" w:hanging="360"/>
      </w:pPr>
    </w:lvl>
    <w:lvl w:ilvl="4" w:tplc="859422CA">
      <w:start w:val="1"/>
      <w:numFmt w:val="lowerLetter"/>
      <w:lvlText w:val="%5."/>
      <w:lvlJc w:val="left"/>
      <w:pPr>
        <w:ind w:left="4519" w:hanging="360"/>
      </w:pPr>
    </w:lvl>
    <w:lvl w:ilvl="5" w:tplc="E73C7216">
      <w:start w:val="1"/>
      <w:numFmt w:val="lowerRoman"/>
      <w:lvlText w:val="%6."/>
      <w:lvlJc w:val="right"/>
      <w:pPr>
        <w:ind w:left="5239" w:hanging="180"/>
      </w:pPr>
    </w:lvl>
    <w:lvl w:ilvl="6" w:tplc="3B1E624A">
      <w:start w:val="1"/>
      <w:numFmt w:val="decimal"/>
      <w:lvlText w:val="%7."/>
      <w:lvlJc w:val="left"/>
      <w:pPr>
        <w:ind w:left="5959" w:hanging="360"/>
      </w:pPr>
    </w:lvl>
    <w:lvl w:ilvl="7" w:tplc="48544FB4">
      <w:start w:val="1"/>
      <w:numFmt w:val="lowerLetter"/>
      <w:lvlText w:val="%8."/>
      <w:lvlJc w:val="left"/>
      <w:pPr>
        <w:ind w:left="6679" w:hanging="360"/>
      </w:pPr>
    </w:lvl>
    <w:lvl w:ilvl="8" w:tplc="2878E2AE">
      <w:start w:val="1"/>
      <w:numFmt w:val="lowerRoman"/>
      <w:lvlText w:val="%9."/>
      <w:lvlJc w:val="right"/>
      <w:pPr>
        <w:ind w:left="7399" w:hanging="180"/>
      </w:pPr>
    </w:lvl>
  </w:abstractNum>
  <w:abstractNum w:abstractNumId="6">
    <w:nsid w:val="45F75D3A"/>
    <w:multiLevelType w:val="hybridMultilevel"/>
    <w:tmpl w:val="7DF6B600"/>
    <w:lvl w:ilvl="0" w:tplc="C1A2E07A">
      <w:start w:val="1"/>
      <w:numFmt w:val="bullet"/>
      <w:lvlText w:val=""/>
      <w:lvlJc w:val="left"/>
      <w:pPr>
        <w:ind w:left="861" w:hanging="360"/>
      </w:pPr>
      <w:rPr>
        <w:rFonts w:ascii="Symbol" w:hAnsi="Symbol"/>
      </w:rPr>
    </w:lvl>
    <w:lvl w:ilvl="1" w:tplc="3A4017EC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/>
      </w:rPr>
    </w:lvl>
    <w:lvl w:ilvl="2" w:tplc="0AF0F95E">
      <w:start w:val="1"/>
      <w:numFmt w:val="bullet"/>
      <w:lvlText w:val=""/>
      <w:lvlJc w:val="left"/>
      <w:pPr>
        <w:ind w:left="2301" w:hanging="360"/>
      </w:pPr>
      <w:rPr>
        <w:rFonts w:ascii="Wingdings" w:hAnsi="Wingdings"/>
      </w:rPr>
    </w:lvl>
    <w:lvl w:ilvl="3" w:tplc="2B96638A">
      <w:start w:val="1"/>
      <w:numFmt w:val="bullet"/>
      <w:lvlText w:val=""/>
      <w:lvlJc w:val="left"/>
      <w:pPr>
        <w:ind w:left="3021" w:hanging="360"/>
      </w:pPr>
      <w:rPr>
        <w:rFonts w:ascii="Symbol" w:hAnsi="Symbol"/>
      </w:rPr>
    </w:lvl>
    <w:lvl w:ilvl="4" w:tplc="02E42E78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/>
      </w:rPr>
    </w:lvl>
    <w:lvl w:ilvl="5" w:tplc="19425804">
      <w:start w:val="1"/>
      <w:numFmt w:val="bullet"/>
      <w:lvlText w:val=""/>
      <w:lvlJc w:val="left"/>
      <w:pPr>
        <w:ind w:left="4461" w:hanging="360"/>
      </w:pPr>
      <w:rPr>
        <w:rFonts w:ascii="Wingdings" w:hAnsi="Wingdings"/>
      </w:rPr>
    </w:lvl>
    <w:lvl w:ilvl="6" w:tplc="E60C055E">
      <w:start w:val="1"/>
      <w:numFmt w:val="bullet"/>
      <w:lvlText w:val=""/>
      <w:lvlJc w:val="left"/>
      <w:pPr>
        <w:ind w:left="5181" w:hanging="360"/>
      </w:pPr>
      <w:rPr>
        <w:rFonts w:ascii="Symbol" w:hAnsi="Symbol"/>
      </w:rPr>
    </w:lvl>
    <w:lvl w:ilvl="7" w:tplc="4C1AF702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/>
      </w:rPr>
    </w:lvl>
    <w:lvl w:ilvl="8" w:tplc="A8900590">
      <w:start w:val="1"/>
      <w:numFmt w:val="bullet"/>
      <w:lvlText w:val=""/>
      <w:lvlJc w:val="left"/>
      <w:pPr>
        <w:ind w:left="6621" w:hanging="360"/>
      </w:pPr>
      <w:rPr>
        <w:rFonts w:ascii="Wingdings" w:hAnsi="Wingdings"/>
      </w:rPr>
    </w:lvl>
  </w:abstractNum>
  <w:abstractNum w:abstractNumId="7">
    <w:nsid w:val="55817607"/>
    <w:multiLevelType w:val="hybridMultilevel"/>
    <w:tmpl w:val="94CA9C60"/>
    <w:lvl w:ilvl="0" w:tplc="96E8ACF6">
      <w:start w:val="1"/>
      <w:numFmt w:val="decimal"/>
      <w:lvlText w:val="%1."/>
      <w:lvlJc w:val="left"/>
      <w:pPr>
        <w:ind w:left="1639" w:hanging="360"/>
      </w:pPr>
    </w:lvl>
    <w:lvl w:ilvl="1" w:tplc="05C6ECCC">
      <w:start w:val="1"/>
      <w:numFmt w:val="lowerLetter"/>
      <w:lvlText w:val="%2."/>
      <w:lvlJc w:val="left"/>
      <w:pPr>
        <w:ind w:left="2359" w:hanging="360"/>
      </w:pPr>
    </w:lvl>
    <w:lvl w:ilvl="2" w:tplc="CC6AA614">
      <w:start w:val="1"/>
      <w:numFmt w:val="lowerRoman"/>
      <w:lvlText w:val="%3."/>
      <w:lvlJc w:val="right"/>
      <w:pPr>
        <w:ind w:left="3079" w:hanging="180"/>
      </w:pPr>
    </w:lvl>
    <w:lvl w:ilvl="3" w:tplc="001ED78E">
      <w:start w:val="1"/>
      <w:numFmt w:val="decimal"/>
      <w:lvlText w:val="%4."/>
      <w:lvlJc w:val="left"/>
      <w:pPr>
        <w:ind w:left="3799" w:hanging="360"/>
      </w:pPr>
    </w:lvl>
    <w:lvl w:ilvl="4" w:tplc="204418E2">
      <w:start w:val="1"/>
      <w:numFmt w:val="lowerLetter"/>
      <w:lvlText w:val="%5."/>
      <w:lvlJc w:val="left"/>
      <w:pPr>
        <w:ind w:left="4519" w:hanging="360"/>
      </w:pPr>
    </w:lvl>
    <w:lvl w:ilvl="5" w:tplc="02CEDCD8">
      <w:start w:val="1"/>
      <w:numFmt w:val="lowerRoman"/>
      <w:lvlText w:val="%6."/>
      <w:lvlJc w:val="right"/>
      <w:pPr>
        <w:ind w:left="5239" w:hanging="180"/>
      </w:pPr>
    </w:lvl>
    <w:lvl w:ilvl="6" w:tplc="0280650C">
      <w:start w:val="1"/>
      <w:numFmt w:val="decimal"/>
      <w:lvlText w:val="%7."/>
      <w:lvlJc w:val="left"/>
      <w:pPr>
        <w:ind w:left="5959" w:hanging="360"/>
      </w:pPr>
    </w:lvl>
    <w:lvl w:ilvl="7" w:tplc="0D3AB6B4">
      <w:start w:val="1"/>
      <w:numFmt w:val="lowerLetter"/>
      <w:lvlText w:val="%8."/>
      <w:lvlJc w:val="left"/>
      <w:pPr>
        <w:ind w:left="6679" w:hanging="360"/>
      </w:pPr>
    </w:lvl>
    <w:lvl w:ilvl="8" w:tplc="A1164DAC">
      <w:start w:val="1"/>
      <w:numFmt w:val="lowerRoman"/>
      <w:lvlText w:val="%9."/>
      <w:lvlJc w:val="right"/>
      <w:pPr>
        <w:ind w:left="7399" w:hanging="180"/>
      </w:pPr>
    </w:lvl>
  </w:abstractNum>
  <w:abstractNum w:abstractNumId="8">
    <w:nsid w:val="56204C04"/>
    <w:multiLevelType w:val="hybridMultilevel"/>
    <w:tmpl w:val="D6C6F898"/>
    <w:lvl w:ilvl="0" w:tplc="710E8F52">
      <w:start w:val="1"/>
      <w:numFmt w:val="decimal"/>
      <w:lvlText w:val="%1."/>
      <w:lvlJc w:val="left"/>
      <w:pPr>
        <w:ind w:left="1713" w:hanging="360"/>
      </w:pPr>
    </w:lvl>
    <w:lvl w:ilvl="1" w:tplc="D898F6A0">
      <w:start w:val="1"/>
      <w:numFmt w:val="lowerLetter"/>
      <w:lvlText w:val="%2."/>
      <w:lvlJc w:val="left"/>
      <w:pPr>
        <w:ind w:left="2433" w:hanging="360"/>
      </w:pPr>
    </w:lvl>
    <w:lvl w:ilvl="2" w:tplc="F3A4679E">
      <w:start w:val="1"/>
      <w:numFmt w:val="lowerRoman"/>
      <w:lvlText w:val="%3."/>
      <w:lvlJc w:val="right"/>
      <w:pPr>
        <w:ind w:left="3153" w:hanging="180"/>
      </w:pPr>
    </w:lvl>
    <w:lvl w:ilvl="3" w:tplc="88F8221A">
      <w:start w:val="1"/>
      <w:numFmt w:val="decimal"/>
      <w:lvlText w:val="%4."/>
      <w:lvlJc w:val="left"/>
      <w:pPr>
        <w:ind w:left="3873" w:hanging="360"/>
      </w:pPr>
    </w:lvl>
    <w:lvl w:ilvl="4" w:tplc="9B3E1394">
      <w:start w:val="1"/>
      <w:numFmt w:val="lowerLetter"/>
      <w:lvlText w:val="%5."/>
      <w:lvlJc w:val="left"/>
      <w:pPr>
        <w:ind w:left="4593" w:hanging="360"/>
      </w:pPr>
    </w:lvl>
    <w:lvl w:ilvl="5" w:tplc="56E4FF96">
      <w:start w:val="1"/>
      <w:numFmt w:val="lowerRoman"/>
      <w:lvlText w:val="%6."/>
      <w:lvlJc w:val="right"/>
      <w:pPr>
        <w:ind w:left="5313" w:hanging="180"/>
      </w:pPr>
    </w:lvl>
    <w:lvl w:ilvl="6" w:tplc="E3F028C0">
      <w:start w:val="1"/>
      <w:numFmt w:val="decimal"/>
      <w:lvlText w:val="%7."/>
      <w:lvlJc w:val="left"/>
      <w:pPr>
        <w:ind w:left="6033" w:hanging="360"/>
      </w:pPr>
    </w:lvl>
    <w:lvl w:ilvl="7" w:tplc="B53EA1A0">
      <w:start w:val="1"/>
      <w:numFmt w:val="lowerLetter"/>
      <w:lvlText w:val="%8."/>
      <w:lvlJc w:val="left"/>
      <w:pPr>
        <w:ind w:left="6753" w:hanging="360"/>
      </w:pPr>
    </w:lvl>
    <w:lvl w:ilvl="8" w:tplc="0A1E8664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58CC5F8F"/>
    <w:multiLevelType w:val="hybridMultilevel"/>
    <w:tmpl w:val="6576C27A"/>
    <w:lvl w:ilvl="0" w:tplc="3B04514E">
      <w:start w:val="1"/>
      <w:numFmt w:val="decimal"/>
      <w:lvlText w:val="%1."/>
      <w:lvlJc w:val="left"/>
      <w:pPr>
        <w:ind w:left="1254" w:hanging="360"/>
      </w:pPr>
    </w:lvl>
    <w:lvl w:ilvl="1" w:tplc="A484F3E0">
      <w:start w:val="1"/>
      <w:numFmt w:val="lowerLetter"/>
      <w:lvlText w:val="%2."/>
      <w:lvlJc w:val="left"/>
      <w:pPr>
        <w:ind w:left="1974" w:hanging="360"/>
      </w:pPr>
    </w:lvl>
    <w:lvl w:ilvl="2" w:tplc="5DB6A67E">
      <w:start w:val="1"/>
      <w:numFmt w:val="lowerRoman"/>
      <w:lvlText w:val="%3."/>
      <w:lvlJc w:val="right"/>
      <w:pPr>
        <w:ind w:left="2694" w:hanging="180"/>
      </w:pPr>
    </w:lvl>
    <w:lvl w:ilvl="3" w:tplc="BC967314">
      <w:start w:val="1"/>
      <w:numFmt w:val="decimal"/>
      <w:lvlText w:val="%4."/>
      <w:lvlJc w:val="left"/>
      <w:pPr>
        <w:ind w:left="3414" w:hanging="360"/>
      </w:pPr>
    </w:lvl>
    <w:lvl w:ilvl="4" w:tplc="491E5BDA">
      <w:start w:val="1"/>
      <w:numFmt w:val="lowerLetter"/>
      <w:lvlText w:val="%5."/>
      <w:lvlJc w:val="left"/>
      <w:pPr>
        <w:ind w:left="4134" w:hanging="360"/>
      </w:pPr>
    </w:lvl>
    <w:lvl w:ilvl="5" w:tplc="53E6F226">
      <w:start w:val="1"/>
      <w:numFmt w:val="lowerRoman"/>
      <w:lvlText w:val="%6."/>
      <w:lvlJc w:val="right"/>
      <w:pPr>
        <w:ind w:left="4854" w:hanging="180"/>
      </w:pPr>
    </w:lvl>
    <w:lvl w:ilvl="6" w:tplc="4D6C942E">
      <w:start w:val="1"/>
      <w:numFmt w:val="decimal"/>
      <w:lvlText w:val="%7."/>
      <w:lvlJc w:val="left"/>
      <w:pPr>
        <w:ind w:left="5574" w:hanging="360"/>
      </w:pPr>
    </w:lvl>
    <w:lvl w:ilvl="7" w:tplc="5500488A">
      <w:start w:val="1"/>
      <w:numFmt w:val="lowerLetter"/>
      <w:lvlText w:val="%8."/>
      <w:lvlJc w:val="left"/>
      <w:pPr>
        <w:ind w:left="6294" w:hanging="360"/>
      </w:pPr>
    </w:lvl>
    <w:lvl w:ilvl="8" w:tplc="3404E314">
      <w:start w:val="1"/>
      <w:numFmt w:val="lowerRoman"/>
      <w:lvlText w:val="%9."/>
      <w:lvlJc w:val="right"/>
      <w:pPr>
        <w:ind w:left="7014" w:hanging="180"/>
      </w:pPr>
    </w:lvl>
  </w:abstractNum>
  <w:abstractNum w:abstractNumId="10">
    <w:nsid w:val="5BA64630"/>
    <w:multiLevelType w:val="hybridMultilevel"/>
    <w:tmpl w:val="AEEE88C6"/>
    <w:lvl w:ilvl="0" w:tplc="BBF8D376">
      <w:start w:val="1"/>
      <w:numFmt w:val="decimal"/>
      <w:lvlText w:val="%1."/>
      <w:lvlJc w:val="left"/>
      <w:pPr>
        <w:ind w:left="1353" w:hanging="360"/>
      </w:pPr>
    </w:lvl>
    <w:lvl w:ilvl="1" w:tplc="F3468F38">
      <w:start w:val="1"/>
      <w:numFmt w:val="lowerLetter"/>
      <w:lvlText w:val="%2."/>
      <w:lvlJc w:val="left"/>
      <w:pPr>
        <w:ind w:left="2073" w:hanging="360"/>
      </w:pPr>
    </w:lvl>
    <w:lvl w:ilvl="2" w:tplc="CB589E1C">
      <w:start w:val="1"/>
      <w:numFmt w:val="lowerRoman"/>
      <w:lvlText w:val="%3."/>
      <w:lvlJc w:val="right"/>
      <w:pPr>
        <w:ind w:left="2793" w:hanging="180"/>
      </w:pPr>
    </w:lvl>
    <w:lvl w:ilvl="3" w:tplc="0DE0CA3E">
      <w:start w:val="1"/>
      <w:numFmt w:val="decimal"/>
      <w:lvlText w:val="%4."/>
      <w:lvlJc w:val="left"/>
      <w:pPr>
        <w:ind w:left="3513" w:hanging="360"/>
      </w:pPr>
    </w:lvl>
    <w:lvl w:ilvl="4" w:tplc="4C26BEB0">
      <w:start w:val="1"/>
      <w:numFmt w:val="lowerLetter"/>
      <w:lvlText w:val="%5."/>
      <w:lvlJc w:val="left"/>
      <w:pPr>
        <w:ind w:left="4233" w:hanging="360"/>
      </w:pPr>
    </w:lvl>
    <w:lvl w:ilvl="5" w:tplc="D73EE9A8">
      <w:start w:val="1"/>
      <w:numFmt w:val="lowerRoman"/>
      <w:lvlText w:val="%6."/>
      <w:lvlJc w:val="right"/>
      <w:pPr>
        <w:ind w:left="4953" w:hanging="180"/>
      </w:pPr>
    </w:lvl>
    <w:lvl w:ilvl="6" w:tplc="7C5AEF4A">
      <w:start w:val="1"/>
      <w:numFmt w:val="decimal"/>
      <w:lvlText w:val="%7."/>
      <w:lvlJc w:val="left"/>
      <w:pPr>
        <w:ind w:left="5673" w:hanging="360"/>
      </w:pPr>
    </w:lvl>
    <w:lvl w:ilvl="7" w:tplc="9BF21B34">
      <w:start w:val="1"/>
      <w:numFmt w:val="lowerLetter"/>
      <w:lvlText w:val="%8."/>
      <w:lvlJc w:val="left"/>
      <w:pPr>
        <w:ind w:left="6393" w:hanging="360"/>
      </w:pPr>
    </w:lvl>
    <w:lvl w:ilvl="8" w:tplc="F7FADA6C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5F63325B"/>
    <w:multiLevelType w:val="hybridMultilevel"/>
    <w:tmpl w:val="28CCA384"/>
    <w:lvl w:ilvl="0" w:tplc="8D94D334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  <w:lvl w:ilvl="1" w:tplc="259E83A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2" w:tplc="5128FC40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AFCE18F6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14D8EAD2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25B4F0F0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EDB271F2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D62CE83C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2908B9A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12">
    <w:nsid w:val="771230F8"/>
    <w:multiLevelType w:val="hybridMultilevel"/>
    <w:tmpl w:val="BFD61A10"/>
    <w:lvl w:ilvl="0" w:tplc="57BAEEA8">
      <w:start w:val="1"/>
      <w:numFmt w:val="decimal"/>
      <w:lvlText w:val="%1."/>
      <w:lvlJc w:val="left"/>
      <w:pPr>
        <w:ind w:left="1639" w:hanging="360"/>
      </w:pPr>
    </w:lvl>
    <w:lvl w:ilvl="1" w:tplc="3A285A74">
      <w:start w:val="1"/>
      <w:numFmt w:val="lowerLetter"/>
      <w:lvlText w:val="%2."/>
      <w:lvlJc w:val="left"/>
      <w:pPr>
        <w:ind w:left="2359" w:hanging="360"/>
      </w:pPr>
    </w:lvl>
    <w:lvl w:ilvl="2" w:tplc="995C0648">
      <w:start w:val="1"/>
      <w:numFmt w:val="lowerRoman"/>
      <w:lvlText w:val="%3."/>
      <w:lvlJc w:val="right"/>
      <w:pPr>
        <w:ind w:left="3079" w:hanging="180"/>
      </w:pPr>
    </w:lvl>
    <w:lvl w:ilvl="3" w:tplc="7CD44A70">
      <w:start w:val="1"/>
      <w:numFmt w:val="decimal"/>
      <w:lvlText w:val="%4."/>
      <w:lvlJc w:val="left"/>
      <w:pPr>
        <w:ind w:left="3799" w:hanging="360"/>
      </w:pPr>
    </w:lvl>
    <w:lvl w:ilvl="4" w:tplc="11C644AA">
      <w:start w:val="1"/>
      <w:numFmt w:val="lowerLetter"/>
      <w:lvlText w:val="%5."/>
      <w:lvlJc w:val="left"/>
      <w:pPr>
        <w:ind w:left="4519" w:hanging="360"/>
      </w:pPr>
    </w:lvl>
    <w:lvl w:ilvl="5" w:tplc="96EC7BCC">
      <w:start w:val="1"/>
      <w:numFmt w:val="lowerRoman"/>
      <w:lvlText w:val="%6."/>
      <w:lvlJc w:val="right"/>
      <w:pPr>
        <w:ind w:left="5239" w:hanging="180"/>
      </w:pPr>
    </w:lvl>
    <w:lvl w:ilvl="6" w:tplc="CD6A0E34">
      <w:start w:val="1"/>
      <w:numFmt w:val="decimal"/>
      <w:lvlText w:val="%7."/>
      <w:lvlJc w:val="left"/>
      <w:pPr>
        <w:ind w:left="5959" w:hanging="360"/>
      </w:pPr>
    </w:lvl>
    <w:lvl w:ilvl="7" w:tplc="5E28B7BC">
      <w:start w:val="1"/>
      <w:numFmt w:val="lowerLetter"/>
      <w:lvlText w:val="%8."/>
      <w:lvlJc w:val="left"/>
      <w:pPr>
        <w:ind w:left="6679" w:hanging="360"/>
      </w:pPr>
    </w:lvl>
    <w:lvl w:ilvl="8" w:tplc="2486816E">
      <w:start w:val="1"/>
      <w:numFmt w:val="lowerRoman"/>
      <w:lvlText w:val="%9."/>
      <w:lvlJc w:val="right"/>
      <w:pPr>
        <w:ind w:left="7399" w:hanging="180"/>
      </w:pPr>
    </w:lvl>
  </w:abstractNum>
  <w:abstractNum w:abstractNumId="13">
    <w:nsid w:val="7C4E06DB"/>
    <w:multiLevelType w:val="hybridMultilevel"/>
    <w:tmpl w:val="63FE9E7A"/>
    <w:lvl w:ilvl="0" w:tplc="4F6679EC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  <w:lvl w:ilvl="1" w:tplc="E47873A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2" w:tplc="BEF68CFC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01C8C02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D3C4A810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E0D4DE9C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A1FCC21E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AD46E552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224AC3C2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3"/>
  </w:num>
  <w:num w:numId="5">
    <w:abstractNumId w:val="6"/>
  </w:num>
  <w:num w:numId="6">
    <w:abstractNumId w:val="10"/>
  </w:num>
  <w:num w:numId="7">
    <w:abstractNumId w:val="13"/>
  </w:num>
  <w:num w:numId="8">
    <w:abstractNumId w:val="5"/>
  </w:num>
  <w:num w:numId="9">
    <w:abstractNumId w:val="1"/>
  </w:num>
  <w:num w:numId="10">
    <w:abstractNumId w:val="12"/>
  </w:num>
  <w:num w:numId="11">
    <w:abstractNumId w:val="7"/>
  </w:num>
  <w:num w:numId="12">
    <w:abstractNumId w:val="8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499"/>
    <w:rsid w:val="00011D7D"/>
    <w:rsid w:val="000176D2"/>
    <w:rsid w:val="00017BBF"/>
    <w:rsid w:val="000529AB"/>
    <w:rsid w:val="00054583"/>
    <w:rsid w:val="00061712"/>
    <w:rsid w:val="0008237A"/>
    <w:rsid w:val="00085F08"/>
    <w:rsid w:val="00090F25"/>
    <w:rsid w:val="000B0885"/>
    <w:rsid w:val="000E561F"/>
    <w:rsid w:val="000F1089"/>
    <w:rsid w:val="000F2ABD"/>
    <w:rsid w:val="000F3B34"/>
    <w:rsid w:val="001064B8"/>
    <w:rsid w:val="00115858"/>
    <w:rsid w:val="001426C8"/>
    <w:rsid w:val="001440E1"/>
    <w:rsid w:val="0014654B"/>
    <w:rsid w:val="001474E3"/>
    <w:rsid w:val="00157232"/>
    <w:rsid w:val="00161B5A"/>
    <w:rsid w:val="00170D43"/>
    <w:rsid w:val="00171FEE"/>
    <w:rsid w:val="001736AE"/>
    <w:rsid w:val="00185D16"/>
    <w:rsid w:val="00191F1E"/>
    <w:rsid w:val="001929EE"/>
    <w:rsid w:val="00193DFE"/>
    <w:rsid w:val="001B33D7"/>
    <w:rsid w:val="001B4C38"/>
    <w:rsid w:val="001D1E5A"/>
    <w:rsid w:val="001D51B8"/>
    <w:rsid w:val="001D52DC"/>
    <w:rsid w:val="00201A06"/>
    <w:rsid w:val="00206341"/>
    <w:rsid w:val="00211B20"/>
    <w:rsid w:val="00225475"/>
    <w:rsid w:val="0023306E"/>
    <w:rsid w:val="002371B6"/>
    <w:rsid w:val="00243AEE"/>
    <w:rsid w:val="00245EE0"/>
    <w:rsid w:val="00257392"/>
    <w:rsid w:val="0027346F"/>
    <w:rsid w:val="00286264"/>
    <w:rsid w:val="002909CB"/>
    <w:rsid w:val="00294C52"/>
    <w:rsid w:val="00294D91"/>
    <w:rsid w:val="00295BFD"/>
    <w:rsid w:val="002B58FB"/>
    <w:rsid w:val="002B67CB"/>
    <w:rsid w:val="002B7DD3"/>
    <w:rsid w:val="002C5D80"/>
    <w:rsid w:val="002D42DB"/>
    <w:rsid w:val="002D5507"/>
    <w:rsid w:val="002E2F74"/>
    <w:rsid w:val="002E7B67"/>
    <w:rsid w:val="002F4370"/>
    <w:rsid w:val="00302E7A"/>
    <w:rsid w:val="00311DDD"/>
    <w:rsid w:val="00326F16"/>
    <w:rsid w:val="00334F78"/>
    <w:rsid w:val="00341479"/>
    <w:rsid w:val="00343699"/>
    <w:rsid w:val="00355EAC"/>
    <w:rsid w:val="00360AAE"/>
    <w:rsid w:val="00363CB7"/>
    <w:rsid w:val="003838B3"/>
    <w:rsid w:val="003945F9"/>
    <w:rsid w:val="003A64D8"/>
    <w:rsid w:val="003C505D"/>
    <w:rsid w:val="003F7A45"/>
    <w:rsid w:val="00433D8E"/>
    <w:rsid w:val="004548D3"/>
    <w:rsid w:val="004A6288"/>
    <w:rsid w:val="004C5D48"/>
    <w:rsid w:val="004C6A5F"/>
    <w:rsid w:val="005052C6"/>
    <w:rsid w:val="00512846"/>
    <w:rsid w:val="00513DD7"/>
    <w:rsid w:val="0051721B"/>
    <w:rsid w:val="00525812"/>
    <w:rsid w:val="00566705"/>
    <w:rsid w:val="005834EA"/>
    <w:rsid w:val="00590DD3"/>
    <w:rsid w:val="005A055B"/>
    <w:rsid w:val="005A1E90"/>
    <w:rsid w:val="005B2499"/>
    <w:rsid w:val="005C4314"/>
    <w:rsid w:val="005D2F9F"/>
    <w:rsid w:val="005E614C"/>
    <w:rsid w:val="005F7614"/>
    <w:rsid w:val="00603940"/>
    <w:rsid w:val="006312CF"/>
    <w:rsid w:val="00632E53"/>
    <w:rsid w:val="006533B4"/>
    <w:rsid w:val="00655888"/>
    <w:rsid w:val="00656E79"/>
    <w:rsid w:val="00660BCD"/>
    <w:rsid w:val="006616B9"/>
    <w:rsid w:val="006644F6"/>
    <w:rsid w:val="00665A94"/>
    <w:rsid w:val="00670DC2"/>
    <w:rsid w:val="00671788"/>
    <w:rsid w:val="00676898"/>
    <w:rsid w:val="00676A87"/>
    <w:rsid w:val="00684D0A"/>
    <w:rsid w:val="00685927"/>
    <w:rsid w:val="00686FE9"/>
    <w:rsid w:val="006B41C0"/>
    <w:rsid w:val="006B5E74"/>
    <w:rsid w:val="006C16BC"/>
    <w:rsid w:val="006C6A5D"/>
    <w:rsid w:val="006F4A09"/>
    <w:rsid w:val="00707EBE"/>
    <w:rsid w:val="00730C6C"/>
    <w:rsid w:val="00732795"/>
    <w:rsid w:val="00770F80"/>
    <w:rsid w:val="00774492"/>
    <w:rsid w:val="00774696"/>
    <w:rsid w:val="007C5F19"/>
    <w:rsid w:val="00801EB3"/>
    <w:rsid w:val="00803BCA"/>
    <w:rsid w:val="00804EC1"/>
    <w:rsid w:val="0081434F"/>
    <w:rsid w:val="00817E87"/>
    <w:rsid w:val="00827626"/>
    <w:rsid w:val="00831FA6"/>
    <w:rsid w:val="008328B9"/>
    <w:rsid w:val="00833316"/>
    <w:rsid w:val="008421E3"/>
    <w:rsid w:val="00846F75"/>
    <w:rsid w:val="00871290"/>
    <w:rsid w:val="00876C27"/>
    <w:rsid w:val="00896A87"/>
    <w:rsid w:val="008B0F00"/>
    <w:rsid w:val="008C16F4"/>
    <w:rsid w:val="008E0266"/>
    <w:rsid w:val="008F4CFE"/>
    <w:rsid w:val="0090458E"/>
    <w:rsid w:val="00980BDC"/>
    <w:rsid w:val="009A2C82"/>
    <w:rsid w:val="009A58F5"/>
    <w:rsid w:val="009C1A48"/>
    <w:rsid w:val="009C3CFD"/>
    <w:rsid w:val="009D0543"/>
    <w:rsid w:val="009E3F39"/>
    <w:rsid w:val="009E72D2"/>
    <w:rsid w:val="009F66C2"/>
    <w:rsid w:val="00A02BEF"/>
    <w:rsid w:val="00A1351E"/>
    <w:rsid w:val="00A174C5"/>
    <w:rsid w:val="00A17C90"/>
    <w:rsid w:val="00A24F23"/>
    <w:rsid w:val="00A4270A"/>
    <w:rsid w:val="00A434D4"/>
    <w:rsid w:val="00A5516E"/>
    <w:rsid w:val="00A73DB0"/>
    <w:rsid w:val="00A77D03"/>
    <w:rsid w:val="00A92A3F"/>
    <w:rsid w:val="00AB533C"/>
    <w:rsid w:val="00AC3244"/>
    <w:rsid w:val="00AC5C0F"/>
    <w:rsid w:val="00AD5D9E"/>
    <w:rsid w:val="00AF4F55"/>
    <w:rsid w:val="00AF7F83"/>
    <w:rsid w:val="00B16FE6"/>
    <w:rsid w:val="00B35FC9"/>
    <w:rsid w:val="00B72F94"/>
    <w:rsid w:val="00B739B1"/>
    <w:rsid w:val="00B916DB"/>
    <w:rsid w:val="00B95101"/>
    <w:rsid w:val="00BA38AF"/>
    <w:rsid w:val="00BC71A7"/>
    <w:rsid w:val="00BD335E"/>
    <w:rsid w:val="00BE08AA"/>
    <w:rsid w:val="00BE0EDE"/>
    <w:rsid w:val="00BE4886"/>
    <w:rsid w:val="00BE7735"/>
    <w:rsid w:val="00BF0EE5"/>
    <w:rsid w:val="00BF57C0"/>
    <w:rsid w:val="00C00C4B"/>
    <w:rsid w:val="00C04DBD"/>
    <w:rsid w:val="00C121E2"/>
    <w:rsid w:val="00C17C92"/>
    <w:rsid w:val="00C40372"/>
    <w:rsid w:val="00C77D8A"/>
    <w:rsid w:val="00C8711A"/>
    <w:rsid w:val="00CB345D"/>
    <w:rsid w:val="00CC4064"/>
    <w:rsid w:val="00CC46A4"/>
    <w:rsid w:val="00CC4A00"/>
    <w:rsid w:val="00CD0315"/>
    <w:rsid w:val="00CD1A92"/>
    <w:rsid w:val="00CD2789"/>
    <w:rsid w:val="00CF40FA"/>
    <w:rsid w:val="00D02259"/>
    <w:rsid w:val="00D03E4D"/>
    <w:rsid w:val="00D071E3"/>
    <w:rsid w:val="00D26227"/>
    <w:rsid w:val="00D271FD"/>
    <w:rsid w:val="00D32461"/>
    <w:rsid w:val="00D52D6A"/>
    <w:rsid w:val="00D60487"/>
    <w:rsid w:val="00D73EE8"/>
    <w:rsid w:val="00D76EC7"/>
    <w:rsid w:val="00D80EF5"/>
    <w:rsid w:val="00D82CE9"/>
    <w:rsid w:val="00DA6496"/>
    <w:rsid w:val="00DC39B4"/>
    <w:rsid w:val="00DC3DF5"/>
    <w:rsid w:val="00DC66A5"/>
    <w:rsid w:val="00DD0324"/>
    <w:rsid w:val="00DD5436"/>
    <w:rsid w:val="00DD78EC"/>
    <w:rsid w:val="00DF5667"/>
    <w:rsid w:val="00DF569E"/>
    <w:rsid w:val="00DF647B"/>
    <w:rsid w:val="00E00CCE"/>
    <w:rsid w:val="00E0473B"/>
    <w:rsid w:val="00E0746E"/>
    <w:rsid w:val="00E15173"/>
    <w:rsid w:val="00E46223"/>
    <w:rsid w:val="00E46335"/>
    <w:rsid w:val="00E509CA"/>
    <w:rsid w:val="00E51CFA"/>
    <w:rsid w:val="00E601FE"/>
    <w:rsid w:val="00E70090"/>
    <w:rsid w:val="00E76327"/>
    <w:rsid w:val="00E831DA"/>
    <w:rsid w:val="00E97ACA"/>
    <w:rsid w:val="00EC004F"/>
    <w:rsid w:val="00EC3DAE"/>
    <w:rsid w:val="00EE0BA9"/>
    <w:rsid w:val="00EF2D27"/>
    <w:rsid w:val="00F064AF"/>
    <w:rsid w:val="00F10CA6"/>
    <w:rsid w:val="00F167CA"/>
    <w:rsid w:val="00F25ED7"/>
    <w:rsid w:val="00F27E0C"/>
    <w:rsid w:val="00F45131"/>
    <w:rsid w:val="00F66378"/>
    <w:rsid w:val="00F731B6"/>
    <w:rsid w:val="00F965E2"/>
    <w:rsid w:val="00FA3F04"/>
    <w:rsid w:val="00FA535C"/>
    <w:rsid w:val="00FA77DF"/>
    <w:rsid w:val="00FA7FF0"/>
    <w:rsid w:val="00FE1B0B"/>
    <w:rsid w:val="00FE4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paragraph" w:styleId="Ttulo1">
    <w:name w:val="heading 1"/>
    <w:basedOn w:val="Normal"/>
    <w:next w:val="Normal"/>
    <w:uiPriority w:val="99"/>
    <w:qFormat/>
    <w:pPr>
      <w:keepNext/>
      <w:outlineLvl w:val="0"/>
    </w:pPr>
    <w:rPr>
      <w:b/>
      <w:sz w:val="24"/>
      <w:lang w:val="es-MX"/>
    </w:rPr>
  </w:style>
  <w:style w:type="paragraph" w:styleId="Ttulo2">
    <w:name w:val="heading 2"/>
    <w:basedOn w:val="Normal"/>
    <w:next w:val="Normal"/>
    <w:uiPriority w:val="99"/>
    <w:qFormat/>
    <w:pPr>
      <w:keepNext/>
      <w:outlineLvl w:val="1"/>
    </w:pPr>
    <w:rPr>
      <w:sz w:val="24"/>
      <w:u w:val="single"/>
      <w:lang w:val="es-MX"/>
    </w:rPr>
  </w:style>
  <w:style w:type="paragraph" w:styleId="Ttulo3">
    <w:name w:val="heading 3"/>
    <w:basedOn w:val="Normal"/>
    <w:next w:val="Normal"/>
    <w:uiPriority w:val="99"/>
    <w:qFormat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Cita">
    <w:name w:val="Quote"/>
    <w:basedOn w:val="Normal"/>
    <w:next w:val="Normal"/>
    <w:link w:val="CitaCar"/>
    <w:uiPriority w:val="29"/>
    <w:qFormat/>
    <w:rPr>
      <w:i/>
      <w:color w:val="000000" w:themeColor="text1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sz w:val="20"/>
    </w:rPr>
  </w:style>
  <w:style w:type="paragraph" w:styleId="Textoindependiente2">
    <w:name w:val="Body Text 2"/>
    <w:basedOn w:val="Normal"/>
    <w:uiPriority w:val="99"/>
    <w:pPr>
      <w:jc w:val="both"/>
    </w:pPr>
    <w:rPr>
      <w:rFonts w:ascii="Bookman Old Style" w:hAnsi="Bookman Old Style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Textonotapie">
    <w:name w:val="footnote text"/>
    <w:basedOn w:val="Normal"/>
    <w:link w:val="TextonotapieCar"/>
    <w:uiPriority w:val="99"/>
    <w:semiHidden/>
    <w:unhideWhenUsed/>
  </w:style>
  <w:style w:type="paragraph" w:styleId="Textonotaalfinal">
    <w:name w:val="endnote text"/>
    <w:basedOn w:val="Normal"/>
    <w:link w:val="TextonotaalfinalCar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paragraph" w:styleId="Mapadeldocumento">
    <w:name w:val="Document Map"/>
    <w:basedOn w:val="Normal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Heading2Char">
    <w:name w:val="Heading 2 Char"/>
    <w:basedOn w:val="Fuentedeprrafopredeter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i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smallCaps/>
      <w:color w:val="C0504D" w:themeColor="accent2"/>
      <w:spacing w:val="5"/>
      <w:u w:val="single"/>
    </w:rPr>
  </w:style>
  <w:style w:type="paragraph" w:styleId="Sinespaciado">
    <w:name w:val="No Spacing"/>
    <w:uiPriority w:val="1"/>
    <w:qFormat/>
  </w:style>
  <w:style w:type="character" w:styleId="nfasis">
    <w:name w:val="Emphasis"/>
    <w:basedOn w:val="Fuentedeprrafopredeter"/>
    <w:uiPriority w:val="20"/>
    <w:qFormat/>
    <w:rPr>
      <w:i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extosinformatoCar">
    <w:name w:val="Texto sin formato Car"/>
    <w:basedOn w:val="Fuentedeprrafopredeter"/>
    <w:link w:val="Textosinformato"/>
    <w:uiPriority w:val="99"/>
    <w:rPr>
      <w:rFonts w:ascii="Courier New" w:hAnsi="Courier New" w:cs="Courier New"/>
      <w:sz w:val="21"/>
    </w:rPr>
  </w:style>
  <w:style w:type="character" w:styleId="nfasissutil">
    <w:name w:val="Subtle Emphasis"/>
    <w:basedOn w:val="Fuentedeprrafopredeter"/>
    <w:uiPriority w:val="19"/>
    <w:qFormat/>
    <w:rPr>
      <w:i/>
      <w:color w:val="808080" w:themeColor="text1" w:themeTint="7F"/>
    </w:rPr>
  </w:style>
  <w:style w:type="paragraph" w:styleId="Textoindependiente">
    <w:name w:val="Body Text"/>
    <w:basedOn w:val="Normal"/>
    <w:uiPriority w:val="99"/>
    <w:pPr>
      <w:jc w:val="center"/>
    </w:pPr>
    <w:rPr>
      <w:b/>
      <w:sz w:val="32"/>
      <w:lang w:val="es-MX"/>
    </w:rPr>
  </w:style>
  <w:style w:type="character" w:customStyle="1" w:styleId="CitaCar">
    <w:name w:val="Cita Car"/>
    <w:basedOn w:val="Fuentedeprrafopredeter"/>
    <w:link w:val="Cita"/>
    <w:uiPriority w:val="29"/>
    <w:rPr>
      <w:i/>
      <w:color w:val="000000" w:themeColor="text1"/>
    </w:rPr>
  </w:style>
  <w:style w:type="paragraph" w:styleId="Textosinformato">
    <w:name w:val="Plain Text"/>
    <w:basedOn w:val="Normal"/>
    <w:link w:val="TextosinformatoC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1Char">
    <w:name w:val="Heading 1 Char"/>
    <w:basedOn w:val="Fuentedeprrafopredeter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Heading3Char">
    <w:name w:val="Heading 3 Char"/>
    <w:basedOn w:val="Fuentedeprrafopredeter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Direccinsobre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Textoennegrita">
    <w:name w:val="Strong"/>
    <w:basedOn w:val="Fuentedeprrafopredeter"/>
    <w:uiPriority w:val="22"/>
    <w:qFormat/>
    <w:rPr>
      <w:b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paragraph" w:styleId="Remitedesobre">
    <w:name w:val="envelope return"/>
    <w:basedOn w:val="Normal"/>
    <w:uiPriority w:val="99"/>
    <w:unhideWhenUsed/>
    <w:rPr>
      <w:rFonts w:asciiTheme="majorHAnsi" w:eastAsiaTheme="majorEastAsia" w:hAnsiTheme="majorHAnsi" w:cstheme="majorBidi"/>
    </w:rPr>
  </w:style>
  <w:style w:type="paragraph" w:styleId="Sangradetextonormal">
    <w:name w:val="Body Text Indent"/>
    <w:basedOn w:val="Normal"/>
    <w:uiPriority w:val="99"/>
    <w:pPr>
      <w:ind w:left="426" w:hanging="426"/>
      <w:jc w:val="both"/>
    </w:pPr>
    <w:rPr>
      <w:rFonts w:ascii="Arial" w:hAnsi="Arial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nfasisintenso">
    <w:name w:val="Intense Emphasis"/>
    <w:basedOn w:val="Fuentedeprrafopredeter"/>
    <w:uiPriority w:val="21"/>
    <w:qFormat/>
    <w:rPr>
      <w:b/>
      <w:i/>
      <w:color w:val="4F81BD" w:themeColor="accent1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Textoindependiente3">
    <w:name w:val="Body Text 3"/>
    <w:basedOn w:val="Normal"/>
    <w:uiPriority w:val="99"/>
    <w:pPr>
      <w:jc w:val="both"/>
    </w:pPr>
    <w:rPr>
      <w:sz w:val="24"/>
    </w:rPr>
  </w:style>
  <w:style w:type="character" w:styleId="Ttulodellibro">
    <w:name w:val="Book Title"/>
    <w:basedOn w:val="Fuentedeprrafopredeter"/>
    <w:uiPriority w:val="33"/>
    <w:qFormat/>
    <w:rPr>
      <w:b/>
      <w:smallCaps/>
      <w:spacing w:val="5"/>
    </w:r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paragraph" w:styleId="Ttulo1">
    <w:name w:val="heading 1"/>
    <w:basedOn w:val="Normal"/>
    <w:next w:val="Normal"/>
    <w:uiPriority w:val="99"/>
    <w:qFormat/>
    <w:pPr>
      <w:keepNext/>
      <w:outlineLvl w:val="0"/>
    </w:pPr>
    <w:rPr>
      <w:b/>
      <w:sz w:val="24"/>
      <w:lang w:val="es-MX"/>
    </w:rPr>
  </w:style>
  <w:style w:type="paragraph" w:styleId="Ttulo2">
    <w:name w:val="heading 2"/>
    <w:basedOn w:val="Normal"/>
    <w:next w:val="Normal"/>
    <w:uiPriority w:val="99"/>
    <w:qFormat/>
    <w:pPr>
      <w:keepNext/>
      <w:outlineLvl w:val="1"/>
    </w:pPr>
    <w:rPr>
      <w:sz w:val="24"/>
      <w:u w:val="single"/>
      <w:lang w:val="es-MX"/>
    </w:rPr>
  </w:style>
  <w:style w:type="paragraph" w:styleId="Ttulo3">
    <w:name w:val="heading 3"/>
    <w:basedOn w:val="Normal"/>
    <w:next w:val="Normal"/>
    <w:uiPriority w:val="99"/>
    <w:qFormat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Cita">
    <w:name w:val="Quote"/>
    <w:basedOn w:val="Normal"/>
    <w:next w:val="Normal"/>
    <w:link w:val="CitaCar"/>
    <w:uiPriority w:val="29"/>
    <w:qFormat/>
    <w:rPr>
      <w:i/>
      <w:color w:val="000000" w:themeColor="text1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sz w:val="20"/>
    </w:rPr>
  </w:style>
  <w:style w:type="paragraph" w:styleId="Textoindependiente2">
    <w:name w:val="Body Text 2"/>
    <w:basedOn w:val="Normal"/>
    <w:uiPriority w:val="99"/>
    <w:pPr>
      <w:jc w:val="both"/>
    </w:pPr>
    <w:rPr>
      <w:rFonts w:ascii="Bookman Old Style" w:hAnsi="Bookman Old Style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Textonotapie">
    <w:name w:val="footnote text"/>
    <w:basedOn w:val="Normal"/>
    <w:link w:val="TextonotapieCar"/>
    <w:uiPriority w:val="99"/>
    <w:semiHidden/>
    <w:unhideWhenUsed/>
  </w:style>
  <w:style w:type="paragraph" w:styleId="Textonotaalfinal">
    <w:name w:val="endnote text"/>
    <w:basedOn w:val="Normal"/>
    <w:link w:val="TextonotaalfinalCar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paragraph" w:styleId="Mapadeldocumento">
    <w:name w:val="Document Map"/>
    <w:basedOn w:val="Normal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Heading2Char">
    <w:name w:val="Heading 2 Char"/>
    <w:basedOn w:val="Fuentedeprrafopredeter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i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smallCaps/>
      <w:color w:val="C0504D" w:themeColor="accent2"/>
      <w:spacing w:val="5"/>
      <w:u w:val="single"/>
    </w:rPr>
  </w:style>
  <w:style w:type="paragraph" w:styleId="Sinespaciado">
    <w:name w:val="No Spacing"/>
    <w:uiPriority w:val="1"/>
    <w:qFormat/>
  </w:style>
  <w:style w:type="character" w:styleId="nfasis">
    <w:name w:val="Emphasis"/>
    <w:basedOn w:val="Fuentedeprrafopredeter"/>
    <w:uiPriority w:val="20"/>
    <w:qFormat/>
    <w:rPr>
      <w:i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extosinformatoCar">
    <w:name w:val="Texto sin formato Car"/>
    <w:basedOn w:val="Fuentedeprrafopredeter"/>
    <w:link w:val="Textosinformato"/>
    <w:uiPriority w:val="99"/>
    <w:rPr>
      <w:rFonts w:ascii="Courier New" w:hAnsi="Courier New" w:cs="Courier New"/>
      <w:sz w:val="21"/>
    </w:rPr>
  </w:style>
  <w:style w:type="character" w:styleId="nfasissutil">
    <w:name w:val="Subtle Emphasis"/>
    <w:basedOn w:val="Fuentedeprrafopredeter"/>
    <w:uiPriority w:val="19"/>
    <w:qFormat/>
    <w:rPr>
      <w:i/>
      <w:color w:val="808080" w:themeColor="text1" w:themeTint="7F"/>
    </w:rPr>
  </w:style>
  <w:style w:type="paragraph" w:styleId="Textoindependiente">
    <w:name w:val="Body Text"/>
    <w:basedOn w:val="Normal"/>
    <w:uiPriority w:val="99"/>
    <w:pPr>
      <w:jc w:val="center"/>
    </w:pPr>
    <w:rPr>
      <w:b/>
      <w:sz w:val="32"/>
      <w:lang w:val="es-MX"/>
    </w:rPr>
  </w:style>
  <w:style w:type="character" w:customStyle="1" w:styleId="CitaCar">
    <w:name w:val="Cita Car"/>
    <w:basedOn w:val="Fuentedeprrafopredeter"/>
    <w:link w:val="Cita"/>
    <w:uiPriority w:val="29"/>
    <w:rPr>
      <w:i/>
      <w:color w:val="000000" w:themeColor="text1"/>
    </w:rPr>
  </w:style>
  <w:style w:type="paragraph" w:styleId="Textosinformato">
    <w:name w:val="Plain Text"/>
    <w:basedOn w:val="Normal"/>
    <w:link w:val="TextosinformatoC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1Char">
    <w:name w:val="Heading 1 Char"/>
    <w:basedOn w:val="Fuentedeprrafopredeter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Heading3Char">
    <w:name w:val="Heading 3 Char"/>
    <w:basedOn w:val="Fuentedeprrafopredeter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Direccinsobre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Textoennegrita">
    <w:name w:val="Strong"/>
    <w:basedOn w:val="Fuentedeprrafopredeter"/>
    <w:uiPriority w:val="22"/>
    <w:qFormat/>
    <w:rPr>
      <w:b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paragraph" w:styleId="Remitedesobre">
    <w:name w:val="envelope return"/>
    <w:basedOn w:val="Normal"/>
    <w:uiPriority w:val="99"/>
    <w:unhideWhenUsed/>
    <w:rPr>
      <w:rFonts w:asciiTheme="majorHAnsi" w:eastAsiaTheme="majorEastAsia" w:hAnsiTheme="majorHAnsi" w:cstheme="majorBidi"/>
    </w:rPr>
  </w:style>
  <w:style w:type="paragraph" w:styleId="Sangradetextonormal">
    <w:name w:val="Body Text Indent"/>
    <w:basedOn w:val="Normal"/>
    <w:uiPriority w:val="99"/>
    <w:pPr>
      <w:ind w:left="426" w:hanging="426"/>
      <w:jc w:val="both"/>
    </w:pPr>
    <w:rPr>
      <w:rFonts w:ascii="Arial" w:hAnsi="Arial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nfasisintenso">
    <w:name w:val="Intense Emphasis"/>
    <w:basedOn w:val="Fuentedeprrafopredeter"/>
    <w:uiPriority w:val="21"/>
    <w:qFormat/>
    <w:rPr>
      <w:b/>
      <w:i/>
      <w:color w:val="4F81BD" w:themeColor="accent1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Textoindependiente3">
    <w:name w:val="Body Text 3"/>
    <w:basedOn w:val="Normal"/>
    <w:uiPriority w:val="99"/>
    <w:pPr>
      <w:jc w:val="both"/>
    </w:pPr>
    <w:rPr>
      <w:sz w:val="24"/>
    </w:rPr>
  </w:style>
  <w:style w:type="character" w:styleId="Ttulodellibro">
    <w:name w:val="Book Title"/>
    <w:basedOn w:val="Fuentedeprrafopredeter"/>
    <w:uiPriority w:val="33"/>
    <w:qFormat/>
    <w:rPr>
      <w:b/>
      <w:smallCaps/>
      <w:spacing w:val="5"/>
    </w:r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4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43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5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9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2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5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0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1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9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1849</Words>
  <Characters>9897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INDICACIONES PARA LA REALIZACION DEL BALANCE ANUAL DEL TRABAJO CIENTIFICO TECNICO DEL AÑO 2001</vt:lpstr>
    </vt:vector>
  </TitlesOfParts>
  <Company>MES</Company>
  <LinksUpToDate>false</LinksUpToDate>
  <CharactersWithSpaces>11723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INDICACIONES PARA LA REALIZACION DEL BALANCE ANUAL DEL TRABAJO CIENTIFICO TECNICO DEL AÑO 2001</dc:title>
  <dc:creator>Cliente Final</dc:creator>
  <cp:lastModifiedBy>Luffi</cp:lastModifiedBy>
  <cp:revision>2</cp:revision>
  <cp:lastPrinted>2008-09-25T18:18:00Z</cp:lastPrinted>
  <dcterms:created xsi:type="dcterms:W3CDTF">2018-11-09T19:50:00Z</dcterms:created>
  <dcterms:modified xsi:type="dcterms:W3CDTF">2018-11-09T19:50:00Z</dcterms:modified>
</cp:coreProperties>
</file>