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7627" w:rsidRDefault="00BF4D56">
      <w:pPr>
        <w:jc w:val="center"/>
        <w:rPr>
          <w:rFonts w:ascii="Arial" w:hAnsi="Arial" w:cs="Arial"/>
          <w:b/>
          <w:sz w:val="24"/>
          <w:szCs w:val="24"/>
        </w:rPr>
      </w:pPr>
      <w:r>
        <w:rPr>
          <w:rFonts w:ascii="Arial" w:hAnsi="Arial" w:cs="Arial"/>
          <w:b/>
          <w:sz w:val="24"/>
          <w:szCs w:val="24"/>
        </w:rPr>
        <w:t>Plan general de tesis doctoral</w:t>
      </w:r>
    </w:p>
    <w:p w:rsidR="000F7627" w:rsidRDefault="00BF4D56">
      <w:pPr>
        <w:jc w:val="both"/>
        <w:rPr>
          <w:rFonts w:ascii="Arial" w:hAnsi="Arial" w:cs="Arial"/>
          <w:b/>
          <w:i/>
          <w:sz w:val="24"/>
          <w:szCs w:val="24"/>
        </w:rPr>
      </w:pPr>
      <w:r>
        <w:rPr>
          <w:rFonts w:ascii="Arial" w:hAnsi="Arial" w:cs="Arial"/>
          <w:b/>
          <w:sz w:val="24"/>
          <w:szCs w:val="24"/>
        </w:rPr>
        <w:t xml:space="preserve">Título: </w:t>
      </w:r>
      <w:r>
        <w:rPr>
          <w:rFonts w:ascii="Arial" w:hAnsi="Arial" w:cs="Arial"/>
          <w:sz w:val="24"/>
          <w:szCs w:val="24"/>
        </w:rPr>
        <w:t xml:space="preserve">“Uso de bioestimulantes para mejorar la tolerancia al déficit hídrico en plantas de </w:t>
      </w:r>
      <w:r>
        <w:rPr>
          <w:rFonts w:ascii="Arial" w:hAnsi="Arial" w:cs="Arial"/>
          <w:i/>
          <w:sz w:val="24"/>
          <w:szCs w:val="24"/>
        </w:rPr>
        <w:t>Phaseolus vulgaris</w:t>
      </w:r>
      <w:r>
        <w:rPr>
          <w:rFonts w:ascii="Arial" w:hAnsi="Arial" w:cs="Arial"/>
          <w:sz w:val="24"/>
          <w:szCs w:val="24"/>
        </w:rPr>
        <w:t>: respuesta fisiológica, nutricional y productiva”</w:t>
      </w:r>
      <w:r>
        <w:rPr>
          <w:rFonts w:ascii="Arial" w:hAnsi="Arial" w:cs="Arial"/>
          <w:b/>
          <w:i/>
          <w:sz w:val="24"/>
          <w:szCs w:val="24"/>
        </w:rPr>
        <w:t xml:space="preserve"> </w:t>
      </w:r>
    </w:p>
    <w:p w:rsidR="000F7627" w:rsidRDefault="00BF4D56">
      <w:pPr>
        <w:jc w:val="both"/>
        <w:rPr>
          <w:rFonts w:ascii="Arial" w:hAnsi="Arial" w:cs="Arial"/>
          <w:sz w:val="24"/>
          <w:szCs w:val="24"/>
        </w:rPr>
      </w:pPr>
      <w:r>
        <w:rPr>
          <w:rFonts w:ascii="Arial" w:hAnsi="Arial" w:cs="Arial"/>
          <w:b/>
          <w:i/>
          <w:sz w:val="24"/>
          <w:szCs w:val="24"/>
        </w:rPr>
        <w:t>Tema:</w:t>
      </w:r>
      <w:r>
        <w:rPr>
          <w:rFonts w:ascii="Arial" w:hAnsi="Arial" w:cs="Arial"/>
          <w:i/>
          <w:sz w:val="24"/>
          <w:szCs w:val="24"/>
        </w:rPr>
        <w:t xml:space="preserve"> Acción bioestimulante y </w:t>
      </w:r>
      <w:r>
        <w:rPr>
          <w:rFonts w:ascii="Arial" w:hAnsi="Arial" w:cs="Arial"/>
          <w:i/>
          <w:sz w:val="24"/>
          <w:szCs w:val="24"/>
          <w:lang w:val="es-ES"/>
        </w:rPr>
        <w:t>bioprotectora</w:t>
      </w:r>
      <w:r>
        <w:rPr>
          <w:rFonts w:ascii="Arial" w:hAnsi="Arial" w:cs="Arial"/>
          <w:i/>
          <w:sz w:val="24"/>
          <w:szCs w:val="24"/>
        </w:rPr>
        <w:t xml:space="preserve"> en plantas de interés económico en condiciones adversas.</w:t>
      </w:r>
    </w:p>
    <w:p w:rsidR="000F7627" w:rsidRDefault="00BF4D56">
      <w:pPr>
        <w:jc w:val="both"/>
        <w:rPr>
          <w:rFonts w:ascii="Arial" w:hAnsi="Arial" w:cs="Arial"/>
          <w:sz w:val="24"/>
          <w:szCs w:val="24"/>
          <w:lang w:val="pt-BR"/>
        </w:rPr>
      </w:pPr>
      <w:r>
        <w:rPr>
          <w:rFonts w:ascii="Arial" w:hAnsi="Arial" w:cs="Arial"/>
          <w:b/>
          <w:sz w:val="24"/>
          <w:szCs w:val="24"/>
          <w:lang w:val="pt-BR"/>
        </w:rPr>
        <w:t>Aspirante</w:t>
      </w:r>
      <w:r>
        <w:rPr>
          <w:rFonts w:ascii="Arial" w:hAnsi="Arial" w:cs="Arial"/>
          <w:sz w:val="24"/>
          <w:szCs w:val="24"/>
          <w:lang w:val="pt-BR"/>
        </w:rPr>
        <w:t xml:space="preserve">: Ing. Betsy de </w:t>
      </w:r>
      <w:proofErr w:type="gramStart"/>
      <w:r>
        <w:rPr>
          <w:rFonts w:ascii="Arial" w:hAnsi="Arial" w:cs="Arial"/>
          <w:sz w:val="24"/>
          <w:szCs w:val="24"/>
          <w:lang w:val="es-ES"/>
        </w:rPr>
        <w:t>la</w:t>
      </w:r>
      <w:proofErr w:type="gramEnd"/>
      <w:r>
        <w:rPr>
          <w:rFonts w:ascii="Arial" w:hAnsi="Arial" w:cs="Arial"/>
          <w:sz w:val="24"/>
          <w:szCs w:val="24"/>
          <w:lang w:val="pt-BR"/>
        </w:rPr>
        <w:t xml:space="preserve"> </w:t>
      </w:r>
      <w:r>
        <w:rPr>
          <w:rFonts w:ascii="Arial" w:hAnsi="Arial" w:cs="Arial"/>
          <w:sz w:val="24"/>
          <w:szCs w:val="24"/>
          <w:lang w:val="es-ES"/>
        </w:rPr>
        <w:t>Caridad</w:t>
      </w:r>
      <w:r>
        <w:rPr>
          <w:rFonts w:ascii="Arial" w:hAnsi="Arial" w:cs="Arial"/>
          <w:sz w:val="24"/>
          <w:szCs w:val="24"/>
          <w:lang w:val="pt-BR"/>
        </w:rPr>
        <w:t xml:space="preserve"> </w:t>
      </w:r>
      <w:r>
        <w:rPr>
          <w:rFonts w:ascii="Arial" w:hAnsi="Arial" w:cs="Arial"/>
          <w:sz w:val="24"/>
          <w:szCs w:val="24"/>
          <w:lang w:val="es-ES"/>
        </w:rPr>
        <w:t>Peña</w:t>
      </w:r>
      <w:r>
        <w:rPr>
          <w:rFonts w:ascii="Arial" w:hAnsi="Arial" w:cs="Arial"/>
          <w:sz w:val="24"/>
          <w:szCs w:val="24"/>
          <w:lang w:val="pt-BR"/>
        </w:rPr>
        <w:t xml:space="preserve"> Herrera.</w:t>
      </w:r>
    </w:p>
    <w:p w:rsidR="00A033EB" w:rsidRDefault="00BF4D56">
      <w:pPr>
        <w:spacing w:after="0"/>
        <w:jc w:val="both"/>
        <w:rPr>
          <w:rFonts w:ascii="Arial" w:hAnsi="Arial" w:cs="Arial"/>
          <w:sz w:val="24"/>
          <w:szCs w:val="24"/>
        </w:rPr>
      </w:pPr>
      <w:r>
        <w:rPr>
          <w:rFonts w:ascii="Arial" w:hAnsi="Arial" w:cs="Arial"/>
          <w:b/>
          <w:sz w:val="24"/>
          <w:szCs w:val="24"/>
        </w:rPr>
        <w:t>Tutores</w:t>
      </w:r>
      <w:r>
        <w:rPr>
          <w:rFonts w:ascii="Arial" w:hAnsi="Arial" w:cs="Arial"/>
          <w:sz w:val="24"/>
          <w:szCs w:val="24"/>
        </w:rPr>
        <w:t xml:space="preserve">: </w:t>
      </w:r>
      <w:r w:rsidR="00A033EB" w:rsidRPr="00A033EB">
        <w:rPr>
          <w:rFonts w:ascii="Arial" w:hAnsi="Arial" w:cs="Arial"/>
          <w:sz w:val="24"/>
          <w:szCs w:val="24"/>
        </w:rPr>
        <w:t>Dr. José Miguel Dell’Amico Rodríguez (INCA-MES)</w:t>
      </w:r>
    </w:p>
    <w:p w:rsidR="000F7627" w:rsidRDefault="00A033EB">
      <w:pPr>
        <w:spacing w:after="0"/>
        <w:jc w:val="both"/>
        <w:rPr>
          <w:rFonts w:ascii="Arial" w:hAnsi="Arial" w:cs="Arial"/>
          <w:sz w:val="24"/>
          <w:szCs w:val="24"/>
        </w:rPr>
      </w:pPr>
      <w:r>
        <w:rPr>
          <w:rFonts w:ascii="Arial" w:hAnsi="Arial" w:cs="Arial"/>
          <w:sz w:val="24"/>
          <w:szCs w:val="24"/>
        </w:rPr>
        <w:t xml:space="preserve">               </w:t>
      </w:r>
      <w:r w:rsidR="00BF4D56">
        <w:rPr>
          <w:rFonts w:ascii="Arial" w:hAnsi="Arial" w:cs="Arial"/>
          <w:sz w:val="24"/>
          <w:szCs w:val="24"/>
        </w:rPr>
        <w:t>Dra. María de Jesús Sánchez-Blanco (CEBAS-CSIC)</w:t>
      </w:r>
    </w:p>
    <w:p w:rsidR="00A033EB" w:rsidRDefault="00A033EB">
      <w:pPr>
        <w:spacing w:after="0"/>
        <w:jc w:val="both"/>
        <w:rPr>
          <w:rFonts w:ascii="Arial" w:hAnsi="Arial" w:cs="Arial"/>
          <w:sz w:val="24"/>
          <w:szCs w:val="24"/>
        </w:rPr>
      </w:pPr>
      <w:r>
        <w:rPr>
          <w:rFonts w:ascii="Arial" w:hAnsi="Arial" w:cs="Arial"/>
          <w:sz w:val="24"/>
          <w:szCs w:val="24"/>
        </w:rPr>
        <w:t xml:space="preserve">               Dra. María José Gómez-Bellot </w:t>
      </w:r>
      <w:r w:rsidRPr="00A033EB">
        <w:rPr>
          <w:rFonts w:ascii="Arial" w:hAnsi="Arial" w:cs="Arial"/>
          <w:sz w:val="24"/>
          <w:szCs w:val="24"/>
        </w:rPr>
        <w:t>(CEBAS-CSIC)</w:t>
      </w:r>
    </w:p>
    <w:p w:rsidR="00A033EB" w:rsidRDefault="00BF4D56">
      <w:pPr>
        <w:jc w:val="both"/>
        <w:rPr>
          <w:sz w:val="24"/>
          <w:szCs w:val="24"/>
        </w:rPr>
      </w:pPr>
      <w:r>
        <w:rPr>
          <w:sz w:val="24"/>
          <w:szCs w:val="24"/>
        </w:rPr>
        <w:t xml:space="preserve">                   </w:t>
      </w:r>
    </w:p>
    <w:p w:rsidR="000F7627" w:rsidRDefault="00BF4D56">
      <w:pPr>
        <w:jc w:val="both"/>
        <w:rPr>
          <w:rFonts w:ascii="Arial" w:hAnsi="Arial" w:cs="Arial"/>
          <w:b/>
          <w:sz w:val="24"/>
        </w:rPr>
      </w:pPr>
      <w:bookmarkStart w:id="0" w:name="_GoBack"/>
      <w:bookmarkEnd w:id="0"/>
      <w:r>
        <w:rPr>
          <w:rFonts w:ascii="Arial" w:hAnsi="Arial" w:cs="Arial"/>
          <w:b/>
          <w:sz w:val="24"/>
        </w:rPr>
        <w:t>Proyecto que respalda:</w:t>
      </w:r>
    </w:p>
    <w:p w:rsidR="000F7627" w:rsidRDefault="00BF4D56">
      <w:pPr>
        <w:jc w:val="both"/>
        <w:rPr>
          <w:rFonts w:ascii="Arial" w:hAnsi="Arial" w:cs="Arial"/>
          <w:sz w:val="24"/>
        </w:rPr>
      </w:pPr>
      <w:r>
        <w:rPr>
          <w:rFonts w:ascii="Arial" w:hAnsi="Arial" w:cs="Arial"/>
          <w:sz w:val="24"/>
        </w:rPr>
        <w:t>“ESTIMACIÓN DE LA HUELLA HÍDRICA EN CULTIVOS DE INTERÉS ECONÓMICO TRATADOS CON BIOESTIMULANTES NACIONALES. VÍA PARA UN USO CONSCIENTE DEL AGUA”.</w:t>
      </w:r>
    </w:p>
    <w:p w:rsidR="000F7627" w:rsidRDefault="00BF4D56">
      <w:pPr>
        <w:jc w:val="both"/>
        <w:rPr>
          <w:rFonts w:ascii="Arial" w:hAnsi="Arial" w:cs="Arial"/>
          <w:sz w:val="24"/>
        </w:rPr>
      </w:pPr>
      <w:r>
        <w:rPr>
          <w:rFonts w:ascii="Arial" w:hAnsi="Arial" w:cs="Arial"/>
          <w:sz w:val="24"/>
        </w:rPr>
        <w:t xml:space="preserve"> DURACIÓN: Enero 2024- Diciembre 2027</w:t>
      </w:r>
    </w:p>
    <w:p w:rsidR="000F7627" w:rsidRDefault="00BF4D56">
      <w:pPr>
        <w:jc w:val="both"/>
        <w:rPr>
          <w:rFonts w:ascii="Arial" w:hAnsi="Arial" w:cs="Arial"/>
          <w:sz w:val="24"/>
        </w:rPr>
      </w:pPr>
      <w:r>
        <w:rPr>
          <w:rFonts w:ascii="Arial" w:hAnsi="Arial" w:cs="Arial"/>
          <w:sz w:val="24"/>
        </w:rPr>
        <w:t>ADEMÁS, CUENTA CON FINANCIAMIENTO DEL PROGRAMA i-COOP 23 A CON EL CODIGO (COOPA 23010) DEL CONSEJO SUPERIOR DE INVESTIGACIONES CIENTÍFICAS DE ESPAÑA (CSIC) PARA LA REALIZACIÓN DE DOS ESTANCIAS EN EL CENTRO DE EDAFOLOGÍA Y BIOLOGÍA APLICADA DEL SEGURA (CEBAS-CSIC) DURANTE LOS AÑOS 2024 y 2025.</w:t>
      </w:r>
    </w:p>
    <w:p w:rsidR="000F7627" w:rsidRDefault="00BF4D56">
      <w:pPr>
        <w:jc w:val="both"/>
        <w:rPr>
          <w:rFonts w:ascii="Arial" w:hAnsi="Arial" w:cs="Arial"/>
          <w:b/>
          <w:sz w:val="24"/>
        </w:rPr>
      </w:pPr>
      <w:r>
        <w:rPr>
          <w:rFonts w:ascii="Arial" w:hAnsi="Arial" w:cs="Arial"/>
          <w:b/>
          <w:sz w:val="24"/>
        </w:rPr>
        <w:t>Antecedentes</w:t>
      </w: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El frijol común (</w:t>
      </w:r>
      <w:r>
        <w:rPr>
          <w:rFonts w:ascii="Arial" w:hAnsi="Arial" w:cs="Arial"/>
          <w:i/>
          <w:iCs/>
          <w:color w:val="000000"/>
          <w:sz w:val="24"/>
          <w:szCs w:val="18"/>
          <w:lang w:val="es-ES" w:eastAsia="es-ES"/>
        </w:rPr>
        <w:t xml:space="preserve">Phaseolus vulgaris </w:t>
      </w:r>
      <w:r>
        <w:rPr>
          <w:rFonts w:ascii="Arial" w:hAnsi="Arial" w:cs="Arial"/>
          <w:color w:val="000000"/>
          <w:sz w:val="24"/>
          <w:szCs w:val="18"/>
          <w:lang w:val="es-ES" w:eastAsia="es-ES"/>
        </w:rPr>
        <w:t xml:space="preserve">L.) es la leguminosa más consumida en el mundo. En la actualidad se producen cerca de 18 millones de toneladas anuales, en ambientes tan diversos como América Latina, norte de África, China, EUA, Europa y Canadá. América Latina es el mayor productor y consumidor, liderado por Brasil, México, Centroamérica y el Caribe (González-Cueto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2017). Este cultivo constituye una fuente significativa de proteínas, vitaminas y minerales para la dieta humana (</w:t>
      </w:r>
      <w:r>
        <w:rPr>
          <w:rFonts w:ascii="Arial" w:hAnsi="Arial" w:cs="Arial"/>
          <w:sz w:val="24"/>
          <w:szCs w:val="24"/>
        </w:rPr>
        <w:t>Dell’Amico</w:t>
      </w:r>
      <w:r>
        <w:rPr>
          <w:rFonts w:ascii="Arial" w:hAnsi="Arial" w:cs="Arial"/>
          <w:color w:val="000000"/>
          <w:sz w:val="24"/>
          <w:szCs w:val="18"/>
          <w:lang w:val="es-ES" w:eastAsia="es-ES"/>
        </w:rPr>
        <w:t xml:space="preserve"> </w:t>
      </w:r>
      <w:r>
        <w:rPr>
          <w:rFonts w:ascii="Arial" w:hAnsi="Arial" w:cs="Arial"/>
          <w:i/>
          <w:iCs/>
          <w:color w:val="000000"/>
          <w:sz w:val="24"/>
          <w:szCs w:val="18"/>
          <w:lang w:val="es-ES" w:eastAsia="es-ES"/>
        </w:rPr>
        <w:t>et al.</w:t>
      </w:r>
      <w:r>
        <w:rPr>
          <w:rFonts w:ascii="Arial" w:hAnsi="Arial" w:cs="Arial"/>
          <w:color w:val="000000"/>
          <w:sz w:val="24"/>
          <w:szCs w:val="18"/>
          <w:lang w:val="es-ES" w:eastAsia="es-ES"/>
        </w:rPr>
        <w:t xml:space="preserve">, 2017; Calero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 xml:space="preserve">2018). Se plantea que, para más de 300 millones de personas en el mundo, el frijol es componente esencial de su dieta diaria (Estrada </w:t>
      </w:r>
      <w:r>
        <w:rPr>
          <w:rFonts w:ascii="Arial" w:hAnsi="Arial" w:cs="Arial"/>
          <w:i/>
          <w:iCs/>
          <w:color w:val="000000"/>
          <w:sz w:val="24"/>
          <w:szCs w:val="18"/>
          <w:lang w:val="es-ES" w:eastAsia="es-ES"/>
        </w:rPr>
        <w:t>et al</w:t>
      </w:r>
      <w:r>
        <w:rPr>
          <w:rFonts w:ascii="Arial" w:hAnsi="Arial" w:cs="Arial"/>
          <w:color w:val="000000"/>
          <w:sz w:val="24"/>
          <w:szCs w:val="18"/>
          <w:lang w:val="es-ES" w:eastAsia="es-ES"/>
        </w:rPr>
        <w:t>., 2017).</w:t>
      </w:r>
      <w:r>
        <w:t xml:space="preserve"> </w:t>
      </w:r>
      <w:r>
        <w:rPr>
          <w:rFonts w:ascii="Arial" w:hAnsi="Arial" w:cs="Arial"/>
          <w:color w:val="000000"/>
          <w:sz w:val="24"/>
          <w:szCs w:val="18"/>
          <w:lang w:val="es-ES" w:eastAsia="es-ES"/>
        </w:rPr>
        <w:t>Además, diferentes estudios han demostrado que existe una asociación entre la disminución de enfermedades cardiovasculares, diabetes y obesidad con el consumo de semillas de judía. Estas ventajas se atribuyen principalmente a sus compuestos fenólicos (</w:t>
      </w:r>
      <w:proofErr w:type="spellStart"/>
      <w:r>
        <w:rPr>
          <w:rFonts w:ascii="Arial" w:hAnsi="Arial" w:cs="Arial"/>
          <w:color w:val="000000"/>
          <w:sz w:val="24"/>
          <w:szCs w:val="18"/>
          <w:lang w:val="es-ES" w:eastAsia="es-ES"/>
        </w:rPr>
        <w:t>Durazzo</w:t>
      </w:r>
      <w:proofErr w:type="spellEnd"/>
      <w:r>
        <w:rPr>
          <w:rFonts w:ascii="Arial" w:hAnsi="Arial" w:cs="Arial"/>
          <w:color w:val="000000"/>
          <w:sz w:val="24"/>
          <w:szCs w:val="18"/>
          <w:lang w:val="es-ES" w:eastAsia="es-ES"/>
        </w:rPr>
        <w:t xml:space="preserve"> </w:t>
      </w:r>
      <w:r>
        <w:rPr>
          <w:rFonts w:ascii="Arial" w:hAnsi="Arial" w:cs="Arial"/>
          <w:i/>
          <w:color w:val="000000"/>
          <w:sz w:val="24"/>
          <w:szCs w:val="18"/>
          <w:lang w:val="es-ES" w:eastAsia="es-ES"/>
        </w:rPr>
        <w:t>et al</w:t>
      </w:r>
      <w:r>
        <w:rPr>
          <w:rFonts w:ascii="Arial" w:hAnsi="Arial" w:cs="Arial"/>
          <w:color w:val="000000"/>
          <w:sz w:val="24"/>
          <w:szCs w:val="18"/>
          <w:lang w:val="es-ES" w:eastAsia="es-ES"/>
        </w:rPr>
        <w:t>., 2019) y han sido clasificadas entre las 10</w:t>
      </w:r>
      <w:r>
        <w:t xml:space="preserve"> </w:t>
      </w:r>
      <w:r>
        <w:rPr>
          <w:rFonts w:ascii="Arial" w:hAnsi="Arial" w:cs="Arial"/>
          <w:color w:val="000000"/>
          <w:sz w:val="24"/>
          <w:szCs w:val="18"/>
          <w:lang w:val="es-ES" w:eastAsia="es-ES"/>
        </w:rPr>
        <w:t>primeras hortalizas comunes en relación a su contenido y actividad antioxidante (</w:t>
      </w:r>
      <w:proofErr w:type="spellStart"/>
      <w:r>
        <w:rPr>
          <w:rFonts w:ascii="Arial" w:hAnsi="Arial" w:cs="Arial"/>
          <w:color w:val="000000"/>
          <w:sz w:val="24"/>
          <w:szCs w:val="18"/>
          <w:lang w:val="es-ES" w:eastAsia="es-ES"/>
        </w:rPr>
        <w:t>Nunes</w:t>
      </w:r>
      <w:proofErr w:type="spellEnd"/>
      <w:r>
        <w:rPr>
          <w:rFonts w:ascii="Arial" w:hAnsi="Arial" w:cs="Arial"/>
          <w:color w:val="000000"/>
          <w:sz w:val="24"/>
          <w:szCs w:val="18"/>
          <w:lang w:val="es-ES" w:eastAsia="es-ES"/>
        </w:rPr>
        <w:t>, 2008).</w:t>
      </w: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 xml:space="preserve">El cambio climático, que provoca eventos meteorológicos extremos, modifica los patrones globales de precipitación y de intensidad y frecuencia de las sequías (Urbina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 xml:space="preserve">2015), factor abiótico que afecta en mayor grado a la </w:t>
      </w:r>
      <w:r>
        <w:rPr>
          <w:rFonts w:ascii="Arial" w:hAnsi="Arial" w:cs="Arial"/>
          <w:color w:val="000000"/>
          <w:sz w:val="24"/>
          <w:szCs w:val="18"/>
          <w:lang w:val="es-ES" w:eastAsia="es-ES"/>
        </w:rPr>
        <w:lastRenderedPageBreak/>
        <w:t xml:space="preserve">producción mundial de cultivos y en consecuencia a la de los alimentos (Barrios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2011). En los últimos años, las sequías causadas por el cambio climático global son cada vez más frecuentes, por lo que las investigaciones relacionadas con las respuestas de las plantas al déficit hídrico resultan imprescindibles (</w:t>
      </w:r>
      <w:proofErr w:type="spellStart"/>
      <w:r>
        <w:rPr>
          <w:rFonts w:ascii="Arial" w:hAnsi="Arial" w:cs="Arial"/>
          <w:color w:val="000000"/>
          <w:sz w:val="24"/>
          <w:szCs w:val="18"/>
          <w:lang w:val="es-ES" w:eastAsia="es-ES"/>
        </w:rPr>
        <w:t>Lan</w:t>
      </w:r>
      <w:proofErr w:type="spellEnd"/>
      <w:r>
        <w:rPr>
          <w:rFonts w:ascii="Arial" w:hAnsi="Arial" w:cs="Arial"/>
          <w:color w:val="000000"/>
          <w:sz w:val="24"/>
          <w:szCs w:val="18"/>
          <w:lang w:val="es-ES" w:eastAsia="es-ES"/>
        </w:rPr>
        <w:t xml:space="preserve">, </w:t>
      </w:r>
      <w:r>
        <w:rPr>
          <w:rFonts w:ascii="Arial" w:hAnsi="Arial" w:cs="Arial"/>
          <w:i/>
          <w:iCs/>
          <w:color w:val="000000"/>
          <w:sz w:val="24"/>
          <w:szCs w:val="18"/>
          <w:lang w:val="es-ES" w:eastAsia="es-ES"/>
        </w:rPr>
        <w:t>et al.</w:t>
      </w:r>
      <w:r>
        <w:rPr>
          <w:rFonts w:ascii="Arial" w:hAnsi="Arial" w:cs="Arial"/>
          <w:color w:val="000000"/>
          <w:sz w:val="24"/>
          <w:szCs w:val="18"/>
          <w:lang w:val="es-ES" w:eastAsia="es-ES"/>
        </w:rPr>
        <w:t>, 2011).</w:t>
      </w:r>
    </w:p>
    <w:p w:rsidR="000F7627" w:rsidRDefault="000F7627">
      <w:pPr>
        <w:spacing w:after="0"/>
        <w:jc w:val="both"/>
        <w:rPr>
          <w:rFonts w:ascii="Arial" w:hAnsi="Arial" w:cs="Arial"/>
          <w:color w:val="000000"/>
          <w:sz w:val="24"/>
          <w:szCs w:val="18"/>
          <w:lang w:val="es-ES" w:eastAsia="es-ES"/>
        </w:rPr>
      </w:pPr>
    </w:p>
    <w:p w:rsidR="00447390"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Los efectos de la sequía se expresan mediante una serie de cambios morfológicos, fisiológicos, metabólicos y moleculares en las plantas (</w:t>
      </w:r>
      <w:proofErr w:type="spellStart"/>
      <w:r>
        <w:rPr>
          <w:rFonts w:ascii="Arial" w:hAnsi="Arial" w:cs="Arial"/>
          <w:color w:val="000000"/>
          <w:sz w:val="24"/>
          <w:szCs w:val="18"/>
          <w:lang w:val="es-ES" w:eastAsia="es-ES"/>
        </w:rPr>
        <w:t>Abdelrahman</w:t>
      </w:r>
      <w:proofErr w:type="spellEnd"/>
      <w:r>
        <w:rPr>
          <w:rFonts w:ascii="Arial" w:hAnsi="Arial" w:cs="Arial"/>
          <w:color w:val="000000"/>
          <w:sz w:val="24"/>
          <w:szCs w:val="18"/>
          <w:lang w:val="es-ES" w:eastAsia="es-ES"/>
        </w:rPr>
        <w:t xml:space="preserve">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 xml:space="preserve">2018), </w:t>
      </w:r>
      <w:r w:rsidR="00447390">
        <w:rPr>
          <w:rFonts w:ascii="Arial" w:hAnsi="Arial" w:cs="Arial"/>
          <w:color w:val="000000"/>
          <w:sz w:val="24"/>
          <w:szCs w:val="18"/>
          <w:lang w:val="es-ES" w:eastAsia="es-ES"/>
        </w:rPr>
        <w:t xml:space="preserve">que </w:t>
      </w:r>
      <w:r>
        <w:rPr>
          <w:rFonts w:ascii="Arial" w:hAnsi="Arial" w:cs="Arial"/>
          <w:color w:val="000000"/>
          <w:sz w:val="24"/>
          <w:szCs w:val="18"/>
          <w:lang w:val="es-ES" w:eastAsia="es-ES"/>
        </w:rPr>
        <w:t xml:space="preserve">inhiben su crecimiento y </w:t>
      </w:r>
      <w:r>
        <w:rPr>
          <w:rFonts w:ascii="Arial" w:hAnsi="Arial" w:cs="Arial"/>
          <w:sz w:val="24"/>
          <w:szCs w:val="18"/>
          <w:lang w:val="es-ES" w:eastAsia="es-ES"/>
        </w:rPr>
        <w:t>rendimiento</w:t>
      </w:r>
      <w:r>
        <w:rPr>
          <w:rFonts w:ascii="Arial" w:hAnsi="Arial" w:cs="Arial"/>
          <w:color w:val="FF0000"/>
          <w:sz w:val="24"/>
          <w:szCs w:val="18"/>
          <w:lang w:val="es-ES" w:eastAsia="es-ES"/>
        </w:rPr>
        <w:t xml:space="preserve"> </w:t>
      </w:r>
      <w:r>
        <w:rPr>
          <w:rFonts w:ascii="Arial" w:hAnsi="Arial" w:cs="Arial"/>
          <w:color w:val="000000"/>
          <w:sz w:val="24"/>
          <w:szCs w:val="18"/>
          <w:lang w:val="es-ES" w:eastAsia="es-ES"/>
        </w:rPr>
        <w:t>(</w:t>
      </w:r>
      <w:proofErr w:type="spellStart"/>
      <w:r>
        <w:rPr>
          <w:rFonts w:ascii="Arial" w:hAnsi="Arial" w:cs="Arial"/>
          <w:color w:val="000000"/>
          <w:sz w:val="24"/>
          <w:szCs w:val="18"/>
          <w:lang w:val="es-ES" w:eastAsia="es-ES"/>
        </w:rPr>
        <w:t>Seckin</w:t>
      </w:r>
      <w:proofErr w:type="spellEnd"/>
      <w:r>
        <w:rPr>
          <w:rFonts w:ascii="Arial" w:hAnsi="Arial" w:cs="Arial"/>
          <w:color w:val="000000"/>
          <w:sz w:val="24"/>
          <w:szCs w:val="18"/>
          <w:lang w:val="es-ES" w:eastAsia="es-ES"/>
        </w:rPr>
        <w:t xml:space="preserve"> y </w:t>
      </w:r>
      <w:proofErr w:type="spellStart"/>
      <w:r>
        <w:rPr>
          <w:rFonts w:ascii="Arial" w:hAnsi="Arial" w:cs="Arial"/>
          <w:color w:val="000000"/>
          <w:sz w:val="24"/>
          <w:szCs w:val="18"/>
          <w:lang w:val="es-ES" w:eastAsia="es-ES"/>
        </w:rPr>
        <w:t>Aksoy</w:t>
      </w:r>
      <w:proofErr w:type="spellEnd"/>
      <w:r>
        <w:rPr>
          <w:rFonts w:ascii="Arial" w:hAnsi="Arial" w:cs="Arial"/>
          <w:color w:val="000000"/>
          <w:sz w:val="24"/>
          <w:szCs w:val="18"/>
          <w:lang w:val="es-ES" w:eastAsia="es-ES"/>
        </w:rPr>
        <w:t xml:space="preserve">, 2014). </w:t>
      </w: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Se plantea que el 60 % de la producción mundial de frijol se obtiene bajo condiciones de déficit hídrico, lo que ha llevado a considerar al estrés hídrico como el segundo factor limitante para su rendimiento, después de las enfermedades (Dávila, 2010).</w:t>
      </w:r>
    </w:p>
    <w:p w:rsidR="000F7627" w:rsidRDefault="000F7627">
      <w:pPr>
        <w:spacing w:after="0"/>
        <w:jc w:val="both"/>
        <w:rPr>
          <w:rFonts w:ascii="Arial" w:hAnsi="Arial" w:cs="Arial"/>
          <w:color w:val="000000"/>
          <w:sz w:val="24"/>
          <w:szCs w:val="18"/>
          <w:lang w:val="es-ES" w:eastAsia="es-ES"/>
        </w:rPr>
      </w:pP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 xml:space="preserve">En Cuba, las precipitaciones durante el período seco del año no son suficientes para obtener un desarrollo adecuado de la mayor parte de los cultivos, por lo que el riego es necesario (González-Cueto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 xml:space="preserve">2017). En el caso particular del frijol, diferentes autores coinciden en plantear que es un cultivo susceptible, tanto al exceso de humedad como al déficit, durante su ciclo de desarrollo (Polón </w:t>
      </w:r>
      <w:r>
        <w:rPr>
          <w:rFonts w:ascii="Arial" w:hAnsi="Arial" w:cs="Arial"/>
          <w:i/>
          <w:iCs/>
          <w:color w:val="000000"/>
          <w:sz w:val="24"/>
          <w:szCs w:val="18"/>
          <w:lang w:val="es-ES" w:eastAsia="es-ES"/>
        </w:rPr>
        <w:t xml:space="preserve">et al., </w:t>
      </w:r>
      <w:r>
        <w:rPr>
          <w:rFonts w:ascii="Arial" w:hAnsi="Arial" w:cs="Arial"/>
          <w:color w:val="000000"/>
          <w:sz w:val="24"/>
          <w:szCs w:val="18"/>
          <w:lang w:val="es-ES" w:eastAsia="es-ES"/>
        </w:rPr>
        <w:t>2017).</w:t>
      </w: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 xml:space="preserve">La gestión adecuada del riego requiere un suministro de agua suficiente en cualquier momento del período de cultivo para evitar la sequía y la reducción del rendimiento debido a la escasez de agua. Por lo tanto, el conocimiento del impacto del estrés por sequía y los métodos para identificar los cambios ocurridos en el cultivo son fundamentales para hacer frente al suministro de agua limitado. Existen estrategias de riego que permiten reducir la frecuencia y cantidad de riego en los cultivos con efectos mínimos en los rendimientos convencionales si se validan en escala local, como la aplicación del riego deficitario en función del desarrollo fenológico del cultivo (Mendoza-Pérez </w:t>
      </w:r>
      <w:r>
        <w:rPr>
          <w:rFonts w:ascii="Arial" w:hAnsi="Arial" w:cs="Arial"/>
          <w:i/>
          <w:color w:val="000000"/>
          <w:sz w:val="24"/>
          <w:szCs w:val="18"/>
          <w:lang w:val="es-ES" w:eastAsia="es-ES"/>
        </w:rPr>
        <w:t>et al</w:t>
      </w:r>
      <w:r>
        <w:rPr>
          <w:rFonts w:ascii="Arial" w:hAnsi="Arial" w:cs="Arial"/>
          <w:color w:val="000000"/>
          <w:sz w:val="24"/>
          <w:szCs w:val="18"/>
          <w:lang w:val="es-ES" w:eastAsia="es-ES"/>
        </w:rPr>
        <w:t>., 2016)</w:t>
      </w:r>
    </w:p>
    <w:p w:rsidR="000F7627" w:rsidRDefault="000F7627">
      <w:pPr>
        <w:spacing w:after="0"/>
        <w:jc w:val="both"/>
        <w:rPr>
          <w:rFonts w:ascii="Arial" w:hAnsi="Arial" w:cs="Arial"/>
          <w:color w:val="000000"/>
          <w:sz w:val="24"/>
          <w:szCs w:val="18"/>
          <w:lang w:val="es-ES" w:eastAsia="es-ES"/>
        </w:rPr>
      </w:pP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Los métodos convencionales para monitorear el estrés hídrico de los cultivos se basan en mediciones de la humedad del suelo o en la determinación del potencial matricial en la zona de raíces (</w:t>
      </w:r>
      <w:proofErr w:type="spellStart"/>
      <w:r>
        <w:rPr>
          <w:rFonts w:ascii="Arial" w:hAnsi="Arial" w:cs="Arial"/>
          <w:color w:val="000000"/>
          <w:sz w:val="24"/>
          <w:szCs w:val="18"/>
          <w:lang w:val="es-ES" w:eastAsia="es-ES"/>
        </w:rPr>
        <w:t>Kumar</w:t>
      </w:r>
      <w:proofErr w:type="spellEnd"/>
      <w:r>
        <w:rPr>
          <w:rFonts w:ascii="Arial" w:hAnsi="Arial" w:cs="Arial"/>
          <w:color w:val="000000"/>
          <w:sz w:val="24"/>
          <w:szCs w:val="18"/>
          <w:lang w:val="es-ES" w:eastAsia="es-ES"/>
        </w:rPr>
        <w:t xml:space="preserve"> </w:t>
      </w:r>
      <w:r>
        <w:rPr>
          <w:rFonts w:ascii="Arial" w:hAnsi="Arial" w:cs="Arial"/>
          <w:i/>
          <w:color w:val="000000"/>
          <w:sz w:val="24"/>
          <w:szCs w:val="18"/>
          <w:lang w:val="es-ES" w:eastAsia="es-ES"/>
        </w:rPr>
        <w:t>et al</w:t>
      </w:r>
      <w:r>
        <w:rPr>
          <w:rFonts w:ascii="Arial" w:hAnsi="Arial" w:cs="Arial"/>
          <w:color w:val="000000"/>
          <w:sz w:val="24"/>
          <w:szCs w:val="18"/>
          <w:lang w:val="es-ES" w:eastAsia="es-ES"/>
        </w:rPr>
        <w:t xml:space="preserve">., 2020). Sin embargo, a menudo es difícil tener en cuenta la heterogeneidad del suelo en el campo. Además, el estado hídrico del suelo es una forma indirecta de determinar el estado hídrico real de la planta. Por lo tanto, durante las últimas décadas, se han desarrollado varios métodos para monitorear el estrés hídrico de los cultivos directamente en la planta. El monitoreo del estrés hídrico de los cultivos mediante enfoques basados ​​en plantas incluye la determinación de la conductancia estomática, el potencial hídrico foliar, el contenido relativo de agua y mediciones del flujo de savia (Jones, 2004). </w:t>
      </w: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Sin embargo, estos métodos requieren mucho tiempo y trabajo, y algunos son destructivos (</w:t>
      </w:r>
      <w:proofErr w:type="spellStart"/>
      <w:r>
        <w:rPr>
          <w:rFonts w:ascii="Arial" w:hAnsi="Arial" w:cs="Arial"/>
          <w:color w:val="000000"/>
          <w:sz w:val="24"/>
          <w:szCs w:val="18"/>
          <w:lang w:val="es-ES" w:eastAsia="es-ES"/>
        </w:rPr>
        <w:t>Ihuoma</w:t>
      </w:r>
      <w:proofErr w:type="spellEnd"/>
      <w:r>
        <w:rPr>
          <w:rFonts w:ascii="Arial" w:hAnsi="Arial" w:cs="Arial"/>
          <w:color w:val="000000"/>
          <w:sz w:val="24"/>
          <w:szCs w:val="18"/>
          <w:lang w:val="es-ES" w:eastAsia="es-ES"/>
        </w:rPr>
        <w:t xml:space="preserve"> &amp; </w:t>
      </w:r>
      <w:proofErr w:type="spellStart"/>
      <w:r>
        <w:rPr>
          <w:rFonts w:ascii="Arial" w:hAnsi="Arial" w:cs="Arial"/>
          <w:color w:val="000000"/>
          <w:sz w:val="24"/>
          <w:szCs w:val="18"/>
          <w:lang w:val="es-ES" w:eastAsia="es-ES"/>
        </w:rPr>
        <w:t>Madramootoo</w:t>
      </w:r>
      <w:proofErr w:type="spellEnd"/>
      <w:r>
        <w:rPr>
          <w:rFonts w:ascii="Arial" w:hAnsi="Arial" w:cs="Arial"/>
          <w:color w:val="000000"/>
          <w:sz w:val="24"/>
          <w:szCs w:val="18"/>
          <w:lang w:val="es-ES" w:eastAsia="es-ES"/>
        </w:rPr>
        <w:t xml:space="preserve">, 2017). Los métodos de teledetección, por el contrario, como los índices espectrales de vegetación y la termografía </w:t>
      </w:r>
      <w:r>
        <w:rPr>
          <w:rFonts w:ascii="Arial" w:hAnsi="Arial" w:cs="Arial"/>
          <w:color w:val="000000"/>
          <w:sz w:val="24"/>
          <w:szCs w:val="18"/>
          <w:lang w:val="es-ES" w:eastAsia="es-ES"/>
        </w:rPr>
        <w:lastRenderedPageBreak/>
        <w:t>infrarroja son métodos alternativos interesantes para la práctica debido a su confiabilidad, rapidez de adquisición de datos y naturaleza no destructiva (</w:t>
      </w:r>
      <w:proofErr w:type="spellStart"/>
      <w:r>
        <w:rPr>
          <w:rFonts w:ascii="Arial" w:hAnsi="Arial" w:cs="Arial"/>
          <w:color w:val="000000"/>
          <w:sz w:val="24"/>
          <w:szCs w:val="18"/>
          <w:lang w:val="es-ES" w:eastAsia="es-ES"/>
        </w:rPr>
        <w:t>Ihuoma</w:t>
      </w:r>
      <w:proofErr w:type="spellEnd"/>
      <w:r>
        <w:rPr>
          <w:rFonts w:ascii="Arial" w:hAnsi="Arial" w:cs="Arial"/>
          <w:color w:val="000000"/>
          <w:sz w:val="24"/>
          <w:szCs w:val="18"/>
          <w:lang w:val="es-ES" w:eastAsia="es-ES"/>
        </w:rPr>
        <w:t xml:space="preserve"> &amp; </w:t>
      </w:r>
      <w:proofErr w:type="spellStart"/>
      <w:r>
        <w:rPr>
          <w:rFonts w:ascii="Arial" w:hAnsi="Arial" w:cs="Arial"/>
          <w:color w:val="000000"/>
          <w:sz w:val="24"/>
          <w:szCs w:val="18"/>
          <w:lang w:val="es-ES" w:eastAsia="es-ES"/>
        </w:rPr>
        <w:t>Madramootoo</w:t>
      </w:r>
      <w:proofErr w:type="spellEnd"/>
      <w:r>
        <w:rPr>
          <w:rFonts w:ascii="Arial" w:hAnsi="Arial" w:cs="Arial"/>
          <w:color w:val="000000"/>
          <w:sz w:val="24"/>
          <w:szCs w:val="18"/>
          <w:lang w:val="es-ES" w:eastAsia="es-ES"/>
        </w:rPr>
        <w:t xml:space="preserve">, 2017; </w:t>
      </w:r>
      <w:proofErr w:type="spellStart"/>
      <w:r>
        <w:rPr>
          <w:rFonts w:ascii="Arial" w:hAnsi="Arial" w:cs="Arial"/>
          <w:color w:val="000000"/>
          <w:sz w:val="24"/>
          <w:szCs w:val="18"/>
          <w:lang w:val="es-ES" w:eastAsia="es-ES"/>
        </w:rPr>
        <w:t>Mwinuka</w:t>
      </w:r>
      <w:proofErr w:type="spellEnd"/>
      <w:r>
        <w:rPr>
          <w:rFonts w:ascii="Arial" w:hAnsi="Arial" w:cs="Arial"/>
          <w:color w:val="000000"/>
          <w:sz w:val="24"/>
          <w:szCs w:val="18"/>
          <w:lang w:val="es-ES" w:eastAsia="es-ES"/>
        </w:rPr>
        <w:t xml:space="preserve"> </w:t>
      </w:r>
      <w:r>
        <w:rPr>
          <w:rFonts w:ascii="Arial" w:hAnsi="Arial" w:cs="Arial"/>
          <w:i/>
          <w:color w:val="000000"/>
          <w:sz w:val="24"/>
          <w:szCs w:val="18"/>
          <w:lang w:val="es-ES" w:eastAsia="es-ES"/>
        </w:rPr>
        <w:t>et al</w:t>
      </w:r>
      <w:r>
        <w:rPr>
          <w:rFonts w:ascii="Arial" w:hAnsi="Arial" w:cs="Arial"/>
          <w:color w:val="000000"/>
          <w:sz w:val="24"/>
          <w:szCs w:val="18"/>
          <w:lang w:val="es-ES" w:eastAsia="es-ES"/>
        </w:rPr>
        <w:t>., 2021).</w:t>
      </w:r>
    </w:p>
    <w:p w:rsidR="000F7627" w:rsidRDefault="000F7627">
      <w:pPr>
        <w:spacing w:after="0"/>
        <w:jc w:val="both"/>
        <w:rPr>
          <w:rFonts w:ascii="Arial" w:hAnsi="Arial" w:cs="Arial"/>
          <w:color w:val="000000"/>
          <w:sz w:val="24"/>
          <w:szCs w:val="18"/>
          <w:lang w:val="es-ES" w:eastAsia="es-ES"/>
        </w:rPr>
      </w:pP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En la búsqueda de vías para aumentar la producción de alimentos, especialmente en las condiciones ambientales imperantes que imponen sequías intensas y prolongadas, surgen diversos productos naturales entre los que se encuentran los bioestimulantes. Estos bioproductos han mostrado la capacidad de estimular e</w:t>
      </w:r>
      <w:r w:rsidR="00447390">
        <w:rPr>
          <w:rFonts w:ascii="Arial" w:hAnsi="Arial" w:cs="Arial"/>
          <w:color w:val="000000"/>
          <w:sz w:val="24"/>
          <w:szCs w:val="18"/>
          <w:lang w:val="es-ES" w:eastAsia="es-ES"/>
        </w:rPr>
        <w:t xml:space="preserve">l crecimiento </w:t>
      </w:r>
      <w:r>
        <w:rPr>
          <w:rFonts w:ascii="Arial" w:hAnsi="Arial" w:cs="Arial"/>
          <w:color w:val="000000"/>
          <w:sz w:val="24"/>
          <w:szCs w:val="18"/>
          <w:lang w:val="es-ES" w:eastAsia="es-ES"/>
        </w:rPr>
        <w:t>y el rendimiento vegetal y de permitir a las plantas tolerar situaciones de estrés (</w:t>
      </w:r>
      <w:proofErr w:type="spellStart"/>
      <w:r w:rsidR="00B25716">
        <w:fldChar w:fldCharType="begin"/>
      </w:r>
      <w:r w:rsidR="00B25716">
        <w:instrText xml:space="preserve"> HYPERLINK "https://revistas.ucr.ac.cr/index.php/agromeso/article/view/42001" \l "redalyc_43766744007_ref13" </w:instrText>
      </w:r>
      <w:r w:rsidR="00B25716">
        <w:fldChar w:fldCharType="separate"/>
      </w:r>
      <w:r>
        <w:rPr>
          <w:rFonts w:ascii="Arial" w:hAnsi="Arial" w:cs="Arial"/>
          <w:color w:val="000000"/>
          <w:sz w:val="24"/>
          <w:szCs w:val="18"/>
          <w:lang w:val="es-ES" w:eastAsia="es-ES"/>
        </w:rPr>
        <w:t>Khan</w:t>
      </w:r>
      <w:proofErr w:type="spellEnd"/>
      <w:r>
        <w:rPr>
          <w:rFonts w:ascii="Arial" w:hAnsi="Arial" w:cs="Arial"/>
          <w:color w:val="000000"/>
          <w:sz w:val="24"/>
          <w:szCs w:val="18"/>
          <w:lang w:val="es-ES" w:eastAsia="es-ES"/>
        </w:rPr>
        <w:t xml:space="preserve"> </w:t>
      </w:r>
      <w:r>
        <w:rPr>
          <w:rFonts w:ascii="Arial" w:hAnsi="Arial" w:cs="Arial"/>
          <w:i/>
          <w:color w:val="000000"/>
          <w:sz w:val="24"/>
          <w:szCs w:val="18"/>
          <w:lang w:val="es-ES" w:eastAsia="es-ES"/>
        </w:rPr>
        <w:t>et al</w:t>
      </w:r>
      <w:r>
        <w:rPr>
          <w:rFonts w:ascii="Arial" w:hAnsi="Arial" w:cs="Arial"/>
          <w:color w:val="000000"/>
          <w:sz w:val="24"/>
          <w:szCs w:val="18"/>
          <w:lang w:val="es-ES" w:eastAsia="es-ES"/>
        </w:rPr>
        <w:t>., 2019</w:t>
      </w:r>
      <w:r w:rsidR="00B25716">
        <w:rPr>
          <w:rFonts w:ascii="Arial" w:hAnsi="Arial" w:cs="Arial"/>
          <w:color w:val="000000"/>
          <w:sz w:val="24"/>
          <w:szCs w:val="18"/>
          <w:lang w:val="es-ES" w:eastAsia="es-ES"/>
        </w:rPr>
        <w:fldChar w:fldCharType="end"/>
      </w:r>
      <w:r>
        <w:rPr>
          <w:rFonts w:ascii="Arial" w:hAnsi="Arial" w:cs="Arial"/>
          <w:color w:val="000000"/>
          <w:sz w:val="24"/>
          <w:szCs w:val="18"/>
          <w:lang w:val="es-ES" w:eastAsia="es-ES"/>
        </w:rPr>
        <w:t>).</w:t>
      </w:r>
    </w:p>
    <w:p w:rsidR="000F7627" w:rsidRDefault="000F7627">
      <w:pPr>
        <w:spacing w:after="0"/>
        <w:jc w:val="both"/>
        <w:rPr>
          <w:rFonts w:ascii="Arial" w:hAnsi="Arial" w:cs="Arial"/>
          <w:color w:val="000000"/>
          <w:sz w:val="24"/>
          <w:szCs w:val="18"/>
          <w:lang w:val="es-ES" w:eastAsia="es-ES"/>
        </w:rPr>
      </w:pP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En tal sentido Azofert®-F es un inoculante a base de bacterias del género</w:t>
      </w:r>
      <w:r>
        <w:rPr>
          <w:rFonts w:ascii="Arial" w:hAnsi="Arial" w:cs="Arial"/>
          <w:i/>
          <w:iCs/>
          <w:color w:val="000000"/>
          <w:sz w:val="24"/>
          <w:szCs w:val="18"/>
          <w:lang w:val="es-ES" w:eastAsia="es-ES"/>
        </w:rPr>
        <w:t xml:space="preserve"> Rhizobium</w:t>
      </w:r>
      <w:r>
        <w:rPr>
          <w:rFonts w:ascii="Arial" w:hAnsi="Arial" w:cs="Arial"/>
          <w:color w:val="000000"/>
          <w:sz w:val="24"/>
          <w:szCs w:val="18"/>
          <w:lang w:val="es-ES" w:eastAsia="es-ES"/>
        </w:rPr>
        <w:t xml:space="preserve">, capaz de asociarse con las plantas leguminosas y formar nódulos en sus raíces, dentro de los cuales fijan el nitrógeno del aire y lo brindan directamente a la planta. Los inoculantes bacterianos tienen la capacidad de producir hormonas como ABA, AIA, fijar el nitrógeno atmosférico al suelo, solubilizar el fósforo y además de </w:t>
      </w:r>
      <w:r w:rsidR="00447390">
        <w:rPr>
          <w:rFonts w:ascii="Arial" w:hAnsi="Arial" w:cs="Arial"/>
          <w:color w:val="000000"/>
          <w:sz w:val="24"/>
          <w:szCs w:val="18"/>
          <w:lang w:val="es-ES" w:eastAsia="es-ES"/>
        </w:rPr>
        <w:t>estimular la</w:t>
      </w:r>
      <w:r>
        <w:rPr>
          <w:rFonts w:ascii="Arial" w:hAnsi="Arial" w:cs="Arial"/>
          <w:color w:val="000000"/>
          <w:sz w:val="24"/>
          <w:szCs w:val="18"/>
          <w:lang w:val="es-ES" w:eastAsia="es-ES"/>
        </w:rPr>
        <w:t xml:space="preserve"> actividad con la enzima ACC </w:t>
      </w:r>
      <w:proofErr w:type="spellStart"/>
      <w:r>
        <w:rPr>
          <w:rFonts w:ascii="Arial" w:hAnsi="Arial" w:cs="Arial"/>
          <w:color w:val="000000"/>
          <w:sz w:val="24"/>
          <w:szCs w:val="18"/>
          <w:lang w:val="es-ES" w:eastAsia="es-ES"/>
        </w:rPr>
        <w:t>desaminasa</w:t>
      </w:r>
      <w:proofErr w:type="spellEnd"/>
      <w:r>
        <w:rPr>
          <w:rFonts w:ascii="Arial" w:hAnsi="Arial" w:cs="Arial"/>
          <w:color w:val="000000"/>
          <w:sz w:val="24"/>
          <w:szCs w:val="18"/>
          <w:lang w:val="es-ES" w:eastAsia="es-ES"/>
        </w:rPr>
        <w:t xml:space="preserve"> que regula los niveles de etileno para evitar la pérdida de agua, por tanto, disminuye la densidad y cierre estomático (Estrada </w:t>
      </w:r>
      <w:r>
        <w:rPr>
          <w:rFonts w:ascii="Arial" w:hAnsi="Arial" w:cs="Arial"/>
          <w:i/>
          <w:color w:val="000000"/>
          <w:sz w:val="24"/>
          <w:szCs w:val="18"/>
          <w:lang w:val="es-ES" w:eastAsia="es-ES"/>
        </w:rPr>
        <w:t>et al</w:t>
      </w:r>
      <w:r>
        <w:rPr>
          <w:rFonts w:ascii="Arial" w:hAnsi="Arial" w:cs="Arial"/>
          <w:color w:val="000000"/>
          <w:sz w:val="24"/>
          <w:szCs w:val="18"/>
          <w:lang w:val="es-ES" w:eastAsia="es-ES"/>
        </w:rPr>
        <w:t>., 2021).</w:t>
      </w:r>
    </w:p>
    <w:p w:rsidR="000F7627" w:rsidRDefault="000F7627">
      <w:pPr>
        <w:spacing w:after="0"/>
        <w:jc w:val="both"/>
        <w:rPr>
          <w:rFonts w:ascii="Arial" w:hAnsi="Arial" w:cs="Arial"/>
          <w:color w:val="000000"/>
          <w:sz w:val="24"/>
          <w:szCs w:val="18"/>
          <w:lang w:eastAsia="es-ES"/>
        </w:rPr>
      </w:pP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eastAsia="es-ES"/>
        </w:rPr>
        <w:t>El</w:t>
      </w:r>
      <w:r>
        <w:rPr>
          <w:rFonts w:ascii="Arial" w:hAnsi="Arial" w:cs="Arial"/>
          <w:color w:val="000000"/>
          <w:sz w:val="24"/>
          <w:szCs w:val="18"/>
          <w:lang w:val="es-ES" w:eastAsia="es-ES"/>
        </w:rPr>
        <w:t xml:space="preserve"> </w:t>
      </w:r>
      <w:r>
        <w:rPr>
          <w:rFonts w:ascii="Arial" w:hAnsi="Arial" w:cs="Arial"/>
          <w:sz w:val="24"/>
          <w:szCs w:val="18"/>
          <w:lang w:val="es-ES" w:eastAsia="es-ES"/>
        </w:rPr>
        <w:t>PectiMorf®</w:t>
      </w:r>
      <w:r>
        <w:rPr>
          <w:rFonts w:ascii="Arial" w:hAnsi="Arial" w:cs="Arial"/>
          <w:color w:val="000000"/>
          <w:sz w:val="24"/>
          <w:szCs w:val="18"/>
          <w:lang w:val="es-ES" w:eastAsia="es-ES"/>
        </w:rPr>
        <w:t xml:space="preserve"> está constituido por una mezcla de oligogalacturónidos con diferentes grados de polimerización que se produce por la degradación enzimática de la pectina presente en la pared celular de los frutos cítricos. Es un estimulante del enraizamiento, crecimiento y diferenciación celular de diferentes especies vegetales; puede activar diferentes mecanismos de defensa y disminuir o atenuar el estrés ambiental en las plantas (Falcón </w:t>
      </w:r>
      <w:r>
        <w:rPr>
          <w:rFonts w:ascii="Arial" w:hAnsi="Arial" w:cs="Arial"/>
          <w:i/>
          <w:iCs/>
          <w:color w:val="000000"/>
          <w:sz w:val="24"/>
          <w:szCs w:val="18"/>
          <w:lang w:val="es-ES" w:eastAsia="es-ES"/>
        </w:rPr>
        <w:t>et al</w:t>
      </w:r>
      <w:r>
        <w:rPr>
          <w:rFonts w:ascii="Arial" w:hAnsi="Arial" w:cs="Arial"/>
          <w:color w:val="000000"/>
          <w:sz w:val="24"/>
          <w:szCs w:val="18"/>
          <w:lang w:val="es-ES" w:eastAsia="es-ES"/>
        </w:rPr>
        <w:t xml:space="preserve">, 2015). </w:t>
      </w:r>
    </w:p>
    <w:p w:rsidR="000F7627" w:rsidRDefault="000F7627">
      <w:pPr>
        <w:spacing w:after="0"/>
        <w:jc w:val="both"/>
        <w:rPr>
          <w:rFonts w:ascii="Arial" w:hAnsi="Arial" w:cs="Arial"/>
          <w:color w:val="000000"/>
          <w:sz w:val="24"/>
          <w:szCs w:val="18"/>
          <w:lang w:val="es-ES" w:eastAsia="es-ES"/>
        </w:rPr>
      </w:pPr>
    </w:p>
    <w:p w:rsidR="000F7627" w:rsidRDefault="00BF4D56">
      <w:pPr>
        <w:spacing w:after="0"/>
        <w:jc w:val="both"/>
        <w:rPr>
          <w:rFonts w:ascii="Arial" w:hAnsi="Arial" w:cs="Arial"/>
          <w:color w:val="000000"/>
          <w:sz w:val="24"/>
          <w:szCs w:val="18"/>
          <w:lang w:val="es-ES" w:eastAsia="es-ES"/>
        </w:rPr>
      </w:pPr>
      <w:r>
        <w:rPr>
          <w:rFonts w:ascii="Arial" w:hAnsi="Arial" w:cs="Arial"/>
          <w:color w:val="000000"/>
          <w:sz w:val="24"/>
          <w:szCs w:val="18"/>
          <w:lang w:val="es-ES" w:eastAsia="es-ES"/>
        </w:rPr>
        <w:t>La aplicación de PectiMorf® a plantas inoculadas con Azofert®-F incrementó las variables de nodulación, la fijación y la transformación del nitrógeno, favoreciendo la eficiencia del proceso simbiótico y el crecimiento. Estos resultados demuestran, que la aplicación de PectiMorf® en plantas biofertilizadas constituye una alternativa ecológica y económicamente viable para incrementar la fijación biológica del nitrógeno, proceso esencial en el cultivo del frijol, especialmente en condiciones de escaso nitrógeno (Lara, 2020).</w:t>
      </w:r>
    </w:p>
    <w:p w:rsidR="000F7627" w:rsidRDefault="000F7627">
      <w:pPr>
        <w:spacing w:after="0"/>
        <w:jc w:val="both"/>
        <w:rPr>
          <w:rFonts w:ascii="Arial" w:hAnsi="Arial" w:cs="Arial"/>
          <w:color w:val="000000"/>
          <w:sz w:val="24"/>
          <w:szCs w:val="18"/>
          <w:lang w:val="es-ES" w:eastAsia="es-ES"/>
        </w:rPr>
      </w:pPr>
    </w:p>
    <w:p w:rsidR="000F7627" w:rsidRDefault="000F7627">
      <w:pPr>
        <w:spacing w:after="0"/>
        <w:jc w:val="both"/>
        <w:rPr>
          <w:rFonts w:ascii="Arial" w:hAnsi="Arial" w:cs="Arial"/>
          <w:color w:val="000000"/>
          <w:sz w:val="24"/>
          <w:szCs w:val="18"/>
          <w:lang w:val="es-ES" w:eastAsia="es-ES"/>
        </w:rPr>
      </w:pPr>
    </w:p>
    <w:p w:rsidR="000F7627" w:rsidRDefault="00BF4D56">
      <w:pPr>
        <w:spacing w:after="120"/>
        <w:jc w:val="both"/>
        <w:rPr>
          <w:rFonts w:ascii="Arial" w:hAnsi="Arial" w:cs="Arial"/>
          <w:b/>
          <w:sz w:val="24"/>
        </w:rPr>
      </w:pPr>
      <w:r>
        <w:rPr>
          <w:rFonts w:ascii="Arial" w:hAnsi="Arial" w:cs="Arial"/>
          <w:b/>
          <w:sz w:val="24"/>
        </w:rPr>
        <w:t>Problema científico:</w:t>
      </w:r>
    </w:p>
    <w:p w:rsidR="000F7627" w:rsidRDefault="00BF4D56">
      <w:pPr>
        <w:spacing w:after="120"/>
        <w:jc w:val="both"/>
        <w:rPr>
          <w:rFonts w:ascii="Arial" w:hAnsi="Arial" w:cs="Arial"/>
          <w:sz w:val="24"/>
        </w:rPr>
      </w:pPr>
      <w:r>
        <w:t xml:space="preserve"> </w:t>
      </w:r>
      <w:r>
        <w:rPr>
          <w:rFonts w:ascii="Arial" w:hAnsi="Arial" w:cs="Arial"/>
          <w:sz w:val="24"/>
        </w:rPr>
        <w:t xml:space="preserve">El estrés hídrico, dependiendo de su ocurrencia e intensidad, provoca afectaciones negativas en el desarrollo y calidad del cultivo del frijol, </w:t>
      </w:r>
    </w:p>
    <w:p w:rsidR="000F7627" w:rsidRDefault="00BF4D56">
      <w:pPr>
        <w:spacing w:after="120"/>
        <w:jc w:val="both"/>
      </w:pPr>
      <w:r>
        <w:rPr>
          <w:rFonts w:ascii="Arial" w:hAnsi="Arial" w:cs="Arial"/>
          <w:b/>
          <w:sz w:val="24"/>
        </w:rPr>
        <w:t>Hipótesis:</w:t>
      </w:r>
      <w:r>
        <w:t xml:space="preserve"> </w:t>
      </w:r>
    </w:p>
    <w:p w:rsidR="000F7627" w:rsidRDefault="00BF4D56">
      <w:pPr>
        <w:spacing w:after="120"/>
        <w:jc w:val="both"/>
        <w:rPr>
          <w:rFonts w:ascii="Arial" w:hAnsi="Arial" w:cs="Arial"/>
          <w:sz w:val="24"/>
          <w:highlight w:val="yellow"/>
        </w:rPr>
      </w:pPr>
      <w:r>
        <w:rPr>
          <w:rFonts w:ascii="Arial" w:hAnsi="Arial" w:cs="Arial"/>
          <w:sz w:val="24"/>
        </w:rPr>
        <w:t xml:space="preserve">La inoculación de las semillas con </w:t>
      </w:r>
      <w:r w:rsidRPr="005A43D1">
        <w:rPr>
          <w:rFonts w:ascii="Arial" w:hAnsi="Arial" w:cs="Arial"/>
          <w:sz w:val="24"/>
        </w:rPr>
        <w:t>Azofert®-</w:t>
      </w:r>
      <w:r w:rsidR="005A43D1">
        <w:rPr>
          <w:rFonts w:ascii="Arial" w:hAnsi="Arial" w:cs="Arial"/>
          <w:sz w:val="24"/>
        </w:rPr>
        <w:t>f</w:t>
      </w:r>
      <w:r>
        <w:rPr>
          <w:rFonts w:ascii="Arial" w:hAnsi="Arial" w:cs="Arial"/>
          <w:sz w:val="24"/>
        </w:rPr>
        <w:t xml:space="preserve"> y aplicaciones foliares de PectiMorf® benefician el </w:t>
      </w:r>
      <w:r w:rsidR="00447390">
        <w:rPr>
          <w:rFonts w:ascii="Arial" w:hAnsi="Arial" w:cs="Arial"/>
          <w:sz w:val="24"/>
        </w:rPr>
        <w:t>crecimiento, el rendimiento y la calidad del cultivo</w:t>
      </w:r>
      <w:r>
        <w:rPr>
          <w:rFonts w:ascii="Arial" w:hAnsi="Arial" w:cs="Arial"/>
          <w:sz w:val="24"/>
        </w:rPr>
        <w:t xml:space="preserve"> de</w:t>
      </w:r>
      <w:r w:rsidR="00447390">
        <w:rPr>
          <w:rFonts w:ascii="Arial" w:hAnsi="Arial" w:cs="Arial"/>
          <w:sz w:val="24"/>
        </w:rPr>
        <w:t xml:space="preserve">l </w:t>
      </w:r>
      <w:r>
        <w:rPr>
          <w:rFonts w:ascii="Arial" w:hAnsi="Arial" w:cs="Arial"/>
          <w:sz w:val="24"/>
        </w:rPr>
        <w:t xml:space="preserve"> frijol común, </w:t>
      </w:r>
      <w:r w:rsidR="00447390">
        <w:rPr>
          <w:rFonts w:ascii="Arial" w:hAnsi="Arial" w:cs="Arial"/>
          <w:sz w:val="24"/>
        </w:rPr>
        <w:t>sembrado</w:t>
      </w:r>
      <w:r>
        <w:rPr>
          <w:rFonts w:ascii="Arial" w:hAnsi="Arial" w:cs="Arial"/>
          <w:sz w:val="24"/>
        </w:rPr>
        <w:t xml:space="preserve"> en condiciones de deficiencia hídrica</w:t>
      </w:r>
      <w:r w:rsidR="00447390">
        <w:rPr>
          <w:rFonts w:ascii="Arial" w:hAnsi="Arial" w:cs="Arial"/>
          <w:sz w:val="24"/>
        </w:rPr>
        <w:t xml:space="preserve"> del suelo</w:t>
      </w:r>
      <w:r>
        <w:rPr>
          <w:rFonts w:ascii="Arial" w:hAnsi="Arial" w:cs="Arial"/>
          <w:sz w:val="24"/>
        </w:rPr>
        <w:t>.</w:t>
      </w:r>
    </w:p>
    <w:p w:rsidR="000F7627" w:rsidRDefault="00BF4D56">
      <w:pPr>
        <w:spacing w:after="120"/>
        <w:jc w:val="both"/>
      </w:pPr>
      <w:r>
        <w:rPr>
          <w:rFonts w:ascii="Arial" w:hAnsi="Arial" w:cs="Arial"/>
          <w:b/>
          <w:sz w:val="24"/>
        </w:rPr>
        <w:lastRenderedPageBreak/>
        <w:t>Novedad Científica:</w:t>
      </w:r>
      <w:r>
        <w:t xml:space="preserve"> </w:t>
      </w:r>
    </w:p>
    <w:p w:rsidR="00FF55FE" w:rsidRDefault="00BF4D56">
      <w:pPr>
        <w:spacing w:after="120"/>
        <w:jc w:val="both"/>
        <w:rPr>
          <w:rFonts w:ascii="Arial" w:hAnsi="Arial" w:cs="Arial"/>
          <w:sz w:val="24"/>
        </w:rPr>
      </w:pPr>
      <w:r>
        <w:rPr>
          <w:rFonts w:ascii="Arial" w:hAnsi="Arial" w:cs="Arial"/>
          <w:sz w:val="24"/>
        </w:rPr>
        <w:t xml:space="preserve">Se determinarán </w:t>
      </w:r>
      <w:r w:rsidR="00447390">
        <w:rPr>
          <w:rFonts w:ascii="Arial" w:hAnsi="Arial" w:cs="Arial"/>
          <w:sz w:val="24"/>
        </w:rPr>
        <w:t xml:space="preserve">por primera </w:t>
      </w:r>
      <w:r w:rsidR="005A43D1">
        <w:rPr>
          <w:rFonts w:ascii="Arial" w:hAnsi="Arial" w:cs="Arial"/>
          <w:sz w:val="24"/>
        </w:rPr>
        <w:t xml:space="preserve">vez </w:t>
      </w:r>
      <w:r>
        <w:rPr>
          <w:rFonts w:ascii="Arial" w:hAnsi="Arial" w:cs="Arial"/>
          <w:sz w:val="24"/>
        </w:rPr>
        <w:t xml:space="preserve">los efectos </w:t>
      </w:r>
      <w:r w:rsidR="005A43D1">
        <w:rPr>
          <w:rFonts w:ascii="Arial" w:hAnsi="Arial" w:cs="Arial"/>
          <w:sz w:val="24"/>
        </w:rPr>
        <w:t>que dos estimulantes cubanos (</w:t>
      </w:r>
      <w:r w:rsidR="005A43D1" w:rsidRPr="005A43D1">
        <w:rPr>
          <w:rFonts w:ascii="Arial" w:hAnsi="Arial" w:cs="Arial"/>
          <w:sz w:val="24"/>
        </w:rPr>
        <w:t>Azofert®-f</w:t>
      </w:r>
      <w:r w:rsidR="005A43D1">
        <w:rPr>
          <w:rFonts w:ascii="Arial" w:hAnsi="Arial" w:cs="Arial"/>
          <w:sz w:val="24"/>
        </w:rPr>
        <w:t xml:space="preserve"> y </w:t>
      </w:r>
      <w:r w:rsidR="005A43D1" w:rsidRPr="005A43D1">
        <w:rPr>
          <w:rFonts w:ascii="Arial" w:hAnsi="Arial" w:cs="Arial"/>
          <w:sz w:val="24"/>
        </w:rPr>
        <w:t>PectiMorf®</w:t>
      </w:r>
      <w:r w:rsidR="005A43D1">
        <w:rPr>
          <w:rFonts w:ascii="Arial" w:hAnsi="Arial" w:cs="Arial"/>
          <w:sz w:val="24"/>
        </w:rPr>
        <w:t xml:space="preserve">) ejercen en </w:t>
      </w:r>
      <w:r w:rsidR="00765F16">
        <w:rPr>
          <w:rFonts w:ascii="Arial" w:hAnsi="Arial" w:cs="Arial"/>
          <w:sz w:val="24"/>
        </w:rPr>
        <w:t xml:space="preserve">el crecimiento, </w:t>
      </w:r>
      <w:r w:rsidR="005A43D1">
        <w:rPr>
          <w:rFonts w:ascii="Arial" w:hAnsi="Arial" w:cs="Arial"/>
          <w:sz w:val="24"/>
        </w:rPr>
        <w:t xml:space="preserve">las relaciones hídricas, el estado nutricional y el balance hormonal de plantas de frijol cultivadas </w:t>
      </w:r>
      <w:r w:rsidR="005A43D1" w:rsidRPr="005A43D1">
        <w:rPr>
          <w:rFonts w:ascii="Arial" w:hAnsi="Arial" w:cs="Arial"/>
          <w:sz w:val="24"/>
        </w:rPr>
        <w:t>ante condiciones de estrés abióticos, especialmente cultivadas con deficiencia hídrica del suelo. Además, se introduce la técnica de termografía infrarroja en el estudio de las relaciones hídricas del cultivo del frijol</w:t>
      </w:r>
      <w:r w:rsidR="005A43D1">
        <w:rPr>
          <w:rFonts w:ascii="Arial" w:hAnsi="Arial" w:cs="Arial"/>
          <w:sz w:val="24"/>
        </w:rPr>
        <w:t xml:space="preserve"> en condiciones de déficit hídrico del suelo. </w:t>
      </w:r>
    </w:p>
    <w:p w:rsidR="000F7627" w:rsidRDefault="00BF4D56">
      <w:pPr>
        <w:spacing w:after="120"/>
        <w:jc w:val="both"/>
        <w:rPr>
          <w:rFonts w:ascii="Arial" w:hAnsi="Arial" w:cs="Arial"/>
          <w:b/>
          <w:sz w:val="24"/>
        </w:rPr>
      </w:pPr>
      <w:r>
        <w:rPr>
          <w:rFonts w:ascii="Arial" w:hAnsi="Arial" w:cs="Arial"/>
          <w:b/>
          <w:sz w:val="24"/>
        </w:rPr>
        <w:t>Novedad práctica:</w:t>
      </w:r>
    </w:p>
    <w:p w:rsidR="000F7627" w:rsidRDefault="00BF4D56">
      <w:pPr>
        <w:spacing w:after="120"/>
        <w:jc w:val="both"/>
        <w:rPr>
          <w:rFonts w:ascii="Arial" w:hAnsi="Arial" w:cs="Arial"/>
          <w:sz w:val="24"/>
          <w:szCs w:val="24"/>
        </w:rPr>
      </w:pPr>
      <w:r>
        <w:rPr>
          <w:rFonts w:ascii="Arial" w:hAnsi="Arial" w:cs="Arial"/>
          <w:sz w:val="24"/>
          <w:szCs w:val="24"/>
        </w:rPr>
        <w:t xml:space="preserve">Se proponen alternativas en la aplicación de </w:t>
      </w:r>
      <w:r w:rsidRPr="00A32B5C">
        <w:rPr>
          <w:rFonts w:ascii="Arial" w:hAnsi="Arial" w:cs="Arial"/>
          <w:sz w:val="24"/>
          <w:szCs w:val="24"/>
        </w:rPr>
        <w:t>Azofert®-f</w:t>
      </w:r>
      <w:r>
        <w:rPr>
          <w:rFonts w:ascii="Arial" w:hAnsi="Arial" w:cs="Arial"/>
          <w:sz w:val="24"/>
          <w:szCs w:val="24"/>
        </w:rPr>
        <w:t xml:space="preserve"> y PectiMorf® para atenuar los efectos adversos que la deficiencia hídrica del suelo provoca en el frijol.  Por otra parte, con el empleo de la termografía infrarroja, se introducirán otros indicadores de los requerimientos hídricos del cultivo de gran confiabilidad, de fácil obtención y de bajo costo, que facilitará la comprensión de los efectos del déficit hídrico del suelo en el frijol y aportará información necesaria para el cálculo de las necesidades de riego del cultivo.</w:t>
      </w:r>
    </w:p>
    <w:p w:rsidR="000F7627" w:rsidRDefault="00BF4D56">
      <w:pPr>
        <w:spacing w:after="120"/>
        <w:jc w:val="both"/>
        <w:rPr>
          <w:rFonts w:ascii="Arial" w:hAnsi="Arial" w:cs="Arial"/>
          <w:sz w:val="24"/>
          <w:szCs w:val="24"/>
        </w:rPr>
      </w:pPr>
      <w:r>
        <w:rPr>
          <w:rFonts w:ascii="Arial" w:hAnsi="Arial" w:cs="Arial"/>
          <w:b/>
          <w:sz w:val="24"/>
          <w:szCs w:val="24"/>
        </w:rPr>
        <w:t>Objetivo general</w:t>
      </w:r>
      <w:r>
        <w:rPr>
          <w:rFonts w:ascii="Arial" w:hAnsi="Arial" w:cs="Arial"/>
          <w:sz w:val="24"/>
          <w:szCs w:val="24"/>
        </w:rPr>
        <w:t xml:space="preserve">: </w:t>
      </w:r>
    </w:p>
    <w:p w:rsidR="000F7627" w:rsidRDefault="00BF4D56">
      <w:pPr>
        <w:spacing w:after="120"/>
        <w:jc w:val="both"/>
        <w:rPr>
          <w:rFonts w:ascii="Arial" w:hAnsi="Arial" w:cs="Arial"/>
          <w:sz w:val="24"/>
          <w:szCs w:val="24"/>
        </w:rPr>
      </w:pPr>
      <w:r>
        <w:rPr>
          <w:rFonts w:ascii="Arial" w:hAnsi="Arial" w:cs="Arial"/>
          <w:sz w:val="24"/>
          <w:szCs w:val="24"/>
        </w:rPr>
        <w:t xml:space="preserve">Evaluar el efecto de aplicaciones de </w:t>
      </w:r>
      <w:r w:rsidRPr="00B43BA0">
        <w:rPr>
          <w:rFonts w:ascii="Arial" w:hAnsi="Arial" w:cs="Arial"/>
          <w:sz w:val="24"/>
          <w:szCs w:val="24"/>
        </w:rPr>
        <w:t xml:space="preserve">Azofert®-f </w:t>
      </w:r>
      <w:r>
        <w:rPr>
          <w:rFonts w:ascii="Arial" w:hAnsi="Arial" w:cs="Arial"/>
          <w:sz w:val="24"/>
          <w:szCs w:val="24"/>
        </w:rPr>
        <w:t xml:space="preserve">y PectiMorf® </w:t>
      </w:r>
      <w:r w:rsidR="00765F16">
        <w:rPr>
          <w:rFonts w:ascii="Arial" w:hAnsi="Arial" w:cs="Arial"/>
          <w:sz w:val="24"/>
          <w:szCs w:val="24"/>
        </w:rPr>
        <w:t xml:space="preserve">en el crecimiento, </w:t>
      </w:r>
      <w:r w:rsidR="00765F16" w:rsidRPr="00765F16">
        <w:rPr>
          <w:rFonts w:ascii="Arial" w:hAnsi="Arial" w:cs="Arial"/>
          <w:sz w:val="24"/>
          <w:szCs w:val="24"/>
        </w:rPr>
        <w:t xml:space="preserve"> las relaciones hídricas, el estado nutricional y el balance hormonal de plantas de frijol cultivadas </w:t>
      </w:r>
      <w:r>
        <w:rPr>
          <w:rFonts w:ascii="Arial" w:hAnsi="Arial" w:cs="Arial"/>
          <w:sz w:val="24"/>
          <w:szCs w:val="24"/>
        </w:rPr>
        <w:t xml:space="preserve">en condiciones deficitarias de humedad del suelo. </w:t>
      </w:r>
    </w:p>
    <w:p w:rsidR="000F7627" w:rsidRDefault="00BF4D56">
      <w:pPr>
        <w:jc w:val="both"/>
        <w:rPr>
          <w:rFonts w:ascii="Arial" w:hAnsi="Arial" w:cs="Arial"/>
          <w:b/>
          <w:sz w:val="24"/>
          <w:szCs w:val="24"/>
        </w:rPr>
      </w:pPr>
      <w:r>
        <w:rPr>
          <w:rFonts w:ascii="Arial" w:hAnsi="Arial" w:cs="Arial"/>
          <w:b/>
          <w:sz w:val="24"/>
          <w:szCs w:val="24"/>
        </w:rPr>
        <w:t>Objetivos específicos:</w:t>
      </w:r>
    </w:p>
    <w:p w:rsidR="000F7627" w:rsidRDefault="00BF4D56">
      <w:pPr>
        <w:numPr>
          <w:ilvl w:val="0"/>
          <w:numId w:val="1"/>
        </w:numPr>
        <w:jc w:val="both"/>
        <w:rPr>
          <w:rFonts w:ascii="Arial" w:hAnsi="Arial" w:cs="Arial"/>
          <w:b/>
          <w:sz w:val="24"/>
          <w:szCs w:val="24"/>
        </w:rPr>
      </w:pPr>
      <w:r>
        <w:rPr>
          <w:rFonts w:ascii="Arial" w:hAnsi="Arial" w:cs="Arial"/>
          <w:sz w:val="24"/>
          <w:szCs w:val="24"/>
        </w:rPr>
        <w:t xml:space="preserve">Determinar el efecto de </w:t>
      </w:r>
      <w:r w:rsidR="00765F16">
        <w:rPr>
          <w:rFonts w:ascii="Arial" w:hAnsi="Arial" w:cs="Arial"/>
          <w:sz w:val="24"/>
          <w:szCs w:val="24"/>
        </w:rPr>
        <w:t>la inoculación de las semillas con</w:t>
      </w:r>
      <w:r>
        <w:rPr>
          <w:rFonts w:ascii="Arial" w:hAnsi="Arial" w:cs="Arial"/>
          <w:sz w:val="24"/>
          <w:szCs w:val="24"/>
        </w:rPr>
        <w:t xml:space="preserve"> </w:t>
      </w:r>
      <w:r w:rsidRPr="00B43BA0">
        <w:rPr>
          <w:rFonts w:ascii="Arial" w:hAnsi="Arial" w:cs="Arial"/>
          <w:sz w:val="24"/>
          <w:szCs w:val="24"/>
        </w:rPr>
        <w:t>Azofert®-f</w:t>
      </w:r>
      <w:r>
        <w:rPr>
          <w:rFonts w:ascii="Arial" w:hAnsi="Arial" w:cs="Arial"/>
          <w:sz w:val="24"/>
          <w:szCs w:val="24"/>
        </w:rPr>
        <w:t xml:space="preserve">  y la aplicación foliar de PectiMorf® en el crecimiento, las relaciones hídricas, el estado nutricional y el balance hormonal de plantas de frijol cultivadas en condiciones deficitarias de humedad del suelo.</w:t>
      </w:r>
      <w:r>
        <w:rPr>
          <w:rFonts w:ascii="Arial" w:hAnsi="Arial" w:cs="Arial"/>
          <w:b/>
          <w:sz w:val="24"/>
          <w:szCs w:val="24"/>
        </w:rPr>
        <w:t xml:space="preserve"> </w:t>
      </w:r>
    </w:p>
    <w:p w:rsidR="000F7627" w:rsidRDefault="00BF4D56" w:rsidP="00B43BA0">
      <w:pPr>
        <w:numPr>
          <w:ilvl w:val="0"/>
          <w:numId w:val="1"/>
        </w:numPr>
        <w:jc w:val="both"/>
        <w:rPr>
          <w:rFonts w:ascii="Arial" w:hAnsi="Arial" w:cs="Arial"/>
          <w:b/>
          <w:sz w:val="24"/>
          <w:szCs w:val="24"/>
        </w:rPr>
      </w:pPr>
      <w:r>
        <w:rPr>
          <w:rFonts w:ascii="Arial" w:hAnsi="Arial" w:cs="Arial"/>
          <w:sz w:val="24"/>
          <w:szCs w:val="24"/>
        </w:rPr>
        <w:t xml:space="preserve">Definir el efecto </w:t>
      </w:r>
      <w:r w:rsidR="00765F16" w:rsidRPr="00765F16">
        <w:rPr>
          <w:rFonts w:ascii="Arial" w:hAnsi="Arial" w:cs="Arial"/>
          <w:sz w:val="24"/>
          <w:szCs w:val="24"/>
        </w:rPr>
        <w:t>de la inoculación de las semillas con Azofert®-f  y la aplicación foliar de PectiMorf®</w:t>
      </w:r>
      <w:r w:rsidR="00765F16">
        <w:rPr>
          <w:rFonts w:ascii="Arial" w:hAnsi="Arial" w:cs="Arial"/>
          <w:sz w:val="24"/>
          <w:szCs w:val="24"/>
        </w:rPr>
        <w:t xml:space="preserve"> </w:t>
      </w:r>
      <w:r>
        <w:rPr>
          <w:rFonts w:ascii="Arial" w:hAnsi="Arial" w:cs="Arial"/>
          <w:sz w:val="24"/>
          <w:szCs w:val="24"/>
        </w:rPr>
        <w:t xml:space="preserve">en  el rendimiento y calidad de los granos de plantas de frijol </w:t>
      </w:r>
      <w:r w:rsidR="00B43BA0" w:rsidRPr="00B43BA0">
        <w:rPr>
          <w:rFonts w:ascii="Arial" w:hAnsi="Arial" w:cs="Arial"/>
          <w:sz w:val="24"/>
          <w:szCs w:val="24"/>
        </w:rPr>
        <w:t xml:space="preserve">cultivadas </w:t>
      </w:r>
      <w:r>
        <w:rPr>
          <w:rFonts w:ascii="Arial" w:hAnsi="Arial" w:cs="Arial"/>
          <w:sz w:val="24"/>
          <w:szCs w:val="24"/>
        </w:rPr>
        <w:t>en condiciones deficitarias de humedad del suelo.</w:t>
      </w:r>
      <w:r>
        <w:rPr>
          <w:rFonts w:ascii="Arial" w:hAnsi="Arial" w:cs="Arial"/>
          <w:b/>
          <w:sz w:val="24"/>
          <w:szCs w:val="24"/>
        </w:rPr>
        <w:t xml:space="preserve"> </w:t>
      </w:r>
    </w:p>
    <w:p w:rsidR="000F7627" w:rsidRDefault="00BF4D56">
      <w:pPr>
        <w:ind w:left="709" w:hanging="709"/>
        <w:jc w:val="both"/>
        <w:rPr>
          <w:rFonts w:ascii="Arial" w:hAnsi="Arial" w:cs="Arial"/>
          <w:b/>
          <w:sz w:val="24"/>
        </w:rPr>
      </w:pPr>
      <w:r>
        <w:rPr>
          <w:rFonts w:ascii="Arial" w:hAnsi="Arial" w:cs="Arial"/>
          <w:b/>
          <w:sz w:val="24"/>
        </w:rPr>
        <w:t xml:space="preserve">    </w:t>
      </w:r>
    </w:p>
    <w:p w:rsidR="000F7627" w:rsidRDefault="00BF4D56">
      <w:pPr>
        <w:jc w:val="both"/>
        <w:rPr>
          <w:rFonts w:ascii="Arial" w:hAnsi="Arial" w:cs="Arial"/>
          <w:b/>
          <w:sz w:val="24"/>
        </w:rPr>
      </w:pPr>
      <w:r>
        <w:rPr>
          <w:rFonts w:ascii="Arial" w:hAnsi="Arial" w:cs="Arial"/>
          <w:b/>
          <w:sz w:val="24"/>
        </w:rPr>
        <w:t>DISEÑO EXPERIMENTAL</w:t>
      </w:r>
    </w:p>
    <w:p w:rsidR="000F7627" w:rsidRDefault="00BF4D56">
      <w:pPr>
        <w:jc w:val="both"/>
        <w:rPr>
          <w:rFonts w:ascii="Arial" w:hAnsi="Arial" w:cs="Arial"/>
          <w:b/>
          <w:i/>
          <w:sz w:val="24"/>
          <w:szCs w:val="24"/>
        </w:rPr>
      </w:pPr>
      <w:r>
        <w:rPr>
          <w:rFonts w:ascii="Arial" w:hAnsi="Arial" w:cs="Arial"/>
          <w:b/>
          <w:sz w:val="24"/>
          <w:szCs w:val="24"/>
        </w:rPr>
        <w:t>Objetivo 1. Determinar el efecto de aplicaciones de Azofert®-f a las semillas y la aplicación foliar de PectiMorf® en el crecimiento, el desarrollo, las relaciones hídricas, el estado nutricional y el balance hormonal de plantas de frijol cultivadas en condiciones deficitarias de humedad del suelo.</w:t>
      </w:r>
    </w:p>
    <w:p w:rsidR="000F7627" w:rsidRDefault="00BF4D56">
      <w:pPr>
        <w:tabs>
          <w:tab w:val="left" w:pos="0"/>
          <w:tab w:val="left" w:pos="540"/>
        </w:tabs>
        <w:jc w:val="both"/>
        <w:rPr>
          <w:rFonts w:ascii="Arial" w:hAnsi="Arial" w:cs="Arial"/>
          <w:b/>
          <w:bCs/>
          <w:sz w:val="24"/>
          <w:szCs w:val="24"/>
        </w:rPr>
      </w:pPr>
      <w:r>
        <w:rPr>
          <w:rFonts w:ascii="Arial" w:hAnsi="Arial" w:cs="Arial"/>
          <w:bCs/>
          <w:sz w:val="24"/>
          <w:szCs w:val="24"/>
        </w:rPr>
        <w:t>El cultivar de frijol común</w:t>
      </w:r>
      <w:r>
        <w:rPr>
          <w:rFonts w:ascii="Arial" w:hAnsi="Arial" w:cs="Arial"/>
          <w:b/>
          <w:bCs/>
          <w:sz w:val="24"/>
          <w:szCs w:val="24"/>
        </w:rPr>
        <w:t xml:space="preserve"> </w:t>
      </w:r>
      <w:r>
        <w:rPr>
          <w:rFonts w:ascii="Arial" w:hAnsi="Arial" w:cs="Arial"/>
          <w:color w:val="000000"/>
          <w:sz w:val="24"/>
          <w:szCs w:val="24"/>
          <w:lang w:val="es-ES" w:eastAsia="es-ES"/>
        </w:rPr>
        <w:t>(</w:t>
      </w:r>
      <w:r>
        <w:rPr>
          <w:rFonts w:ascii="Arial" w:hAnsi="Arial" w:cs="Arial"/>
          <w:i/>
          <w:iCs/>
          <w:color w:val="000000"/>
          <w:sz w:val="24"/>
          <w:szCs w:val="24"/>
          <w:lang w:val="es-ES" w:eastAsia="es-ES"/>
        </w:rPr>
        <w:t xml:space="preserve">Phaseolus vulgaris </w:t>
      </w:r>
      <w:r>
        <w:rPr>
          <w:rFonts w:ascii="Arial" w:hAnsi="Arial" w:cs="Arial"/>
          <w:color w:val="000000"/>
          <w:sz w:val="24"/>
          <w:szCs w:val="24"/>
          <w:lang w:val="es-ES" w:eastAsia="es-ES"/>
        </w:rPr>
        <w:t>L.)</w:t>
      </w:r>
      <w:r>
        <w:rPr>
          <w:rFonts w:ascii="Arial" w:hAnsi="Arial" w:cs="Arial"/>
          <w:b/>
          <w:bCs/>
          <w:sz w:val="24"/>
          <w:szCs w:val="24"/>
        </w:rPr>
        <w:t xml:space="preserve"> </w:t>
      </w:r>
      <w:r>
        <w:rPr>
          <w:rFonts w:ascii="Arial" w:hAnsi="Arial" w:cs="Arial"/>
          <w:bCs/>
          <w:sz w:val="24"/>
          <w:szCs w:val="24"/>
        </w:rPr>
        <w:t>a utilizar para todos los experimentos</w:t>
      </w:r>
      <w:r>
        <w:rPr>
          <w:rFonts w:ascii="Arial" w:hAnsi="Arial" w:cs="Arial"/>
          <w:b/>
          <w:bCs/>
          <w:sz w:val="24"/>
          <w:szCs w:val="24"/>
        </w:rPr>
        <w:t xml:space="preserve"> </w:t>
      </w:r>
      <w:r>
        <w:rPr>
          <w:rFonts w:ascii="Arial" w:hAnsi="Arial" w:cs="Arial"/>
          <w:bCs/>
          <w:sz w:val="24"/>
          <w:szCs w:val="24"/>
        </w:rPr>
        <w:t>es</w:t>
      </w:r>
      <w:r>
        <w:rPr>
          <w:rFonts w:ascii="Arial" w:hAnsi="Arial" w:cs="Arial"/>
          <w:b/>
          <w:bCs/>
          <w:sz w:val="24"/>
          <w:szCs w:val="24"/>
        </w:rPr>
        <w:t xml:space="preserve"> </w:t>
      </w:r>
      <w:r>
        <w:rPr>
          <w:rFonts w:ascii="Arial" w:hAnsi="Arial" w:cs="Arial"/>
          <w:bCs/>
          <w:sz w:val="24"/>
          <w:szCs w:val="24"/>
        </w:rPr>
        <w:t xml:space="preserve">Triunfo 70. Morales </w:t>
      </w:r>
      <w:r>
        <w:rPr>
          <w:rFonts w:ascii="Arial" w:hAnsi="Arial" w:cs="Arial"/>
          <w:bCs/>
          <w:i/>
          <w:sz w:val="24"/>
          <w:szCs w:val="24"/>
        </w:rPr>
        <w:t>et al.,</w:t>
      </w:r>
      <w:r>
        <w:rPr>
          <w:rFonts w:ascii="Arial" w:hAnsi="Arial" w:cs="Arial"/>
          <w:bCs/>
          <w:sz w:val="24"/>
          <w:szCs w:val="24"/>
        </w:rPr>
        <w:t xml:space="preserve"> 2024 informó que este cultivar presentó menor susceptibilidad al déficit hídrico del suelo en la etapa de llenado del grano. </w:t>
      </w:r>
    </w:p>
    <w:p w:rsidR="000F7627" w:rsidRDefault="00BF4D56">
      <w:pPr>
        <w:spacing w:after="0"/>
        <w:jc w:val="both"/>
        <w:rPr>
          <w:rFonts w:ascii="Arial" w:hAnsi="Arial" w:cs="Arial"/>
          <w:b/>
          <w:bCs/>
          <w:sz w:val="24"/>
          <w:szCs w:val="24"/>
        </w:rPr>
      </w:pPr>
      <w:r>
        <w:rPr>
          <w:rFonts w:ascii="Arial" w:hAnsi="Arial" w:cs="Arial"/>
          <w:b/>
          <w:bCs/>
          <w:sz w:val="24"/>
          <w:szCs w:val="24"/>
        </w:rPr>
        <w:lastRenderedPageBreak/>
        <w:t>Experimento 1</w:t>
      </w:r>
    </w:p>
    <w:p w:rsidR="000F7627" w:rsidRDefault="00BF4D56">
      <w:pPr>
        <w:spacing w:after="0"/>
        <w:jc w:val="both"/>
        <w:rPr>
          <w:rFonts w:ascii="Arial" w:hAnsi="Arial" w:cs="Arial"/>
          <w:b/>
          <w:sz w:val="24"/>
          <w:szCs w:val="24"/>
        </w:rPr>
      </w:pPr>
      <w:r>
        <w:rPr>
          <w:rFonts w:ascii="Arial" w:hAnsi="Arial" w:cs="Arial"/>
          <w:b/>
          <w:bCs/>
          <w:sz w:val="24"/>
          <w:szCs w:val="24"/>
        </w:rPr>
        <w:t>Tarea 1.1.</w:t>
      </w:r>
      <w:r>
        <w:rPr>
          <w:rFonts w:ascii="Arial" w:hAnsi="Arial" w:cs="Arial"/>
          <w:sz w:val="24"/>
          <w:szCs w:val="24"/>
        </w:rPr>
        <w:t xml:space="preserve"> </w:t>
      </w:r>
      <w:r w:rsidR="00B43BA0">
        <w:rPr>
          <w:rFonts w:ascii="Arial" w:hAnsi="Arial" w:cs="Arial"/>
          <w:sz w:val="24"/>
          <w:szCs w:val="24"/>
        </w:rPr>
        <w:t>E</w:t>
      </w:r>
      <w:r>
        <w:rPr>
          <w:rFonts w:ascii="Arial" w:hAnsi="Arial" w:cs="Arial"/>
          <w:b/>
          <w:sz w:val="24"/>
          <w:szCs w:val="24"/>
        </w:rPr>
        <w:t>fecto de</w:t>
      </w:r>
      <w:r w:rsidR="00B43BA0">
        <w:rPr>
          <w:rFonts w:ascii="Arial" w:hAnsi="Arial" w:cs="Arial"/>
          <w:b/>
          <w:sz w:val="24"/>
          <w:szCs w:val="24"/>
        </w:rPr>
        <w:t xml:space="preserve"> </w:t>
      </w:r>
      <w:r w:rsidR="00FF55FE">
        <w:rPr>
          <w:rFonts w:ascii="Arial" w:hAnsi="Arial" w:cs="Arial"/>
          <w:b/>
          <w:sz w:val="24"/>
          <w:szCs w:val="24"/>
        </w:rPr>
        <w:t xml:space="preserve">la </w:t>
      </w:r>
      <w:r w:rsidR="00B43BA0">
        <w:rPr>
          <w:rFonts w:ascii="Arial" w:hAnsi="Arial" w:cs="Arial"/>
          <w:b/>
          <w:sz w:val="24"/>
          <w:szCs w:val="24"/>
        </w:rPr>
        <w:t xml:space="preserve">inoculación de las semillas con </w:t>
      </w:r>
      <w:r>
        <w:rPr>
          <w:rFonts w:ascii="Arial" w:hAnsi="Arial" w:cs="Arial"/>
          <w:b/>
          <w:sz w:val="24"/>
          <w:szCs w:val="24"/>
        </w:rPr>
        <w:t>Azofert®-f y la aplicación foliar de PectiMorf® en el crecimiento, el desarrollo y las relaciones hídricas</w:t>
      </w:r>
      <w:r>
        <w:rPr>
          <w:b/>
        </w:rPr>
        <w:t xml:space="preserve"> </w:t>
      </w:r>
      <w:r>
        <w:rPr>
          <w:rFonts w:ascii="Arial" w:hAnsi="Arial" w:cs="Arial"/>
          <w:b/>
          <w:sz w:val="24"/>
          <w:szCs w:val="24"/>
        </w:rPr>
        <w:t>de plantas de frijol cultivadas en condiciones deficitarias de humedad del suelo.</w:t>
      </w:r>
    </w:p>
    <w:p w:rsidR="000F7627" w:rsidRDefault="00BF4D56">
      <w:pPr>
        <w:spacing w:after="0"/>
        <w:jc w:val="both"/>
        <w:rPr>
          <w:rFonts w:ascii="Arial" w:hAnsi="Arial" w:cs="Arial"/>
          <w:sz w:val="24"/>
          <w:szCs w:val="24"/>
        </w:rPr>
      </w:pPr>
      <w:r>
        <w:rPr>
          <w:rFonts w:ascii="Arial" w:hAnsi="Arial" w:cs="Arial"/>
          <w:sz w:val="24"/>
          <w:szCs w:val="24"/>
        </w:rPr>
        <w:t xml:space="preserve">Se realizarán dos experimentos  en diferentes períodos cada uno, (enero a marzo) y (octubre a diciembre) ambos se  realizarán en el área central del Instituto </w:t>
      </w:r>
      <w:r>
        <w:rPr>
          <w:rFonts w:ascii="Arial" w:hAnsi="Arial" w:cs="Arial"/>
          <w:color w:val="000000"/>
          <w:sz w:val="24"/>
          <w:szCs w:val="24"/>
        </w:rPr>
        <w:t>Nacional de Ciencias Agrícolas (INCA)</w:t>
      </w:r>
      <w:r>
        <w:rPr>
          <w:rFonts w:ascii="Arial" w:hAnsi="Arial" w:cs="Arial"/>
          <w:sz w:val="24"/>
          <w:szCs w:val="24"/>
        </w:rPr>
        <w:t>, en condiciones semicontroladas, contenedores de hormigón</w:t>
      </w:r>
      <w:r>
        <w:t xml:space="preserve"> </w:t>
      </w:r>
      <w:r>
        <w:rPr>
          <w:rFonts w:ascii="Arial" w:hAnsi="Arial" w:cs="Arial"/>
          <w:sz w:val="24"/>
          <w:szCs w:val="24"/>
        </w:rPr>
        <w:t>de 2,60 m de largo por 0,60 m de ancho (1,56 m2) que contienen suelo Ferralítico Rojo Lixiviado de la provincia de Mayabeque. En cada contenedor se sembrarán 44 plantas de frijol dispuestas en dos hileras separadas a 0,40 m y un espaciamiento entre plantas de 0,11 m. Se utilizarán cuatro tratamientos de riego:</w:t>
      </w:r>
    </w:p>
    <w:p w:rsidR="000F7627" w:rsidRDefault="00BF4D56">
      <w:pPr>
        <w:spacing w:after="0"/>
        <w:jc w:val="both"/>
        <w:rPr>
          <w:rFonts w:ascii="Arial" w:hAnsi="Arial" w:cs="Arial"/>
          <w:sz w:val="24"/>
          <w:szCs w:val="24"/>
        </w:rPr>
      </w:pPr>
      <w:r>
        <w:rPr>
          <w:rFonts w:ascii="Arial" w:hAnsi="Arial" w:cs="Arial"/>
          <w:b/>
          <w:sz w:val="24"/>
          <w:szCs w:val="24"/>
        </w:rPr>
        <w:t>T1-</w:t>
      </w:r>
      <w:r>
        <w:rPr>
          <w:rFonts w:ascii="Arial" w:hAnsi="Arial" w:cs="Arial"/>
          <w:sz w:val="24"/>
          <w:szCs w:val="24"/>
        </w:rPr>
        <w:t xml:space="preserve"> Reposición del 100% de la ETc durante todo el ciclo del cultivo.+ Inoculación de la semilla con Azofert®- f (Control) </w:t>
      </w:r>
    </w:p>
    <w:p w:rsidR="000F7627" w:rsidRDefault="00BF4D56">
      <w:pPr>
        <w:spacing w:after="0"/>
        <w:jc w:val="both"/>
        <w:rPr>
          <w:rFonts w:ascii="Arial" w:hAnsi="Arial" w:cs="Arial"/>
          <w:sz w:val="24"/>
          <w:szCs w:val="24"/>
        </w:rPr>
      </w:pPr>
      <w:r>
        <w:rPr>
          <w:rFonts w:ascii="Arial" w:hAnsi="Arial" w:cs="Arial"/>
          <w:b/>
          <w:sz w:val="24"/>
          <w:szCs w:val="24"/>
        </w:rPr>
        <w:t xml:space="preserve">T2 - </w:t>
      </w:r>
      <w:r>
        <w:rPr>
          <w:rFonts w:ascii="Arial" w:hAnsi="Arial" w:cs="Arial"/>
          <w:sz w:val="24"/>
          <w:szCs w:val="24"/>
        </w:rPr>
        <w:t xml:space="preserve">Reposición del 100% de la ETc + Inoculación de la semilla con Azofert®- f + PectiMorf® </w:t>
      </w:r>
    </w:p>
    <w:p w:rsidR="000F7627" w:rsidRDefault="00BF4D56">
      <w:pPr>
        <w:spacing w:after="0"/>
        <w:jc w:val="both"/>
        <w:rPr>
          <w:rFonts w:ascii="Arial" w:hAnsi="Arial" w:cs="Arial"/>
          <w:sz w:val="24"/>
          <w:szCs w:val="24"/>
        </w:rPr>
      </w:pPr>
      <w:r>
        <w:rPr>
          <w:rFonts w:ascii="Arial" w:hAnsi="Arial" w:cs="Arial"/>
          <w:b/>
          <w:sz w:val="24"/>
          <w:szCs w:val="24"/>
        </w:rPr>
        <w:t xml:space="preserve">T3 – </w:t>
      </w:r>
      <w:r>
        <w:rPr>
          <w:rFonts w:ascii="Arial" w:hAnsi="Arial" w:cs="Arial"/>
          <w:sz w:val="24"/>
          <w:szCs w:val="24"/>
        </w:rPr>
        <w:t>Suspensión del riego por 15 días en la etapa de llenado del grano (entre 40-55 DDS) + Inoculación de la semilla con Azofert®- f</w:t>
      </w:r>
    </w:p>
    <w:p w:rsidR="000F7627" w:rsidRDefault="00BF4D56">
      <w:pPr>
        <w:spacing w:after="0"/>
        <w:jc w:val="both"/>
        <w:rPr>
          <w:rFonts w:ascii="Arial" w:hAnsi="Arial" w:cs="Arial"/>
          <w:sz w:val="24"/>
          <w:szCs w:val="24"/>
        </w:rPr>
      </w:pPr>
      <w:r>
        <w:rPr>
          <w:rFonts w:ascii="Arial" w:hAnsi="Arial" w:cs="Arial"/>
          <w:b/>
          <w:sz w:val="24"/>
          <w:szCs w:val="24"/>
        </w:rPr>
        <w:t>T4-</w:t>
      </w:r>
      <w:r>
        <w:rPr>
          <w:rFonts w:ascii="Arial" w:hAnsi="Arial" w:cs="Arial"/>
          <w:sz w:val="24"/>
          <w:szCs w:val="24"/>
        </w:rPr>
        <w:t xml:space="preserve"> Suspensión del riego por 15 días en la etapa de llenado del grano (entre 40-55DDS)</w:t>
      </w:r>
      <w:r>
        <w:t xml:space="preserve"> </w:t>
      </w:r>
      <w:r>
        <w:rPr>
          <w:rFonts w:ascii="Arial" w:hAnsi="Arial" w:cs="Arial"/>
          <w:sz w:val="24"/>
          <w:szCs w:val="24"/>
        </w:rPr>
        <w:t>+ Inoculación de la semilla con Azofert®- f + PectiMorf®</w:t>
      </w:r>
    </w:p>
    <w:p w:rsidR="000F7627" w:rsidRDefault="00BF4D56">
      <w:pPr>
        <w:spacing w:after="0"/>
        <w:jc w:val="both"/>
        <w:rPr>
          <w:rFonts w:ascii="Arial" w:hAnsi="Arial" w:cs="Arial"/>
          <w:sz w:val="24"/>
          <w:szCs w:val="24"/>
        </w:rPr>
      </w:pPr>
      <w:r>
        <w:rPr>
          <w:rFonts w:ascii="Arial" w:hAnsi="Arial" w:cs="Arial"/>
          <w:sz w:val="24"/>
          <w:szCs w:val="24"/>
        </w:rPr>
        <w:t>Las plantas correspondientes a T3 y T4, recibirán la reposición del 100 % de la ETc, antes y después del período de 15 días de suspensión del riego. La ETc es la Evapotranspiración estándar del cultivo.</w:t>
      </w:r>
    </w:p>
    <w:p w:rsidR="000F7627" w:rsidRDefault="00BF4D56">
      <w:pPr>
        <w:spacing w:after="0"/>
        <w:jc w:val="both"/>
        <w:rPr>
          <w:rFonts w:ascii="Arial" w:hAnsi="Arial" w:cs="Arial"/>
          <w:sz w:val="24"/>
          <w:szCs w:val="24"/>
        </w:rPr>
      </w:pPr>
      <w:r>
        <w:rPr>
          <w:rFonts w:ascii="Arial" w:hAnsi="Arial" w:cs="Arial"/>
          <w:sz w:val="24"/>
          <w:szCs w:val="24"/>
        </w:rPr>
        <w:t>Las semillas serán inoculadas con Azofert®-f (200 mL por 50 kg de semilla y aspersión foliar de PectiMorf® a los 30 DDS, utilizando para ello la dosis 200 mg ha</w:t>
      </w:r>
      <w:r>
        <w:rPr>
          <w:rFonts w:ascii="Arial" w:hAnsi="Arial" w:cs="Arial"/>
          <w:sz w:val="24"/>
          <w:szCs w:val="24"/>
          <w:vertAlign w:val="superscript"/>
        </w:rPr>
        <w:t>-1</w:t>
      </w:r>
      <w:r>
        <w:rPr>
          <w:rFonts w:ascii="Arial" w:hAnsi="Arial" w:cs="Arial"/>
          <w:sz w:val="24"/>
          <w:szCs w:val="24"/>
        </w:rPr>
        <w:t>, según investigaciones que se han realizado en el Departamento de Fisiología y Bioquímica Vegetal, INCA.</w:t>
      </w:r>
    </w:p>
    <w:p w:rsidR="000F7627" w:rsidRDefault="00BF4D56">
      <w:pPr>
        <w:spacing w:after="0"/>
        <w:jc w:val="both"/>
        <w:rPr>
          <w:rFonts w:ascii="Arial" w:hAnsi="Arial" w:cs="Arial"/>
          <w:sz w:val="24"/>
          <w:szCs w:val="24"/>
        </w:rPr>
      </w:pPr>
      <w:r>
        <w:rPr>
          <w:rFonts w:ascii="Arial" w:hAnsi="Arial" w:cs="Arial"/>
          <w:sz w:val="24"/>
          <w:szCs w:val="24"/>
        </w:rPr>
        <w:t>El riego se aplicará mediante un sistema de micro aspersión automatizada y la entrega del agua se controlará mediante válvulas colocadas en cada tratamiento.</w:t>
      </w:r>
    </w:p>
    <w:p w:rsidR="000F7627" w:rsidRDefault="00BF4D56">
      <w:pPr>
        <w:spacing w:after="0"/>
        <w:jc w:val="both"/>
        <w:rPr>
          <w:rFonts w:ascii="Arial" w:hAnsi="Arial" w:cs="Arial"/>
          <w:sz w:val="24"/>
          <w:szCs w:val="24"/>
        </w:rPr>
      </w:pPr>
      <w:r>
        <w:rPr>
          <w:rFonts w:ascii="Arial" w:hAnsi="Arial" w:cs="Arial"/>
          <w:sz w:val="24"/>
          <w:szCs w:val="24"/>
        </w:rPr>
        <w:t xml:space="preserve">El cálculo de la ETo (evapotranspiración del cultivo de referencia) y ETc se realizará mediante el empleo del Programa CropWat 8.0 y utilizando una serie de datos de 31 años de la estación meteorológica de Tapaste, ubicada aproximadamente a 400 metros del sitio experimental. </w:t>
      </w:r>
    </w:p>
    <w:p w:rsidR="000F7627" w:rsidRDefault="00BF4D56">
      <w:pPr>
        <w:spacing w:after="120"/>
        <w:jc w:val="both"/>
        <w:rPr>
          <w:rFonts w:ascii="Arial" w:hAnsi="Arial" w:cs="Arial"/>
          <w:sz w:val="24"/>
          <w:szCs w:val="24"/>
        </w:rPr>
      </w:pPr>
      <w:r>
        <w:rPr>
          <w:rFonts w:ascii="Arial" w:hAnsi="Arial" w:cs="Arial"/>
          <w:sz w:val="24"/>
          <w:szCs w:val="24"/>
        </w:rPr>
        <w:t xml:space="preserve">La evapotranspiración del cultivo bajo condiciones estándar se calculará mediante la siguiente ecuación: </w:t>
      </w:r>
    </w:p>
    <w:p w:rsidR="000F7627" w:rsidRDefault="00BF4D56">
      <w:pPr>
        <w:spacing w:after="120"/>
        <w:jc w:val="both"/>
        <w:rPr>
          <w:rFonts w:ascii="Arial" w:hAnsi="Arial" w:cs="Arial"/>
          <w:b/>
          <w:sz w:val="24"/>
          <w:szCs w:val="24"/>
        </w:rPr>
      </w:pPr>
      <w:r>
        <w:rPr>
          <w:rFonts w:ascii="Arial" w:hAnsi="Arial" w:cs="Arial"/>
          <w:b/>
          <w:sz w:val="24"/>
          <w:szCs w:val="24"/>
        </w:rPr>
        <w:t>ETc = ETo * Kc</w:t>
      </w:r>
    </w:p>
    <w:p w:rsidR="000F7627" w:rsidRDefault="00BF4D56">
      <w:pPr>
        <w:spacing w:after="120"/>
        <w:jc w:val="both"/>
        <w:rPr>
          <w:rFonts w:ascii="Arial" w:hAnsi="Arial" w:cs="Arial"/>
          <w:sz w:val="24"/>
          <w:szCs w:val="24"/>
        </w:rPr>
      </w:pPr>
      <w:proofErr w:type="spellStart"/>
      <w:r>
        <w:rPr>
          <w:rFonts w:ascii="Arial" w:hAnsi="Arial" w:cs="Arial"/>
          <w:sz w:val="24"/>
          <w:szCs w:val="24"/>
        </w:rPr>
        <w:t>Donde</w:t>
      </w:r>
      <w:proofErr w:type="spellEnd"/>
      <w:r>
        <w:rPr>
          <w:rFonts w:ascii="Arial" w:hAnsi="Arial" w:cs="Arial"/>
          <w:sz w:val="24"/>
          <w:szCs w:val="24"/>
        </w:rPr>
        <w:t>:</w:t>
      </w:r>
    </w:p>
    <w:p w:rsidR="000F7627" w:rsidRDefault="00BF4D56">
      <w:pPr>
        <w:numPr>
          <w:ilvl w:val="0"/>
          <w:numId w:val="2"/>
        </w:numPr>
        <w:spacing w:after="0"/>
        <w:jc w:val="both"/>
        <w:rPr>
          <w:rFonts w:ascii="Arial" w:hAnsi="Arial" w:cs="Arial"/>
          <w:sz w:val="24"/>
          <w:szCs w:val="24"/>
        </w:rPr>
      </w:pPr>
      <w:r>
        <w:rPr>
          <w:rFonts w:ascii="Arial" w:hAnsi="Arial" w:cs="Arial"/>
          <w:sz w:val="24"/>
          <w:szCs w:val="24"/>
        </w:rPr>
        <w:t>ETc. Evapotranspiración del cultivo [mm d</w:t>
      </w:r>
      <w:r>
        <w:rPr>
          <w:rFonts w:ascii="Arial" w:hAnsi="Arial" w:cs="Arial"/>
          <w:sz w:val="24"/>
          <w:szCs w:val="24"/>
          <w:vertAlign w:val="superscript"/>
        </w:rPr>
        <w:t>-1</w:t>
      </w:r>
      <w:r>
        <w:rPr>
          <w:rFonts w:ascii="Arial" w:hAnsi="Arial" w:cs="Arial"/>
          <w:sz w:val="24"/>
          <w:szCs w:val="24"/>
        </w:rPr>
        <w:t>],</w:t>
      </w:r>
    </w:p>
    <w:p w:rsidR="000F7627" w:rsidRDefault="00BF4D56">
      <w:pPr>
        <w:numPr>
          <w:ilvl w:val="0"/>
          <w:numId w:val="2"/>
        </w:numPr>
        <w:spacing w:after="0"/>
        <w:jc w:val="both"/>
        <w:rPr>
          <w:rFonts w:ascii="Arial" w:hAnsi="Arial" w:cs="Arial"/>
          <w:sz w:val="24"/>
          <w:szCs w:val="24"/>
        </w:rPr>
      </w:pPr>
      <w:r>
        <w:rPr>
          <w:rFonts w:ascii="Arial" w:hAnsi="Arial" w:cs="Arial"/>
          <w:sz w:val="24"/>
          <w:szCs w:val="24"/>
        </w:rPr>
        <w:t>Kc. Coeficiente del cultivo [adimensional],</w:t>
      </w:r>
    </w:p>
    <w:p w:rsidR="000F7627" w:rsidRDefault="00BF4D56">
      <w:pPr>
        <w:numPr>
          <w:ilvl w:val="0"/>
          <w:numId w:val="2"/>
        </w:numPr>
        <w:spacing w:after="0"/>
        <w:jc w:val="both"/>
        <w:rPr>
          <w:rFonts w:ascii="Arial" w:hAnsi="Arial" w:cs="Arial"/>
          <w:sz w:val="24"/>
          <w:szCs w:val="24"/>
        </w:rPr>
      </w:pPr>
      <w:r>
        <w:rPr>
          <w:rFonts w:ascii="Arial" w:hAnsi="Arial" w:cs="Arial"/>
          <w:sz w:val="24"/>
          <w:szCs w:val="24"/>
        </w:rPr>
        <w:t>ETo. Evapotranspiración del cultivo de referencia [mm d</w:t>
      </w:r>
      <w:r>
        <w:rPr>
          <w:rFonts w:ascii="Arial" w:hAnsi="Arial" w:cs="Arial"/>
          <w:sz w:val="24"/>
          <w:szCs w:val="24"/>
          <w:vertAlign w:val="superscript"/>
        </w:rPr>
        <w:t>-1</w:t>
      </w:r>
      <w:r>
        <w:rPr>
          <w:rFonts w:ascii="Arial" w:hAnsi="Arial" w:cs="Arial"/>
          <w:sz w:val="24"/>
          <w:szCs w:val="24"/>
        </w:rPr>
        <w:t>].</w:t>
      </w:r>
    </w:p>
    <w:p w:rsidR="000F7627" w:rsidRDefault="000F7627">
      <w:pPr>
        <w:spacing w:after="0"/>
        <w:jc w:val="both"/>
        <w:rPr>
          <w:rFonts w:ascii="Arial" w:hAnsi="Arial" w:cs="Arial"/>
          <w:sz w:val="24"/>
          <w:szCs w:val="24"/>
        </w:rPr>
      </w:pPr>
    </w:p>
    <w:p w:rsidR="000F7627" w:rsidRDefault="00BF4D56">
      <w:pPr>
        <w:spacing w:after="0"/>
        <w:jc w:val="both"/>
        <w:rPr>
          <w:rFonts w:ascii="Arial" w:hAnsi="Arial" w:cs="Arial"/>
          <w:sz w:val="24"/>
          <w:szCs w:val="24"/>
        </w:rPr>
      </w:pPr>
      <w:r>
        <w:rPr>
          <w:rFonts w:ascii="Arial" w:hAnsi="Arial" w:cs="Arial"/>
          <w:sz w:val="24"/>
          <w:szCs w:val="24"/>
        </w:rPr>
        <w:t>Los coeficientes de cultivo Kc a emplear serán los siguientes:</w:t>
      </w:r>
    </w:p>
    <w:p w:rsidR="000F7627" w:rsidRDefault="00BF4D56">
      <w:pPr>
        <w:spacing w:after="120"/>
        <w:jc w:val="both"/>
        <w:rPr>
          <w:rFonts w:ascii="Arial" w:hAnsi="Arial" w:cs="Arial"/>
          <w:sz w:val="24"/>
          <w:szCs w:val="24"/>
        </w:rPr>
      </w:pPr>
      <w:r>
        <w:rPr>
          <w:rFonts w:ascii="Arial" w:hAnsi="Arial" w:cs="Arial"/>
          <w:sz w:val="24"/>
          <w:szCs w:val="24"/>
        </w:rPr>
        <w:lastRenderedPageBreak/>
        <w:t>Kc inicio= 0,15; Kc medio= 1,10; Kc final= 0,35, propuestos para la región por FAO 2006.</w:t>
      </w:r>
    </w:p>
    <w:p w:rsidR="000F7627" w:rsidRDefault="00BF4D56">
      <w:pPr>
        <w:spacing w:after="120"/>
        <w:jc w:val="both"/>
        <w:rPr>
          <w:rFonts w:ascii="Arial" w:hAnsi="Arial" w:cs="Arial"/>
          <w:sz w:val="24"/>
          <w:szCs w:val="24"/>
        </w:rPr>
      </w:pPr>
      <w:r>
        <w:rPr>
          <w:rFonts w:ascii="Arial" w:hAnsi="Arial" w:cs="Arial"/>
          <w:sz w:val="24"/>
          <w:szCs w:val="24"/>
        </w:rPr>
        <w:t xml:space="preserve">Humedad volumétrica del sustrato: Se realizarán semanalmente mediciones del contenido volumétrico de agua en el suelo en 10 repeticiones por tratamiento a 20 cm de profundidad, mediante un equipo HD2 Precise Moisture Measurement equipado con una sonda Moisture Sensor TRIME®- PICO TDR Technology, Germany calibrada con la calibración interna Nº 2 de la propia sonda. </w:t>
      </w:r>
    </w:p>
    <w:p w:rsidR="000F7627" w:rsidRDefault="00BF4D56">
      <w:pPr>
        <w:spacing w:after="120"/>
        <w:jc w:val="both"/>
        <w:rPr>
          <w:rFonts w:ascii="Arial" w:hAnsi="Arial" w:cs="Arial"/>
          <w:sz w:val="24"/>
          <w:szCs w:val="24"/>
        </w:rPr>
      </w:pPr>
      <w:r>
        <w:rPr>
          <w:rFonts w:ascii="Arial" w:hAnsi="Arial" w:cs="Arial"/>
          <w:sz w:val="24"/>
          <w:szCs w:val="24"/>
        </w:rPr>
        <w:t>Contenido Relativo de Agua (CRA): El contenido relativo de agua se determinará según la metodología de Turner (1981) en 5 plantas por tratamiento a las 9 am.</w:t>
      </w:r>
    </w:p>
    <w:p w:rsidR="000F7627" w:rsidRDefault="00BF4D56">
      <w:pPr>
        <w:spacing w:after="120"/>
        <w:jc w:val="both"/>
        <w:rPr>
          <w:rFonts w:ascii="Arial" w:hAnsi="Arial" w:cs="Arial"/>
          <w:sz w:val="24"/>
          <w:szCs w:val="24"/>
        </w:rPr>
      </w:pPr>
      <w:r>
        <w:rPr>
          <w:rFonts w:ascii="Arial" w:hAnsi="Arial" w:cs="Arial"/>
          <w:sz w:val="24"/>
          <w:szCs w:val="24"/>
        </w:rPr>
        <w:t xml:space="preserve">Para el cálculo del valor se utilizará la siguiente ecuación: </w:t>
      </w:r>
    </w:p>
    <w:p w:rsidR="000F7627" w:rsidRDefault="00BF4D56">
      <w:pPr>
        <w:spacing w:after="120"/>
        <w:jc w:val="both"/>
        <w:rPr>
          <w:rFonts w:ascii="Arial" w:hAnsi="Arial" w:cs="Arial"/>
          <w:sz w:val="24"/>
          <w:szCs w:val="24"/>
          <w:lang w:val="en-US"/>
        </w:rPr>
      </w:pPr>
      <w:r>
        <w:rPr>
          <w:rFonts w:ascii="Arial" w:hAnsi="Arial" w:cs="Arial"/>
          <w:sz w:val="24"/>
          <w:szCs w:val="24"/>
          <w:lang w:val="en-US"/>
        </w:rPr>
        <w:t xml:space="preserve">CRA = [(Mf - </w:t>
      </w:r>
      <w:proofErr w:type="spellStart"/>
      <w:r>
        <w:rPr>
          <w:rFonts w:ascii="Arial" w:hAnsi="Arial" w:cs="Arial"/>
          <w:sz w:val="24"/>
          <w:szCs w:val="24"/>
          <w:lang w:val="en-US"/>
        </w:rPr>
        <w:t>Ms</w:t>
      </w:r>
      <w:proofErr w:type="spellEnd"/>
      <w:r>
        <w:rPr>
          <w:rFonts w:ascii="Arial" w:hAnsi="Arial" w:cs="Arial"/>
          <w:sz w:val="24"/>
          <w:szCs w:val="24"/>
          <w:lang w:val="en-US"/>
        </w:rPr>
        <w:t xml:space="preserve">) / (Mt - </w:t>
      </w:r>
      <w:proofErr w:type="spellStart"/>
      <w:r>
        <w:rPr>
          <w:rFonts w:ascii="Arial" w:hAnsi="Arial" w:cs="Arial"/>
          <w:sz w:val="24"/>
          <w:szCs w:val="24"/>
          <w:lang w:val="en-US"/>
        </w:rPr>
        <w:t>Ms</w:t>
      </w:r>
      <w:proofErr w:type="spellEnd"/>
      <w:r>
        <w:rPr>
          <w:rFonts w:ascii="Arial" w:hAnsi="Arial" w:cs="Arial"/>
          <w:sz w:val="24"/>
          <w:szCs w:val="24"/>
          <w:lang w:val="en-US"/>
        </w:rPr>
        <w:t xml:space="preserve">)] 100 (%) </w:t>
      </w:r>
    </w:p>
    <w:p w:rsidR="000F7627" w:rsidRDefault="00BF4D56">
      <w:pPr>
        <w:spacing w:after="120"/>
        <w:jc w:val="both"/>
        <w:rPr>
          <w:rFonts w:ascii="Arial" w:hAnsi="Arial" w:cs="Arial"/>
          <w:sz w:val="24"/>
          <w:szCs w:val="24"/>
        </w:rPr>
      </w:pPr>
      <w:proofErr w:type="spellStart"/>
      <w:r>
        <w:rPr>
          <w:rFonts w:ascii="Arial" w:hAnsi="Arial" w:cs="Arial"/>
          <w:sz w:val="24"/>
          <w:szCs w:val="24"/>
        </w:rPr>
        <w:t>Donde</w:t>
      </w:r>
      <w:proofErr w:type="spellEnd"/>
      <w:r>
        <w:rPr>
          <w:rFonts w:ascii="Arial" w:hAnsi="Arial" w:cs="Arial"/>
          <w:sz w:val="24"/>
          <w:szCs w:val="24"/>
        </w:rPr>
        <w:t xml:space="preserve">: </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r>
      <w:proofErr w:type="spellStart"/>
      <w:r>
        <w:rPr>
          <w:rFonts w:ascii="Arial" w:hAnsi="Arial" w:cs="Arial"/>
          <w:sz w:val="24"/>
          <w:szCs w:val="24"/>
        </w:rPr>
        <w:t>Mf</w:t>
      </w:r>
      <w:proofErr w:type="spellEnd"/>
      <w:r>
        <w:rPr>
          <w:rFonts w:ascii="Arial" w:hAnsi="Arial" w:cs="Arial"/>
          <w:sz w:val="24"/>
          <w:szCs w:val="24"/>
        </w:rPr>
        <w:t xml:space="preserve">:   es la masa fresca en el momento del muestreo, </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Ms: es la masa seca de las hojas después de secadas en estufa a 80 0C hasta masa constante </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t>Mt: es la masa turgente de las hojas tras su saturación en agua destilada durante 24 horas a 4 0C en la oscuridad.</w:t>
      </w:r>
    </w:p>
    <w:p w:rsidR="000F7627" w:rsidRDefault="00BF4D56">
      <w:pPr>
        <w:spacing w:after="120"/>
        <w:jc w:val="both"/>
        <w:rPr>
          <w:rFonts w:ascii="Arial" w:hAnsi="Arial" w:cs="Arial"/>
          <w:b/>
          <w:sz w:val="24"/>
          <w:szCs w:val="24"/>
        </w:rPr>
      </w:pPr>
      <w:r>
        <w:rPr>
          <w:rFonts w:ascii="Arial" w:hAnsi="Arial" w:cs="Arial"/>
          <w:b/>
          <w:sz w:val="24"/>
          <w:szCs w:val="24"/>
        </w:rPr>
        <w:t xml:space="preserve">Evaluación del crecimiento </w:t>
      </w:r>
    </w:p>
    <w:p w:rsidR="000F7627" w:rsidRDefault="00BF4D56">
      <w:pPr>
        <w:spacing w:after="120"/>
        <w:jc w:val="both"/>
        <w:rPr>
          <w:rFonts w:ascii="Arial" w:hAnsi="Arial" w:cs="Arial"/>
          <w:sz w:val="24"/>
          <w:szCs w:val="24"/>
        </w:rPr>
      </w:pPr>
      <w:r>
        <w:rPr>
          <w:rFonts w:ascii="Arial" w:hAnsi="Arial" w:cs="Arial"/>
          <w:sz w:val="24"/>
          <w:szCs w:val="24"/>
        </w:rPr>
        <w:t>Estas evaluaciones se harán en cinco (5) plantas al inicio de la suspensión del riego y en otras cinco al término de la suspensión del riego.</w:t>
      </w:r>
    </w:p>
    <w:p w:rsidR="000F7627" w:rsidRDefault="00BF4D56">
      <w:pPr>
        <w:spacing w:after="120"/>
        <w:jc w:val="both"/>
        <w:rPr>
          <w:rFonts w:ascii="Arial" w:hAnsi="Arial" w:cs="Arial"/>
          <w:sz w:val="24"/>
          <w:szCs w:val="24"/>
        </w:rPr>
      </w:pPr>
      <w:r>
        <w:rPr>
          <w:rFonts w:ascii="Arial" w:hAnsi="Arial" w:cs="Arial"/>
          <w:sz w:val="24"/>
          <w:szCs w:val="24"/>
        </w:rPr>
        <w:t>A los 40 y 55 días después de la siembra (DDS) se tomarán 10 plantas por tratamiento y se determinarán las siguientes variables:</w:t>
      </w:r>
    </w:p>
    <w:p w:rsidR="000F7627" w:rsidRDefault="00BF4D56">
      <w:pPr>
        <w:numPr>
          <w:ilvl w:val="0"/>
          <w:numId w:val="3"/>
        </w:numPr>
        <w:spacing w:after="120"/>
        <w:jc w:val="both"/>
        <w:rPr>
          <w:rFonts w:ascii="Arial" w:hAnsi="Arial" w:cs="Arial"/>
          <w:sz w:val="24"/>
          <w:szCs w:val="24"/>
        </w:rPr>
      </w:pPr>
      <w:r>
        <w:rPr>
          <w:rFonts w:ascii="Arial" w:hAnsi="Arial" w:cs="Arial"/>
          <w:sz w:val="24"/>
          <w:szCs w:val="24"/>
        </w:rPr>
        <w:t>Número de nódulos en raíz.</w:t>
      </w:r>
    </w:p>
    <w:p w:rsidR="000F7627" w:rsidRDefault="00BF4D56">
      <w:pPr>
        <w:numPr>
          <w:ilvl w:val="0"/>
          <w:numId w:val="3"/>
        </w:numPr>
        <w:spacing w:after="120"/>
        <w:jc w:val="both"/>
        <w:rPr>
          <w:rFonts w:ascii="Arial" w:hAnsi="Arial" w:cs="Arial"/>
          <w:sz w:val="24"/>
          <w:szCs w:val="24"/>
        </w:rPr>
      </w:pPr>
      <w:r>
        <w:rPr>
          <w:rFonts w:ascii="Arial" w:hAnsi="Arial" w:cs="Arial"/>
          <w:sz w:val="24"/>
          <w:szCs w:val="24"/>
        </w:rPr>
        <w:t>Viabilidad de los nódulos.</w:t>
      </w:r>
    </w:p>
    <w:p w:rsidR="000F7627" w:rsidRDefault="00BF4D56">
      <w:pPr>
        <w:numPr>
          <w:ilvl w:val="0"/>
          <w:numId w:val="3"/>
        </w:numPr>
        <w:spacing w:after="120"/>
        <w:jc w:val="both"/>
        <w:rPr>
          <w:rFonts w:ascii="Arial" w:hAnsi="Arial" w:cs="Arial"/>
          <w:sz w:val="24"/>
          <w:szCs w:val="24"/>
        </w:rPr>
      </w:pPr>
      <w:r>
        <w:rPr>
          <w:rFonts w:ascii="Arial" w:hAnsi="Arial" w:cs="Arial"/>
          <w:sz w:val="24"/>
          <w:szCs w:val="24"/>
        </w:rPr>
        <w:t>Superficie foliar</w:t>
      </w:r>
    </w:p>
    <w:p w:rsidR="000F7627" w:rsidRDefault="00BF4D56">
      <w:pPr>
        <w:numPr>
          <w:ilvl w:val="0"/>
          <w:numId w:val="3"/>
        </w:numPr>
        <w:spacing w:after="120"/>
        <w:jc w:val="both"/>
        <w:rPr>
          <w:rFonts w:ascii="Arial" w:hAnsi="Arial" w:cs="Arial"/>
          <w:sz w:val="24"/>
          <w:szCs w:val="24"/>
        </w:rPr>
      </w:pPr>
      <w:r>
        <w:rPr>
          <w:rFonts w:ascii="Arial" w:hAnsi="Arial" w:cs="Arial"/>
          <w:sz w:val="24"/>
          <w:szCs w:val="24"/>
        </w:rPr>
        <w:tab/>
        <w:t xml:space="preserve">Masa seca de (raíces, tallos y hojas) y totales </w:t>
      </w:r>
    </w:p>
    <w:p w:rsidR="000F7627" w:rsidRDefault="00BF4D56">
      <w:pPr>
        <w:spacing w:after="120"/>
        <w:jc w:val="both"/>
        <w:rPr>
          <w:rFonts w:ascii="Arial" w:hAnsi="Arial" w:cs="Arial"/>
          <w:sz w:val="24"/>
          <w:szCs w:val="24"/>
        </w:rPr>
      </w:pPr>
      <w:r>
        <w:rPr>
          <w:rFonts w:ascii="Arial" w:hAnsi="Arial" w:cs="Arial"/>
          <w:sz w:val="24"/>
          <w:szCs w:val="24"/>
        </w:rPr>
        <w:t xml:space="preserve">A partir de estos datos, se calculará la Relación masa seca de la raíz/ masa seca de la parte aérea y otros </w:t>
      </w:r>
      <w:r w:rsidR="00FF55FE">
        <w:rPr>
          <w:rFonts w:ascii="Arial" w:hAnsi="Arial" w:cs="Arial"/>
          <w:sz w:val="24"/>
          <w:szCs w:val="24"/>
        </w:rPr>
        <w:t>índices</w:t>
      </w:r>
      <w:r>
        <w:rPr>
          <w:rFonts w:ascii="Arial" w:hAnsi="Arial" w:cs="Arial"/>
          <w:sz w:val="24"/>
          <w:szCs w:val="24"/>
        </w:rPr>
        <w:t xml:space="preserve"> del crecimiento de acuerdo con Villalba et al., (2017): Tasa Relativa de Crecimiento (TRC), Tasa Absoluta de Crecimiento (TAC) y Tasa de asimilación neta (TAN), etc.</w:t>
      </w:r>
    </w:p>
    <w:p w:rsidR="000F7627" w:rsidRDefault="00BF4D56">
      <w:pPr>
        <w:spacing w:after="120"/>
        <w:jc w:val="both"/>
        <w:rPr>
          <w:rFonts w:ascii="Arial" w:hAnsi="Arial" w:cs="Arial"/>
          <w:sz w:val="24"/>
          <w:szCs w:val="24"/>
        </w:rPr>
      </w:pPr>
      <w:r>
        <w:rPr>
          <w:rFonts w:ascii="Arial" w:hAnsi="Arial" w:cs="Arial"/>
          <w:sz w:val="24"/>
          <w:szCs w:val="24"/>
        </w:rPr>
        <w:t>Para la superficie foliar se utilizará un integrador de área foliar AMP-300 y las masas secas de los diferentes órganos se obtendrán por secado en estufa de tiro forzado a 80 ºC hasta peso constante.</w:t>
      </w:r>
    </w:p>
    <w:p w:rsidR="000F7627" w:rsidRDefault="00BF4D56">
      <w:pPr>
        <w:spacing w:after="120"/>
        <w:jc w:val="both"/>
        <w:rPr>
          <w:rFonts w:ascii="Arial" w:hAnsi="Arial" w:cs="Arial"/>
          <w:sz w:val="24"/>
          <w:szCs w:val="24"/>
        </w:rPr>
      </w:pPr>
      <w:r>
        <w:rPr>
          <w:rFonts w:ascii="Arial" w:hAnsi="Arial" w:cs="Arial"/>
          <w:sz w:val="24"/>
          <w:szCs w:val="24"/>
        </w:rPr>
        <w:t>Contenido de clorofilas expresado como Unidades SPAD</w:t>
      </w:r>
    </w:p>
    <w:p w:rsidR="000F7627" w:rsidRDefault="00BF4D56">
      <w:pPr>
        <w:spacing w:after="120"/>
        <w:jc w:val="both"/>
        <w:rPr>
          <w:rFonts w:ascii="Arial" w:hAnsi="Arial" w:cs="Arial"/>
          <w:sz w:val="24"/>
          <w:szCs w:val="24"/>
        </w:rPr>
      </w:pPr>
      <w:r>
        <w:rPr>
          <w:rFonts w:ascii="Arial" w:hAnsi="Arial" w:cs="Arial"/>
          <w:sz w:val="24"/>
          <w:szCs w:val="24"/>
        </w:rPr>
        <w:t xml:space="preserve">Se tomarán 10 hojas por tratamiento y se medirá a los 40 y 55 días después a la siembra (DDS) utilizando un Medidor Portátil de Clorofila MINOLTA. SPAD 502 Plus.   </w:t>
      </w:r>
    </w:p>
    <w:p w:rsidR="00FF55FE" w:rsidRDefault="00FF55FE">
      <w:pPr>
        <w:spacing w:after="120"/>
        <w:jc w:val="both"/>
        <w:rPr>
          <w:rFonts w:ascii="Arial" w:hAnsi="Arial" w:cs="Arial"/>
          <w:b/>
          <w:bCs/>
          <w:sz w:val="24"/>
          <w:szCs w:val="24"/>
        </w:rPr>
      </w:pPr>
      <w:r>
        <w:rPr>
          <w:rFonts w:ascii="Arial" w:hAnsi="Arial" w:cs="Arial"/>
          <w:b/>
          <w:bCs/>
          <w:sz w:val="24"/>
          <w:szCs w:val="24"/>
        </w:rPr>
        <w:lastRenderedPageBreak/>
        <w:t>Producción de granos por las plantas.</w:t>
      </w:r>
    </w:p>
    <w:p w:rsidR="000F7627" w:rsidRDefault="00BF4D56">
      <w:pPr>
        <w:spacing w:after="120"/>
        <w:jc w:val="both"/>
        <w:rPr>
          <w:rFonts w:ascii="Arial" w:hAnsi="Arial" w:cs="Arial"/>
          <w:sz w:val="24"/>
          <w:szCs w:val="24"/>
        </w:rPr>
      </w:pPr>
      <w:r>
        <w:rPr>
          <w:rFonts w:ascii="Arial" w:hAnsi="Arial" w:cs="Arial"/>
          <w:sz w:val="24"/>
          <w:szCs w:val="24"/>
        </w:rPr>
        <w:t xml:space="preserve">Se seleccionarán 20 plantas por tratamiento y se determinarán las siguientes variables: </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t>Número de vainas</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t>Número de granos por vaina</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Masa de 100 granos </w:t>
      </w:r>
    </w:p>
    <w:p w:rsidR="000F7627" w:rsidRDefault="00BF4D56">
      <w:pPr>
        <w:spacing w:after="120"/>
        <w:jc w:val="both"/>
        <w:rPr>
          <w:rFonts w:ascii="Arial" w:hAnsi="Arial" w:cs="Arial"/>
          <w:sz w:val="24"/>
          <w:szCs w:val="24"/>
        </w:rPr>
      </w:pPr>
      <w:r>
        <w:rPr>
          <w:rFonts w:ascii="Arial" w:hAnsi="Arial" w:cs="Arial"/>
          <w:sz w:val="24"/>
          <w:szCs w:val="24"/>
        </w:rPr>
        <w:t></w:t>
      </w:r>
      <w:r>
        <w:rPr>
          <w:rFonts w:ascii="Arial" w:hAnsi="Arial" w:cs="Arial"/>
          <w:sz w:val="24"/>
          <w:szCs w:val="24"/>
        </w:rPr>
        <w:tab/>
        <w:t>Masa de granos por planta</w:t>
      </w:r>
    </w:p>
    <w:p w:rsidR="000F7627" w:rsidRDefault="000F7627">
      <w:pPr>
        <w:spacing w:after="120"/>
        <w:jc w:val="both"/>
        <w:rPr>
          <w:rFonts w:ascii="Arial" w:hAnsi="Arial" w:cs="Arial"/>
          <w:sz w:val="24"/>
          <w:szCs w:val="24"/>
          <w:lang w:val="es-ES"/>
        </w:rPr>
      </w:pPr>
    </w:p>
    <w:p w:rsidR="000F7627" w:rsidRDefault="00BF4D56">
      <w:pPr>
        <w:spacing w:after="120"/>
        <w:jc w:val="both"/>
        <w:rPr>
          <w:rFonts w:ascii="Arial" w:hAnsi="Arial" w:cs="Arial"/>
          <w:b/>
          <w:sz w:val="24"/>
          <w:szCs w:val="24"/>
        </w:rPr>
      </w:pPr>
      <w:r>
        <w:rPr>
          <w:rFonts w:ascii="Arial" w:hAnsi="Arial" w:cs="Arial"/>
          <w:b/>
          <w:sz w:val="24"/>
          <w:szCs w:val="24"/>
        </w:rPr>
        <w:t>Evaluación de la termografía infrarroja.</w:t>
      </w:r>
    </w:p>
    <w:p w:rsidR="000F7627" w:rsidRDefault="00BF4D56">
      <w:pPr>
        <w:spacing w:after="120"/>
        <w:jc w:val="both"/>
        <w:rPr>
          <w:rFonts w:ascii="Arial" w:hAnsi="Arial" w:cs="Arial"/>
          <w:lang w:val="es-ES"/>
        </w:rPr>
      </w:pPr>
      <w:r>
        <w:rPr>
          <w:rFonts w:ascii="Arial" w:hAnsi="Arial" w:cs="Arial"/>
          <w:color w:val="000000"/>
          <w:sz w:val="24"/>
          <w:szCs w:val="24"/>
          <w:lang w:val="es-ES"/>
        </w:rPr>
        <w:t>Se evaluará semanalmente en 5 repeticiones por</w:t>
      </w:r>
      <w:r>
        <w:rPr>
          <w:rFonts w:ascii="Arial" w:hAnsi="Arial" w:cs="Arial"/>
          <w:sz w:val="24"/>
          <w:szCs w:val="24"/>
          <w:lang w:val="es-ES"/>
        </w:rPr>
        <w:t xml:space="preserve"> tratamiento. </w:t>
      </w:r>
    </w:p>
    <w:p w:rsidR="000F7627" w:rsidRDefault="00BF4D56">
      <w:pPr>
        <w:spacing w:after="120"/>
        <w:jc w:val="both"/>
        <w:rPr>
          <w:rFonts w:ascii="Arial" w:hAnsi="Arial" w:cs="Arial"/>
          <w:sz w:val="24"/>
          <w:szCs w:val="24"/>
          <w:lang w:val="es-ES"/>
        </w:rPr>
      </w:pPr>
      <w:r>
        <w:rPr>
          <w:rFonts w:ascii="Arial" w:hAnsi="Arial" w:cs="Arial"/>
          <w:sz w:val="24"/>
          <w:szCs w:val="24"/>
          <w:lang w:val="es-ES"/>
        </w:rPr>
        <w:t xml:space="preserve">La cámara que se utilizará es del modelo FLIR E40 </w:t>
      </w:r>
      <w:proofErr w:type="spellStart"/>
      <w:r>
        <w:rPr>
          <w:rFonts w:ascii="Arial" w:hAnsi="Arial" w:cs="Arial"/>
          <w:sz w:val="24"/>
          <w:szCs w:val="24"/>
          <w:lang w:val="es-ES"/>
        </w:rPr>
        <w:t>System</w:t>
      </w:r>
      <w:proofErr w:type="spellEnd"/>
      <w:r>
        <w:rPr>
          <w:rFonts w:ascii="Arial" w:hAnsi="Arial" w:cs="Arial"/>
          <w:sz w:val="24"/>
          <w:szCs w:val="24"/>
          <w:lang w:val="es-ES"/>
        </w:rPr>
        <w:t xml:space="preserve">, Inc., UK, la cual combina infrarrojo de alta resolución, con imágenes del espectro visible. Las imágenes se tomarán a 0,5 m de distancia y se procesarán mediante el software </w:t>
      </w:r>
      <w:proofErr w:type="spellStart"/>
      <w:r>
        <w:rPr>
          <w:rFonts w:ascii="Arial" w:hAnsi="Arial" w:cs="Arial"/>
          <w:sz w:val="24"/>
          <w:szCs w:val="24"/>
          <w:lang w:val="es-ES"/>
        </w:rPr>
        <w:t>Therma</w:t>
      </w:r>
      <w:proofErr w:type="spellEnd"/>
      <w:r>
        <w:rPr>
          <w:rFonts w:ascii="Arial" w:hAnsi="Arial" w:cs="Arial"/>
          <w:sz w:val="24"/>
          <w:szCs w:val="24"/>
          <w:lang w:val="es-ES"/>
        </w:rPr>
        <w:t xml:space="preserve"> </w:t>
      </w:r>
      <w:proofErr w:type="spellStart"/>
      <w:r>
        <w:rPr>
          <w:rFonts w:ascii="Arial" w:hAnsi="Arial" w:cs="Arial"/>
          <w:sz w:val="24"/>
          <w:szCs w:val="24"/>
          <w:lang w:val="es-ES"/>
        </w:rPr>
        <w:t>Cam</w:t>
      </w:r>
      <w:proofErr w:type="spellEnd"/>
      <w:r>
        <w:rPr>
          <w:rFonts w:ascii="Arial" w:hAnsi="Arial" w:cs="Arial"/>
          <w:sz w:val="24"/>
          <w:szCs w:val="24"/>
          <w:lang w:val="es-ES"/>
        </w:rPr>
        <w:t xml:space="preserve"> </w:t>
      </w:r>
      <w:proofErr w:type="spellStart"/>
      <w:r>
        <w:rPr>
          <w:rFonts w:ascii="Arial" w:hAnsi="Arial" w:cs="Arial"/>
          <w:sz w:val="24"/>
          <w:szCs w:val="24"/>
          <w:lang w:val="es-ES"/>
        </w:rPr>
        <w:t>Reacher</w:t>
      </w:r>
      <w:proofErr w:type="spellEnd"/>
      <w:r>
        <w:rPr>
          <w:rFonts w:ascii="Arial" w:hAnsi="Arial" w:cs="Arial"/>
          <w:sz w:val="24"/>
          <w:szCs w:val="24"/>
          <w:lang w:val="es-ES"/>
        </w:rPr>
        <w:t xml:space="preserve"> Professional 2.10 FLIR Quick </w:t>
      </w:r>
      <w:proofErr w:type="spellStart"/>
      <w:r>
        <w:rPr>
          <w:rFonts w:ascii="Arial" w:hAnsi="Arial" w:cs="Arial"/>
          <w:sz w:val="24"/>
          <w:szCs w:val="24"/>
          <w:lang w:val="es-ES"/>
        </w:rPr>
        <w:t>Report</w:t>
      </w:r>
      <w:proofErr w:type="spellEnd"/>
      <w:r>
        <w:rPr>
          <w:rFonts w:ascii="Arial" w:hAnsi="Arial" w:cs="Arial"/>
          <w:sz w:val="24"/>
          <w:szCs w:val="24"/>
          <w:lang w:val="es-ES"/>
        </w:rPr>
        <w:t>.</w:t>
      </w:r>
    </w:p>
    <w:p w:rsidR="000F7627" w:rsidRDefault="00BF4D56">
      <w:pPr>
        <w:spacing w:after="120"/>
        <w:jc w:val="both"/>
        <w:rPr>
          <w:rFonts w:ascii="Arial" w:hAnsi="Arial" w:cs="Arial"/>
          <w:sz w:val="24"/>
          <w:szCs w:val="24"/>
          <w:lang w:val="es-ES"/>
        </w:rPr>
      </w:pPr>
      <w:r>
        <w:rPr>
          <w:rFonts w:ascii="Arial" w:hAnsi="Arial" w:cs="Arial"/>
          <w:sz w:val="24"/>
          <w:szCs w:val="24"/>
          <w:lang w:val="es-ES"/>
        </w:rPr>
        <w:t>La fotografía debe hacerse siempre de espalda al sol, en el mismo punto de referencia, y con el mismo ángulo de horizontalidad (perpendicular a la planta) y altura desde el suelo, a fin de garantizar homogeneidad en la posición de las fotos y comparar la evolución de este indicador.</w:t>
      </w:r>
    </w:p>
    <w:p w:rsidR="000F7627" w:rsidRDefault="00BF4D56">
      <w:pPr>
        <w:spacing w:after="120"/>
        <w:jc w:val="both"/>
        <w:rPr>
          <w:rFonts w:ascii="Arial" w:hAnsi="Arial" w:cs="Arial"/>
          <w:sz w:val="24"/>
          <w:szCs w:val="24"/>
          <w:lang w:val="es-ES"/>
        </w:rPr>
      </w:pPr>
      <w:r>
        <w:rPr>
          <w:rFonts w:ascii="Arial" w:hAnsi="Arial" w:cs="Arial"/>
          <w:sz w:val="24"/>
          <w:szCs w:val="24"/>
          <w:lang w:val="es-ES"/>
        </w:rPr>
        <w:t xml:space="preserve">De los termogramas se obtendrá la temperatura de cada uno de los individuos, estableciendo primeramente una temperatura de fondo común a todos ellos (temperatura reflejada). La temperatura de fondo se establecerá calculando la temperatura de radiación de un papel de aluminio arrugado (simulando una hoja) y fijando su valor de emisividad en 1,0 (Jones et al., 2002). La emisividad de las hojas se fijará en 0,96 (Jones 2004; </w:t>
      </w:r>
      <w:proofErr w:type="spellStart"/>
      <w:r>
        <w:rPr>
          <w:rFonts w:ascii="Arial" w:hAnsi="Arial" w:cs="Arial"/>
          <w:sz w:val="24"/>
          <w:szCs w:val="24"/>
          <w:lang w:val="es-ES"/>
        </w:rPr>
        <w:t>Grant</w:t>
      </w:r>
      <w:proofErr w:type="spellEnd"/>
      <w:r>
        <w:rPr>
          <w:rFonts w:ascii="Arial" w:hAnsi="Arial" w:cs="Arial"/>
          <w:sz w:val="24"/>
          <w:szCs w:val="24"/>
          <w:lang w:val="es-ES"/>
        </w:rPr>
        <w:t xml:space="preserve"> </w:t>
      </w:r>
      <w:r>
        <w:rPr>
          <w:rFonts w:ascii="Arial" w:hAnsi="Arial" w:cs="Arial"/>
          <w:i/>
          <w:sz w:val="24"/>
          <w:szCs w:val="24"/>
          <w:lang w:val="es-ES"/>
        </w:rPr>
        <w:t>et al</w:t>
      </w:r>
      <w:r>
        <w:rPr>
          <w:rFonts w:ascii="Arial" w:hAnsi="Arial" w:cs="Arial"/>
          <w:sz w:val="24"/>
          <w:szCs w:val="24"/>
          <w:lang w:val="es-ES"/>
        </w:rPr>
        <w:t xml:space="preserve">., 2006; Leinonen </w:t>
      </w:r>
      <w:r>
        <w:rPr>
          <w:rFonts w:ascii="Arial" w:hAnsi="Arial" w:cs="Arial"/>
          <w:i/>
          <w:sz w:val="24"/>
          <w:szCs w:val="24"/>
          <w:lang w:val="es-ES"/>
        </w:rPr>
        <w:t>et al</w:t>
      </w:r>
      <w:r>
        <w:rPr>
          <w:rFonts w:ascii="Arial" w:hAnsi="Arial" w:cs="Arial"/>
          <w:sz w:val="24"/>
          <w:szCs w:val="24"/>
          <w:lang w:val="es-ES"/>
        </w:rPr>
        <w:t>., 2006).</w:t>
      </w:r>
    </w:p>
    <w:p w:rsidR="000F7627" w:rsidRDefault="00BF4D56">
      <w:pPr>
        <w:spacing w:after="120"/>
        <w:jc w:val="both"/>
        <w:rPr>
          <w:rFonts w:ascii="Arial" w:hAnsi="Arial" w:cs="Arial"/>
          <w:sz w:val="24"/>
          <w:szCs w:val="24"/>
          <w:lang w:val="es-ES"/>
        </w:rPr>
      </w:pPr>
      <w:r>
        <w:rPr>
          <w:rFonts w:ascii="Arial" w:hAnsi="Arial" w:cs="Arial"/>
          <w:sz w:val="24"/>
          <w:szCs w:val="24"/>
          <w:lang w:val="es-ES"/>
        </w:rPr>
        <w:t>Estas imágenes permitirán determinar los siguientes índices de temperatura:</w:t>
      </w:r>
    </w:p>
    <w:p w:rsidR="000F7627" w:rsidRDefault="00BF4D56">
      <w:pPr>
        <w:numPr>
          <w:ilvl w:val="0"/>
          <w:numId w:val="4"/>
        </w:numPr>
        <w:spacing w:after="120"/>
        <w:jc w:val="both"/>
        <w:rPr>
          <w:rFonts w:ascii="Arial" w:hAnsi="Arial" w:cs="Arial"/>
          <w:sz w:val="24"/>
          <w:szCs w:val="24"/>
          <w:lang w:val="en-US"/>
        </w:rPr>
      </w:pPr>
      <w:r>
        <w:rPr>
          <w:rFonts w:ascii="Arial" w:hAnsi="Arial" w:cs="Arial"/>
          <w:b/>
          <w:sz w:val="24"/>
          <w:szCs w:val="24"/>
          <w:lang w:val="en-US"/>
        </w:rPr>
        <w:t>Crop Water Stress Index (CWSI)</w:t>
      </w:r>
      <w:r>
        <w:rPr>
          <w:rFonts w:ascii="Arial" w:hAnsi="Arial" w:cs="Arial"/>
          <w:sz w:val="24"/>
          <w:szCs w:val="24"/>
          <w:lang w:val="en-US"/>
        </w:rPr>
        <w:t xml:space="preserve"> =</w:t>
      </w:r>
    </w:p>
    <w:p w:rsidR="000F7627" w:rsidRDefault="00BF4D56">
      <w:pPr>
        <w:spacing w:after="120"/>
        <w:jc w:val="both"/>
        <w:rPr>
          <w:rFonts w:ascii="Arial" w:hAnsi="Arial" w:cs="Arial"/>
          <w:sz w:val="24"/>
          <w:szCs w:val="24"/>
          <w:lang w:val="en-US"/>
        </w:rPr>
      </w:pPr>
      <w:r>
        <w:rPr>
          <w:noProof/>
          <w:lang w:val="es-ES" w:eastAsia="es-ES"/>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34290</wp:posOffset>
                </wp:positionV>
                <wp:extent cx="1221105" cy="295910"/>
                <wp:effectExtent l="0" t="0" r="0" b="0"/>
                <wp:wrapNone/>
                <wp:docPr id="1" name="Text Box 6"/>
                <wp:cNvGraphicFramePr/>
                <a:graphic xmlns:a="http://schemas.openxmlformats.org/drawingml/2006/main">
                  <a:graphicData uri="http://schemas.microsoft.com/office/word/2010/wordprocessingShape">
                    <wps:wsp>
                      <wps:cNvSpPr txBox="1"/>
                      <wps:spPr>
                        <a:xfrm>
                          <a:off x="0" y="0"/>
                          <a:ext cx="1221105" cy="821690"/>
                        </a:xfrm>
                        <a:prstGeom prst="rect">
                          <a:avLst/>
                        </a:prstGeom>
                        <a:noFill/>
                        <a:ln>
                          <a:noFill/>
                          <a:miter/>
                        </a:ln>
                        <a:effectLst/>
                      </wps:spPr>
                      <wps:txbx>
                        <w:txbxContent>
                          <w:p w:rsidR="000F7627" w:rsidRDefault="00BF4D56">
                            <w:pPr>
                              <w:pStyle w:val="NormalWeb"/>
                              <w:spacing w:before="0" w:after="0"/>
                              <w:rPr>
                                <w:sz w:val="14"/>
                              </w:rPr>
                            </w:pPr>
                            <w:r>
                              <w:rPr>
                                <w:rFonts w:ascii="Arial" w:hAnsi="Arial"/>
                                <w:color w:val="000000"/>
                                <w:sz w:val="28"/>
                                <w:szCs w:val="48"/>
                              </w:rPr>
                              <w:t xml:space="preserve">T </w:t>
                            </w:r>
                            <w:proofErr w:type="spellStart"/>
                            <w:r>
                              <w:rPr>
                                <w:rFonts w:ascii="Arial" w:hAnsi="Arial"/>
                                <w:color w:val="000000"/>
                                <w:sz w:val="28"/>
                                <w:szCs w:val="48"/>
                              </w:rPr>
                              <w:t>dry</w:t>
                            </w:r>
                            <w:proofErr w:type="spellEnd"/>
                            <w:r>
                              <w:rPr>
                                <w:rFonts w:ascii="Arial" w:hAnsi="Arial"/>
                                <w:color w:val="000000"/>
                                <w:sz w:val="28"/>
                                <w:szCs w:val="48"/>
                              </w:rPr>
                              <w:t xml:space="preserve"> – T </w:t>
                            </w:r>
                            <w:proofErr w:type="spellStart"/>
                            <w:r>
                              <w:rPr>
                                <w:rFonts w:ascii="Arial" w:hAnsi="Arial"/>
                                <w:color w:val="000000"/>
                                <w:sz w:val="28"/>
                                <w:szCs w:val="48"/>
                              </w:rPr>
                              <w:t>leaf</w:t>
                            </w:r>
                            <w:proofErr w:type="spellEnd"/>
                          </w:p>
                          <w:p w:rsidR="000F7627" w:rsidRDefault="000F7627"/>
                        </w:txbxContent>
                      </wps:txbx>
                      <wps:bodyPr wrap="square" lIns="91440" tIns="45720" rIns="91440" bIns="45720" anchor="t" anchorCtr="0">
                        <a:spAutoFit/>
                      </wps:bodyPr>
                    </wps:wsp>
                  </a:graphicData>
                </a:graphic>
              </wp:anchor>
            </w:drawing>
          </mc:Choice>
          <mc:Fallback xmlns:w15="http://schemas.microsoft.com/office/word/2012/wordml" xmlns:wpsCustomData="http://www.wps.cn/officeDocument/2013/wpsCustomData">
            <w:pict>
              <v:shape id="Text Box 6" o:spid="_x0000_s1026" o:spt="202" type="#_x0000_t202" style="position:absolute;left:0pt;margin-left:0pt;margin-top:2.7pt;height:23.3pt;width:96.15pt;z-index:251659264;mso-width-relative:page;mso-height-relative:page;" filled="f" stroked="f" coordsize="21600,21600" o:gfxdata="UEsDBAoAAAAAAIdO4kAAAAAAAAAAAAAAAAAEAAAAZHJzL1BLAwQUAAAACACHTuJAl87zjNIAAAAF&#10;AQAADwAAAGRycy9kb3ducmV2LnhtbE2PzU7DMBCE70i8g7VI3KidQBGEOBXiR+LAhRLu23hJIuJ1&#10;FG+b9O1xT3AczWjmm3Kz+EEdaIp9YAvZyoAiboLrubVQf75e3YGKguxwCEwWjhRhU52flVi4MPMH&#10;HbbSqlTCsUALnchYaB2bjjzGVRiJk/cdJo+S5NRqN+Gcyv2gc2Nutcee00KHIz111Pxs996CiHvM&#10;jvWLj29fy/vz3JlmjbW1lxeZeQAltMhfGE74CR2qxLQLe3ZRDRbSEbGwvgF1Mu/za1C7pHMDuir1&#10;f/rqF1BLAwQUAAAACACHTuJAqBgnTdcBAADOAwAADgAAAGRycy9lMm9Eb2MueG1srVPJbtswEL0X&#10;6D8QvNda4LiJYDlIaqQoULQFkn4ATVEWAXEpZ2zJf98hpTiGe8mhF4qz8M28N6P1/Wh6dlQBtLM1&#10;LxY5Z8pK12i7r/nvl6dPt5wBCtuI3llV85MCfr/5+GE9+EqVrnN9owIjEAvV4GveIfoqy0B2yghY&#10;OK8sBVsXjEAywz5rghgI3fRZmeerbHCh8cFJBUDe7RTkM2J4D6BrWy3V1smDURYn1KB6gUQJOu2B&#10;b1K3bask/mxbUMj6mhNTTCcVofsuntlmLap9EL7Tcm5BvKeFK05GaEtFz1BbgYIdgv4HymgZHLgW&#10;F9KZbCKSFCEWRX6lzXMnvEpcSGrwZ9Hh/8HKH8dfgemGNoEzKwwN/EWNyB7dyFZRncFDRUnPntJw&#10;JHfMnP1Azkh6bIOJX6LDKE7ans7aRjAZH5VlUeQ3nEmK3ZbF6i6Jn7299gHwq3KGxUvNA80uSSqO&#10;3wGpIqW+psRi1j3pvk/z6+2Vw2hUYXoyxVRahRknUppajzccd+PMZ+eaE9EcaB1qDn8OIijO+m+W&#10;9L4rlsu4P8lY3nwuyQiXkd1lRFjZOdoy5Gy6fsG0c7FN8A8HpN4TpdjAVJX4RYPGnJjOKxn36NJO&#10;WW+/4eY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87zjNIAAAAFAQAADwAAAAAAAAABACAAAAAi&#10;AAAAZHJzL2Rvd25yZXYueG1sUEsBAhQAFAAAAAgAh07iQKgYJ03XAQAAzgMAAA4AAAAAAAAAAQAg&#10;AAAAIQEAAGRycy9lMm9Eb2MueG1sUEsFBgAAAAAGAAYAWQEAAGoFAAAAAA==&#10;">
                <v:fill on="f" focussize="0,0"/>
                <v:stroke on="f" joinstyle="miter"/>
                <v:imagedata o:title=""/>
                <o:lock v:ext="edit" aspectratio="f"/>
                <v:textbox style="mso-fit-shape-to-text:t;">
                  <w:txbxContent>
                    <w:p w14:paraId="09DC5EEE">
                      <w:pPr>
                        <w:pStyle w:val="26"/>
                        <w:spacing w:before="0" w:after="0"/>
                        <w:rPr>
                          <w:sz w:val="14"/>
                        </w:rPr>
                      </w:pPr>
                      <w:r>
                        <w:rPr>
                          <w:rFonts w:ascii="Arial" w:hAnsi="Arial"/>
                          <w:color w:val="000000"/>
                          <w:sz w:val="28"/>
                          <w:szCs w:val="48"/>
                        </w:rPr>
                        <w:t>T dry – T leaf</w:t>
                      </w:r>
                    </w:p>
                    <w:p w14:paraId="4A4B8052"/>
                  </w:txbxContent>
                </v:textbox>
              </v:shape>
            </w:pict>
          </mc:Fallback>
        </mc:AlternateContent>
      </w:r>
    </w:p>
    <w:p w:rsidR="000F7627" w:rsidRDefault="00BF4D56">
      <w:pPr>
        <w:spacing w:after="120"/>
        <w:jc w:val="both"/>
        <w:rPr>
          <w:rFonts w:ascii="Arial" w:hAnsi="Arial" w:cs="Arial"/>
          <w:sz w:val="24"/>
          <w:szCs w:val="24"/>
          <w:lang w:val="en-US"/>
        </w:rPr>
      </w:pPr>
      <w:r>
        <w:rPr>
          <w:noProof/>
          <w:lang w:val="es-ES" w:eastAsia="es-ES"/>
        </w:rPr>
        <mc:AlternateContent>
          <mc:Choice Requires="wps">
            <w:drawing>
              <wp:anchor distT="0" distB="0" distL="114300" distR="114300" simplePos="0" relativeHeight="251656192" behindDoc="0" locked="0" layoutInCell="1" allowOverlap="1">
                <wp:simplePos x="0" y="0"/>
                <wp:positionH relativeFrom="column">
                  <wp:posOffset>10160</wp:posOffset>
                </wp:positionH>
                <wp:positionV relativeFrom="paragraph">
                  <wp:posOffset>90805</wp:posOffset>
                </wp:positionV>
                <wp:extent cx="1210945" cy="295910"/>
                <wp:effectExtent l="0" t="0" r="0" b="0"/>
                <wp:wrapNone/>
                <wp:docPr id="2" name="Text Box 8"/>
                <wp:cNvGraphicFramePr/>
                <a:graphic xmlns:a="http://schemas.openxmlformats.org/drawingml/2006/main">
                  <a:graphicData uri="http://schemas.microsoft.com/office/word/2010/wordprocessingShape">
                    <wps:wsp>
                      <wps:cNvSpPr txBox="1"/>
                      <wps:spPr>
                        <a:xfrm>
                          <a:off x="0" y="0"/>
                          <a:ext cx="1210945" cy="821690"/>
                        </a:xfrm>
                        <a:prstGeom prst="rect">
                          <a:avLst/>
                        </a:prstGeom>
                        <a:noFill/>
                        <a:ln>
                          <a:noFill/>
                          <a:miter/>
                        </a:ln>
                        <a:effectLst/>
                      </wps:spPr>
                      <wps:txbx>
                        <w:txbxContent>
                          <w:p w:rsidR="000F7627" w:rsidRDefault="00BF4D56">
                            <w:pPr>
                              <w:pStyle w:val="NormalWeb"/>
                              <w:spacing w:before="0" w:after="0"/>
                              <w:rPr>
                                <w:sz w:val="14"/>
                              </w:rPr>
                            </w:pPr>
                            <w:r>
                              <w:rPr>
                                <w:rFonts w:ascii="Arial" w:hAnsi="Arial"/>
                                <w:color w:val="000000"/>
                                <w:sz w:val="28"/>
                                <w:szCs w:val="48"/>
                              </w:rPr>
                              <w:t xml:space="preserve">T </w:t>
                            </w:r>
                            <w:proofErr w:type="spellStart"/>
                            <w:r>
                              <w:rPr>
                                <w:rFonts w:ascii="Arial" w:hAnsi="Arial"/>
                                <w:color w:val="000000"/>
                                <w:sz w:val="28"/>
                                <w:szCs w:val="48"/>
                              </w:rPr>
                              <w:t>dry</w:t>
                            </w:r>
                            <w:proofErr w:type="spellEnd"/>
                            <w:r>
                              <w:rPr>
                                <w:rFonts w:ascii="Arial" w:hAnsi="Arial"/>
                                <w:color w:val="000000"/>
                                <w:sz w:val="28"/>
                                <w:szCs w:val="48"/>
                              </w:rPr>
                              <w:t xml:space="preserve"> – T </w:t>
                            </w:r>
                            <w:proofErr w:type="spellStart"/>
                            <w:r>
                              <w:rPr>
                                <w:rFonts w:ascii="Arial" w:hAnsi="Arial"/>
                                <w:color w:val="000000"/>
                                <w:sz w:val="28"/>
                                <w:szCs w:val="48"/>
                              </w:rPr>
                              <w:t>wet</w:t>
                            </w:r>
                            <w:proofErr w:type="spellEnd"/>
                          </w:p>
                          <w:p w:rsidR="000F7627" w:rsidRDefault="000F7627"/>
                        </w:txbxContent>
                      </wps:txbx>
                      <wps:bodyPr wrap="square" lIns="91440" tIns="45720" rIns="91440" bIns="45720" anchor="t" anchorCtr="0">
                        <a:spAutoFit/>
                      </wps:bodyPr>
                    </wps:wsp>
                  </a:graphicData>
                </a:graphic>
              </wp:anchor>
            </w:drawing>
          </mc:Choice>
          <mc:Fallback xmlns:w15="http://schemas.microsoft.com/office/word/2012/wordml" xmlns:wpsCustomData="http://www.wps.cn/officeDocument/2013/wpsCustomData">
            <w:pict>
              <v:shape id="Text Box 8" o:spid="_x0000_s1026" o:spt="202" type="#_x0000_t202" style="position:absolute;left:0pt;margin-left:0.8pt;margin-top:7.15pt;height:23.3pt;width:95.35pt;z-index:251659264;mso-width-relative:page;mso-height-relative:page;" filled="f" stroked="f" coordsize="21600,21600" o:gfxdata="UEsDBAoAAAAAAIdO4kAAAAAAAAAAAAAAAAAEAAAAZHJzL1BLAwQUAAAACACHTuJAuBzFZNMAAAAH&#10;AQAADwAAAGRycy9kb3ducmV2LnhtbE2OzU7DMBCE70i8g7VI3KidAhFN41SIH4kDF0q4b2M3jojX&#10;Uew26duzPdHTzmhGs1+5mX0vjnaMXSAN2UKBsNQE01Grof5+v3sCEROSwT6Q1XCyETbV9VWJhQkT&#10;fdnjNrWCRygWqMGlNBRSxsZZj3ERBkuc7cPoMbEdW2lGnHjc93KpVC49dsQfHA72xdnmd3vwGlIy&#10;z9mpfvPx42f+fJ2cah6x1vr2JlNrEMnO6b8MZ3xGh4qZduFAJoqefc5FPg/3IM7xaslipyFXK5BV&#10;KS/5qz9QSwMEFAAAAAgAh07iQIu900bYAQAAzgMAAA4AAABkcnMvZTJvRG9jLnhtbK1T247TMBB9&#10;R+IfLL/TXNRd2qjpCqgWISFA2uUDXGfSWIov2NMm/XvGTrZblZd94MXxXHxmzpnJ5mHUPTuBD8qa&#10;mheLnDMw0jbKHGr++/nxw4qzgMI0orcGan6GwB+2799tBldBaTvbN+AZgZhQDa7mHaKrsizIDrQI&#10;C+vAULC1Xgsk0x+yxouB0HWflXl+nw3WN85bCSGQdzcF+Yzo3wJo21ZJ2Fl51GBwQvXQCyRKoVMu&#10;8G3qtm1B4s+2DYCsrzkxxXRSEbrv45ltN6I6eOE6JecWxFtauOGkhTJU9AK1EyjY0at/oLSS3gbb&#10;4kJanU1EkiLEoshvtHnqhIPEhaQO7iJ6+H+w8sfpl2eqqXnJmRGaBv4MI7LPdmSrqM7gQkVJT47S&#10;cCQ37cyLP5Azkh5br+OX6DCKk7bni7YRTMZHZZGvl3ecSYqtyuJ+ncTPXl87H/ArWM3ipeaeZpck&#10;FafvAakTSn1JicWMfVR9n+bXmxuHVgh+ejLFIK3CjBMpTa3HG477cea5t82ZaA60DjUPf47CA2f9&#10;N0N6r4vlMu5PMpZ3H0sy/HVkfx0RRnaWtgw5m65fMO1cbDO4T0ek3hOl2MBUlfhFg8acmM4rGffo&#10;2k5Zr7/h9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4HMVk0wAAAAcBAAAPAAAAAAAAAAEAIAAA&#10;ACIAAABkcnMvZG93bnJldi54bWxQSwECFAAUAAAACACHTuJAi73TRtgBAADOAwAADgAAAAAAAAAB&#10;ACAAAAAiAQAAZHJzL2Uyb0RvYy54bWxQSwUGAAAAAAYABgBZAQAAbAUAAAAA&#10;">
                <v:fill on="f" focussize="0,0"/>
                <v:stroke on="f" joinstyle="miter"/>
                <v:imagedata o:title=""/>
                <o:lock v:ext="edit" aspectratio="f"/>
                <v:textbox style="mso-fit-shape-to-text:t;">
                  <w:txbxContent>
                    <w:p w14:paraId="7AFBADAE">
                      <w:pPr>
                        <w:pStyle w:val="26"/>
                        <w:spacing w:before="0" w:after="0"/>
                        <w:rPr>
                          <w:sz w:val="14"/>
                        </w:rPr>
                      </w:pPr>
                      <w:r>
                        <w:rPr>
                          <w:rFonts w:ascii="Arial" w:hAnsi="Arial"/>
                          <w:color w:val="000000"/>
                          <w:sz w:val="28"/>
                          <w:szCs w:val="48"/>
                        </w:rPr>
                        <w:t>T dry – T wet</w:t>
                      </w:r>
                    </w:p>
                    <w:p w14:paraId="3C836CD1"/>
                  </w:txbxContent>
                </v:textbox>
              </v:shape>
            </w:pict>
          </mc:Fallback>
        </mc:AlternateContent>
      </w:r>
      <w:r>
        <w:rPr>
          <w:noProof/>
          <w:lang w:val="es-ES" w:eastAsia="es-ES"/>
        </w:rPr>
        <mc:AlternateContent>
          <mc:Choice Requires="wps">
            <w:drawing>
              <wp:anchor distT="0" distB="0" distL="114300" distR="114300" simplePos="0" relativeHeight="251657216" behindDoc="0" locked="0" layoutInCell="1" allowOverlap="1">
                <wp:simplePos x="0" y="0"/>
                <wp:positionH relativeFrom="column">
                  <wp:posOffset>15875</wp:posOffset>
                </wp:positionH>
                <wp:positionV relativeFrom="paragraph">
                  <wp:posOffset>52705</wp:posOffset>
                </wp:positionV>
                <wp:extent cx="1224280" cy="0"/>
                <wp:effectExtent l="0" t="4445" r="0" b="5080"/>
                <wp:wrapNone/>
                <wp:docPr id="3" name="Line 7"/>
                <wp:cNvGraphicFramePr/>
                <a:graphic xmlns:a="http://schemas.openxmlformats.org/drawingml/2006/main">
                  <a:graphicData uri="http://schemas.microsoft.com/office/word/2010/wordprocessingShape">
                    <wps:wsp>
                      <wps:cNvCnPr/>
                      <wps:spPr>
                        <a:xfrm>
                          <a:off x="0" y="0"/>
                          <a:ext cx="1224280" cy="0"/>
                        </a:xfrm>
                        <a:prstGeom prst="line">
                          <a:avLst/>
                        </a:prstGeom>
                        <a:noFill/>
                        <a:ln w="3175">
                          <a:solidFill>
                            <a:srgbClr val="000000"/>
                          </a:solidFill>
                          <a:miter/>
                        </a:ln>
                        <a:effectLst/>
                      </wps:spPr>
                      <wps:bodyPr/>
                    </wps:wsp>
                  </a:graphicData>
                </a:graphic>
              </wp:anchor>
            </w:drawing>
          </mc:Choice>
          <mc:Fallback xmlns:w15="http://schemas.microsoft.com/office/word/2012/wordml" xmlns:wpsCustomData="http://www.wps.cn/officeDocument/2013/wpsCustomData">
            <w:pict>
              <v:line id="Line 7" o:spid="_x0000_s1026" o:spt="20" style="position:absolute;left:0pt;margin-left:1.25pt;margin-top:4.15pt;height:0pt;width:96.4pt;z-index:251659264;mso-width-relative:page;mso-height-relative:page;" filled="f" stroked="t" coordsize="21600,21600" o:gfxdata="UEsDBAoAAAAAAIdO4kAAAAAAAAAAAAAAAAAEAAAAZHJzL1BLAwQUAAAACACHTuJAQOvxGdEAAAAF&#10;AQAADwAAAGRycy9kb3ducmV2LnhtbE2OwW7CMBBE75X4B2uRekHFIRVVSLNBCIl7SRFnE2/iqPE6&#10;ig2kf1/TS3ub0YxmXrGdbC9uNPrOMcJqmYAgrp3uuEU4fR5eMhA+KNaqd0wI3+RhW86eCpVrd+cj&#10;3arQijjCPlcIJoQhl9LXhqzySzcQx6xxo1Uh2rGVelT3OG57mSbJm7Sq4/hg1EB7Q/VXdbUImyk9&#10;uY+mWZzNrupotzBZVR8Rn+er5B1EoCn8leGBH9GhjEwXd2XtRY+QrmMRIXsF8Ug36yguv16WhfxP&#10;X/4AUEsDBBQAAAAIAIdO4kBPXxy9qQEAAG0DAAAOAAAAZHJzL2Uyb0RvYy54bWytU01v2zAMvQ/Y&#10;fxB0X5R4Hy2MOD006C7FFmDbD1BkOhagL5BqnPz7UYqbdd2lh/lgkyL5yPcor+9O3okjINkYOrla&#10;LKWAYGJvw6GTv34+fLiVgrIOvXYxQCfPQPJu8/7dekotNHGMrgcUDBKonVInx5xTqxSZEbymRUwQ&#10;ODhE9DqziwfVo54Y3TvVLJdf1BSxTxgNEPHp9hKUMyK+BTAOgzWwjebJQ8gXVASnM1Oi0SaSmzrt&#10;MIDJ34eBIAvXSWaa65ubsL0vb7VZ6/aAOo3WzCPot4zwipPXNnDTK9RWZy2e0P4D5a3BSHHICxO9&#10;uhCpijCL1fKVNj9GnaByYakpXUWn/wdrvh13KGzfyY9SBO154Y82gLgpykyJWk64DzucPUo7LDRP&#10;A/ryZQLiVNU8X9WEUxaGD1dN86m5ZaHNc0z9KUxI+StEL4rRScc9q376+EiZm3Hqc0rpE+KDda4u&#10;ywUx8bSrm8+1gKKzfQmWNMLD/t6hOOqy7voUHgz2V5q3GQojPneh1EG9KXPnwvrCs1j72J8rfVU8&#10;3kItm29MWfNLn+2Xf8n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EDr8RnRAAAABQEAAA8AAAAA&#10;AAAAAQAgAAAAIgAAAGRycy9kb3ducmV2LnhtbFBLAQIUABQAAAAIAIdO4kBPXxy9qQEAAG0DAAAO&#10;AAAAAAAAAAEAIAAAACABAABkcnMvZTJvRG9jLnhtbFBLBQYAAAAABgAGAFkBAAA7BQAAAAA=&#10;">
                <v:fill on="f" focussize="0,0"/>
                <v:stroke weight="0.25pt" color="#000000" joinstyle="miter"/>
                <v:imagedata o:title=""/>
                <o:lock v:ext="edit" aspectratio="f"/>
              </v:line>
            </w:pict>
          </mc:Fallback>
        </mc:AlternateContent>
      </w:r>
    </w:p>
    <w:p w:rsidR="000F7627" w:rsidRDefault="000F7627">
      <w:pPr>
        <w:spacing w:after="120"/>
        <w:ind w:left="360"/>
        <w:jc w:val="both"/>
        <w:rPr>
          <w:rFonts w:ascii="Arial" w:hAnsi="Arial" w:cs="Arial"/>
          <w:sz w:val="24"/>
          <w:szCs w:val="24"/>
          <w:lang w:val="en-US"/>
        </w:rPr>
      </w:pPr>
    </w:p>
    <w:p w:rsidR="000F7627" w:rsidRDefault="00BF4D56">
      <w:pPr>
        <w:numPr>
          <w:ilvl w:val="0"/>
          <w:numId w:val="4"/>
        </w:numPr>
        <w:spacing w:after="120"/>
        <w:jc w:val="both"/>
        <w:rPr>
          <w:rFonts w:ascii="Arial" w:hAnsi="Arial" w:cs="Arial"/>
          <w:sz w:val="24"/>
          <w:szCs w:val="24"/>
          <w:lang w:val="es-ES"/>
        </w:rPr>
      </w:pPr>
      <w:r>
        <w:rPr>
          <w:rFonts w:ascii="Arial" w:hAnsi="Arial" w:cs="Arial"/>
          <w:b/>
          <w:sz w:val="24"/>
          <w:szCs w:val="24"/>
          <w:lang w:val="es-ES"/>
        </w:rPr>
        <w:t>IG (Jones, 1992)</w:t>
      </w:r>
      <w:r>
        <w:rPr>
          <w:rFonts w:ascii="Arial" w:hAnsi="Arial" w:cs="Arial"/>
          <w:sz w:val="24"/>
          <w:szCs w:val="24"/>
          <w:lang w:val="es-ES"/>
        </w:rPr>
        <w:t xml:space="preserve"> =</w:t>
      </w:r>
    </w:p>
    <w:p w:rsidR="000F7627" w:rsidRDefault="00BF4D56">
      <w:pPr>
        <w:spacing w:after="120"/>
        <w:jc w:val="both"/>
        <w:rPr>
          <w:rFonts w:ascii="Arial" w:hAnsi="Arial" w:cs="Arial"/>
          <w:sz w:val="24"/>
          <w:szCs w:val="24"/>
          <w:lang w:val="es-ES"/>
        </w:rPr>
      </w:pPr>
      <w:r>
        <w:rPr>
          <w:noProof/>
          <w:lang w:val="es-ES" w:eastAsia="es-E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221105" cy="295910"/>
                <wp:effectExtent l="0" t="0" r="0" b="0"/>
                <wp:wrapNone/>
                <wp:docPr id="4" name="Text Box 12"/>
                <wp:cNvGraphicFramePr/>
                <a:graphic xmlns:a="http://schemas.openxmlformats.org/drawingml/2006/main">
                  <a:graphicData uri="http://schemas.microsoft.com/office/word/2010/wordprocessingShape">
                    <wps:wsp>
                      <wps:cNvSpPr txBox="1"/>
                      <wps:spPr>
                        <a:xfrm>
                          <a:off x="0" y="0"/>
                          <a:ext cx="1221105" cy="821690"/>
                        </a:xfrm>
                        <a:prstGeom prst="rect">
                          <a:avLst/>
                        </a:prstGeom>
                        <a:noFill/>
                        <a:ln>
                          <a:noFill/>
                          <a:miter/>
                        </a:ln>
                        <a:effectLst/>
                      </wps:spPr>
                      <wps:txbx>
                        <w:txbxContent>
                          <w:p w:rsidR="000F7627" w:rsidRDefault="00BF4D56">
                            <w:pPr>
                              <w:pStyle w:val="NormalWeb"/>
                              <w:spacing w:before="0" w:after="0"/>
                              <w:rPr>
                                <w:sz w:val="14"/>
                              </w:rPr>
                            </w:pPr>
                            <w:r>
                              <w:rPr>
                                <w:rFonts w:ascii="Arial" w:hAnsi="Arial"/>
                                <w:color w:val="000000"/>
                                <w:sz w:val="28"/>
                                <w:szCs w:val="48"/>
                              </w:rPr>
                              <w:t xml:space="preserve">T </w:t>
                            </w:r>
                            <w:proofErr w:type="spellStart"/>
                            <w:r>
                              <w:rPr>
                                <w:rFonts w:ascii="Arial" w:hAnsi="Arial"/>
                                <w:color w:val="000000"/>
                                <w:sz w:val="28"/>
                                <w:szCs w:val="48"/>
                              </w:rPr>
                              <w:t>dry</w:t>
                            </w:r>
                            <w:proofErr w:type="spellEnd"/>
                            <w:r>
                              <w:rPr>
                                <w:rFonts w:ascii="Arial" w:hAnsi="Arial"/>
                                <w:color w:val="000000"/>
                                <w:sz w:val="28"/>
                                <w:szCs w:val="48"/>
                              </w:rPr>
                              <w:t xml:space="preserve"> – T </w:t>
                            </w:r>
                            <w:proofErr w:type="spellStart"/>
                            <w:r>
                              <w:rPr>
                                <w:rFonts w:ascii="Arial" w:hAnsi="Arial"/>
                                <w:color w:val="000000"/>
                                <w:sz w:val="28"/>
                                <w:szCs w:val="48"/>
                              </w:rPr>
                              <w:t>leaf</w:t>
                            </w:r>
                            <w:proofErr w:type="spellEnd"/>
                          </w:p>
                          <w:p w:rsidR="000F7627" w:rsidRDefault="000F7627"/>
                        </w:txbxContent>
                      </wps:txbx>
                      <wps:bodyPr wrap="square" lIns="91440" tIns="45720" rIns="91440" bIns="45720" anchor="t" anchorCtr="0">
                        <a:spAutoFit/>
                      </wps:bodyPr>
                    </wps:wsp>
                  </a:graphicData>
                </a:graphic>
              </wp:anchor>
            </w:drawing>
          </mc:Choice>
          <mc:Fallback xmlns:w15="http://schemas.microsoft.com/office/word/2012/wordml" xmlns:wpsCustomData="http://www.wps.cn/officeDocument/2013/wpsCustomData">
            <w:pict>
              <v:shape id="Text Box 12" o:spid="_x0000_s1026" o:spt="202" type="#_x0000_t202" style="position:absolute;left:0pt;margin-left:0pt;margin-top:0pt;height:23.3pt;width:96.15pt;z-index:251659264;mso-width-relative:page;mso-height-relative:page;" filled="f" stroked="f" coordsize="21600,21600" o:gfxdata="UEsDBAoAAAAAAIdO4kAAAAAAAAAAAAAAAAAEAAAAZHJzL1BLAwQUAAAACACHTuJAwumTcNMAAAAE&#10;AQAADwAAAGRycy9kb3ducmV2LnhtbE2PzU7DMBCE70i8g7VI3KidAhFN41SIH4kDF0q4b+MljojX&#10;Uew26dvjcqGXlUYzmvm23MyuFwcaQ+dZQ7ZQIIgbbzpuNdSfrzcPIEJENth7Jg1HCrCpLi9KLIyf&#10;+IMO29iKVMKhQA02xqGQMjSWHIaFH4iT9+1HhzHJsZVmxCmVu14ulcqlw47TgsWBniw1P9u90xCj&#10;ecyO9YsLb1/z+/NkVXOPtdbXV5lag4g0x/8wnPATOlSJaef3bILoNaRH4t89eavlLYidhrs8B1mV&#10;8hy++gVQSwMEFAAAAAgAh07iQCxC3wLYAQAAzwMAAA4AAABkcnMvZTJvRG9jLnhtbK1TyW7bMBC9&#10;F+g/ELzXWuCkiWE5aGukKFC0BZJ+AE1RFgFu5Ywt+e87pBTHcC859EJxFr6Z92a0fhitYUcVQXvX&#10;8GpRcqac9K12+4b/fn78cMcZoHCtMN6php8U8IfN+3frIaxU7XtvWhUZgThYDaHhPWJYFQXIXlkB&#10;Cx+Uo2DnoxVIZtwXbRQDoVtT1GV5Www+tiF6qQDIu52CfEaMbwH0Xael2np5sMrhhBqVEUiUoNcB&#10;+CZ323VK4s+uA4XMNJyYYj6pCN136Sw2a7HaRxF6LecWxFtauOJkhXZU9Ay1FSjYIep/oKyW0YPv&#10;cCG9LSYiWRFiUZVX2jz1IqjMhaSGcBYd/h+s/HH8FZluG77kzAlLA39WI7LPfmRVneQZAqwo6ylQ&#10;Ho7kp6V58QM5E+uxizZ9iQ+jOIl7Ooub0GR6VNdVVd5wJil2V1e391n94vV1iIBflbcsXRoeaXhZ&#10;U3H8DkidUOpLSirm/KM2Jg/QuCuH1aji9GSKqbwLM06iNLWebjjuxpnnzrcnojnQPjQc/hxEVJyZ&#10;b44Ev6+Wy7RA2VjefKzJiJeR3WVEONl7WjPkbLp+wbx0qU0Inw5IvWdKqYGpKvFLBs05M513Mi3S&#10;pZ2zXv/D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C6ZNw0wAAAAQBAAAPAAAAAAAAAAEAIAAA&#10;ACIAAABkcnMvZG93bnJldi54bWxQSwECFAAUAAAACACHTuJALELfAtgBAADPAwAADgAAAAAAAAAB&#10;ACAAAAAiAQAAZHJzL2Uyb0RvYy54bWxQSwUGAAAAAAYABgBZAQAAbAUAAAAA&#10;">
                <v:fill on="f" focussize="0,0"/>
                <v:stroke on="f" joinstyle="miter"/>
                <v:imagedata o:title=""/>
                <o:lock v:ext="edit" aspectratio="f"/>
                <v:textbox style="mso-fit-shape-to-text:t;">
                  <w:txbxContent>
                    <w:p w14:paraId="14091EFF">
                      <w:pPr>
                        <w:pStyle w:val="26"/>
                        <w:spacing w:before="0" w:after="0"/>
                        <w:rPr>
                          <w:sz w:val="14"/>
                        </w:rPr>
                      </w:pPr>
                      <w:r>
                        <w:rPr>
                          <w:rFonts w:ascii="Arial" w:hAnsi="Arial"/>
                          <w:color w:val="000000"/>
                          <w:sz w:val="28"/>
                          <w:szCs w:val="48"/>
                        </w:rPr>
                        <w:t>T dry – T leaf</w:t>
                      </w:r>
                    </w:p>
                    <w:p w14:paraId="0937002F"/>
                  </w:txbxContent>
                </v:textbox>
              </v:shape>
            </w:pict>
          </mc:Fallback>
        </mc:AlternateContent>
      </w:r>
    </w:p>
    <w:p w:rsidR="000F7627" w:rsidRDefault="00BF4D56">
      <w:pPr>
        <w:spacing w:before="120" w:after="120" w:line="240" w:lineRule="auto"/>
        <w:ind w:left="360"/>
        <w:jc w:val="both"/>
        <w:rPr>
          <w:rFonts w:ascii="Arial" w:hAnsi="Arial" w:cs="Arial"/>
          <w:b/>
          <w:sz w:val="24"/>
          <w:szCs w:val="24"/>
          <w:lang w:val="es-ES"/>
        </w:rPr>
      </w:pPr>
      <w:r>
        <w:rPr>
          <w:noProof/>
          <w:lang w:val="es-ES" w:eastAsia="es-ES"/>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42545</wp:posOffset>
                </wp:positionV>
                <wp:extent cx="1259205" cy="0"/>
                <wp:effectExtent l="0" t="4445" r="0" b="5080"/>
                <wp:wrapNone/>
                <wp:docPr id="5" name="Line 13"/>
                <wp:cNvGraphicFramePr/>
                <a:graphic xmlns:a="http://schemas.openxmlformats.org/drawingml/2006/main">
                  <a:graphicData uri="http://schemas.microsoft.com/office/word/2010/wordprocessingShape">
                    <wps:wsp>
                      <wps:cNvCnPr/>
                      <wps:spPr>
                        <a:xfrm>
                          <a:off x="0" y="0"/>
                          <a:ext cx="1259205" cy="0"/>
                        </a:xfrm>
                        <a:prstGeom prst="line">
                          <a:avLst/>
                        </a:prstGeom>
                        <a:noFill/>
                        <a:ln w="3175">
                          <a:solidFill>
                            <a:srgbClr val="000000"/>
                          </a:solidFill>
                          <a:miter/>
                        </a:ln>
                        <a:effectLst/>
                      </wps:spPr>
                      <wps:bodyPr/>
                    </wps:wsp>
                  </a:graphicData>
                </a:graphic>
              </wp:anchor>
            </w:drawing>
          </mc:Choice>
          <mc:Fallback xmlns:w15="http://schemas.microsoft.com/office/word/2012/wordml" xmlns:wpsCustomData="http://www.wps.cn/officeDocument/2013/wpsCustomData">
            <w:pict>
              <v:line id="Line 13" o:spid="_x0000_s1026" o:spt="20" style="position:absolute;left:0pt;margin-left:0.8pt;margin-top:3.35pt;height:0pt;width:99.15pt;z-index:251659264;mso-width-relative:page;mso-height-relative:page;" filled="f" stroked="t" coordsize="21600,21600" o:gfxdata="UEsDBAoAAAAAAIdO4kAAAAAAAAAAAAAAAAAEAAAAZHJzL1BLAwQUAAAACACHTuJA1/M0ys8AAAAF&#10;AQAADwAAAGRycy9kb3ducmV2LnhtbE2OwW7CMBBE75X4B2uRuKDiwCElaRyEKvVeUtTzEm/iqPE6&#10;ig2kf4/hQo9PM5p5xW6yvbjQ6DvHCtarBARx7XTHrYLj9+frFoQPyBp7x6TgjzzsytlLgbl2Vz7Q&#10;pQqtiCPsc1RgQhhyKX1tyKJfuYE4Zo0bLYaIYyv1iNc4bnu5SZJUWuw4Phgc6MNQ/VudrYJs2hzd&#10;V9Msf8y+6mi/NNuqPii1mK+TdxCBpvAsw10/qkMZnU7uzNqLPnIaiwrSNxD3NMsyEKcHy7KQ/+3L&#10;G1BLAwQUAAAACACHTuJAeDUI+aoBAABuAwAADgAAAGRycy9lMm9Eb2MueG1srVNNb9swDL0P6H8Q&#10;dG9sp8g+jDg9NOguxRZg2w9QZDoWoC+Qapz8+1GKm3XdpYf5IJMi+aj3KK3vT86KIyCZ4DvZLGop&#10;wOvQG3/o5K+fj7efpaCkfK9s8NDJM5C839x8WE+xhWUYg+0BBYN4aqfYyTGl2FYV6RGcokWI4Dk4&#10;BHQqsYuHqkc1Mbqz1bKuP1ZTwD5i0EDEu9tLUM6I+B7AMAxGwzboZwc+XVARrEpMiUYTSW7KaYcB&#10;dPo+DARJ2E4y01RWbsL2Pq/VZq3aA6o4Gj0fQb3nCG84OWU8N71CbVVS4hnNP1DOaAwUhrTQwVUX&#10;IkURZtHUb7T5MaoIhQtLTfEqOv0/WP3tuENh+k6upPDK8cCfjAfR3GVppkgtZzz4Hc4exR1mnqcB&#10;Xf4zA3Eqcp6vcsIpCc2bzXL1ZVkzrn6JVX8KI1L6CsGJbHTSctMioDo+UeJmnPqSkvv48GisLdOy&#10;XkydvGs+rUoBBWv6HMxphIf9g0VxVHne5cs8GOyvNGcSZEa8b32ug3JV5s6Z9YVntvahPxf6VfZ4&#10;DKVsvjJ5zq99tl8/k8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1/M0ys8AAAAFAQAADwAAAAAA&#10;AAABACAAAAAiAAAAZHJzL2Rvd25yZXYueG1sUEsBAhQAFAAAAAgAh07iQHg1CPmqAQAAbgMAAA4A&#10;AAAAAAAAAQAgAAAAHgEAAGRycy9lMm9Eb2MueG1sUEsFBgAAAAAGAAYAWQEAADoFAAAAAA==&#10;">
                <v:fill on="f" focussize="0,0"/>
                <v:stroke weight="0.25pt" color="#000000" joinstyle="miter"/>
                <v:imagedata o:title=""/>
                <o:lock v:ext="edit" aspectratio="f"/>
              </v:line>
            </w:pict>
          </mc:Fallback>
        </mc:AlternateContent>
      </w:r>
      <w:r>
        <w:rPr>
          <w:noProof/>
          <w:lang w:val="es-ES" w:eastAsia="es-E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96520</wp:posOffset>
                </wp:positionV>
                <wp:extent cx="1250315" cy="295910"/>
                <wp:effectExtent l="0" t="0" r="0" b="0"/>
                <wp:wrapNone/>
                <wp:docPr id="6" name="Text Box 14"/>
                <wp:cNvGraphicFramePr/>
                <a:graphic xmlns:a="http://schemas.openxmlformats.org/drawingml/2006/main">
                  <a:graphicData uri="http://schemas.microsoft.com/office/word/2010/wordprocessingShape">
                    <wps:wsp>
                      <wps:cNvSpPr txBox="1"/>
                      <wps:spPr>
                        <a:xfrm>
                          <a:off x="0" y="0"/>
                          <a:ext cx="1250315" cy="821690"/>
                        </a:xfrm>
                        <a:prstGeom prst="rect">
                          <a:avLst/>
                        </a:prstGeom>
                        <a:noFill/>
                        <a:ln>
                          <a:noFill/>
                          <a:miter/>
                        </a:ln>
                        <a:effectLst/>
                      </wps:spPr>
                      <wps:txbx>
                        <w:txbxContent>
                          <w:p w:rsidR="000F7627" w:rsidRDefault="00BF4D56">
                            <w:pPr>
                              <w:pStyle w:val="NormalWeb"/>
                              <w:spacing w:before="0" w:after="0"/>
                              <w:rPr>
                                <w:sz w:val="28"/>
                                <w:szCs w:val="28"/>
                              </w:rPr>
                            </w:pPr>
                            <w:r>
                              <w:rPr>
                                <w:rFonts w:ascii="Arial" w:hAnsi="Arial"/>
                                <w:color w:val="000000"/>
                                <w:sz w:val="28"/>
                                <w:szCs w:val="28"/>
                              </w:rPr>
                              <w:t xml:space="preserve">T </w:t>
                            </w:r>
                            <w:proofErr w:type="spellStart"/>
                            <w:r>
                              <w:rPr>
                                <w:rFonts w:ascii="Arial" w:hAnsi="Arial"/>
                                <w:color w:val="000000"/>
                                <w:sz w:val="28"/>
                                <w:szCs w:val="28"/>
                              </w:rPr>
                              <w:t>leaf</w:t>
                            </w:r>
                            <w:proofErr w:type="spellEnd"/>
                            <w:r>
                              <w:rPr>
                                <w:rFonts w:ascii="Arial" w:hAnsi="Arial"/>
                                <w:color w:val="000000"/>
                                <w:sz w:val="28"/>
                                <w:szCs w:val="28"/>
                              </w:rPr>
                              <w:t xml:space="preserve"> – T </w:t>
                            </w:r>
                            <w:proofErr w:type="spellStart"/>
                            <w:r>
                              <w:rPr>
                                <w:rFonts w:ascii="Arial" w:hAnsi="Arial"/>
                                <w:color w:val="000000"/>
                                <w:sz w:val="28"/>
                                <w:szCs w:val="28"/>
                              </w:rPr>
                              <w:t>wet</w:t>
                            </w:r>
                            <w:proofErr w:type="spellEnd"/>
                          </w:p>
                          <w:p w:rsidR="000F7627" w:rsidRDefault="000F7627"/>
                        </w:txbxContent>
                      </wps:txbx>
                      <wps:bodyPr wrap="square" lIns="91440" tIns="45720" rIns="91440" bIns="45720" anchor="t" anchorCtr="0">
                        <a:spAutoFit/>
                      </wps:bodyPr>
                    </wps:wsp>
                  </a:graphicData>
                </a:graphic>
              </wp:anchor>
            </w:drawing>
          </mc:Choice>
          <mc:Fallback xmlns:w15="http://schemas.microsoft.com/office/word/2012/wordml" xmlns:wpsCustomData="http://www.wps.cn/officeDocument/2013/wpsCustomData">
            <w:pict>
              <v:shape id="Text Box 14" o:spid="_x0000_s1026" o:spt="202" type="#_x0000_t202" style="position:absolute;left:0pt;margin-left:0pt;margin-top:7.6pt;height:23.3pt;width:98.45pt;z-index:251659264;mso-width-relative:page;mso-height-relative:page;" filled="f" stroked="f" coordsize="21600,21600" o:gfxdata="UEsDBAoAAAAAAIdO4kAAAAAAAAAAAAAAAAAEAAAAZHJzL1BLAwQUAAAACACHTuJAvWyELtQAAAAG&#10;AQAADwAAAGRycy9kb3ducmV2LnhtbE2PzW7CMBCE75X6DtZW6q3YQSKCNA6q+iNx6KWQ3pd4G0eN&#10;7SheSHh7zKk97sxo5ttyO7tenGmMXfAasoUCQb4JpvOthvrw8bQGERm9wT540nChCNvq/q7EwoTJ&#10;f9F5z61IJT4WqMEyD4WUsbHkMC7CQD55P2F0yOkcW2lGnFK56+VSqVw67HxasDjQq6Xmd39yGpjN&#10;S3ap313cfc+fb5NVzQprrR8fMvUMgmnmvzDc8BM6VInpGE7eRNFrSI9wUldLEDd3k29AHDXk2Rpk&#10;Vcr/+NUVUEsDBBQAAAAIAIdO4kCBp1pZ2gEAAM8DAAAOAAAAZHJzL2Uyb0RvYy54bWytU8tu2zAQ&#10;vBfoPxC817IU200Ey0FaI0WBoimQ9ANoirIIiI9y15b8911SimO4lxx6obgPzu7Mrtb3g+nYUQXQ&#10;zlY8n805U1a6Wtt9xX+/PH665QxQ2Fp0zqqKnxTw+83HD+vel6pwretqFRiBWCh7X/EW0ZdZBrJV&#10;RsDMeWUp2LhgBJIZ9lkdRE/opsuK+XyV9S7UPjipAMi7HYN8QgzvAXRNo6XaOnkwyuKIGlQnkChB&#10;qz3wTeq2aZTEp6YBhayrODHFdFIRuu/imW3WotwH4VstpxbEe1q44mSEtlT0DLUVKNgh6H+gjJbB&#10;gWtwJp3JRiJJEWKRz6+0eW6FV4kLSQ3+LDr8P1j58/grMF1XfMWZFYYG/qIGZF/cwPJFlKf3UFLW&#10;s6c8HMhPS/PqB3JG1kMTTPwSH0ZxEvd0FjeiyfioWM5v8iVnkmK3Rb66S+pnb699APymnGHxUvFA&#10;w0uaiuMPQOqEUl9TYjHrHnXXpQF29sphNKowPhljKu3ChBMpja3HGw67YeK5c/WJaPa0DxWHPwcR&#10;FGfdd0uC3+WLRVygZCyWnwsywmVkdxkRVraO1gw5G69fMS1dbBP8wwGp90QpNjBWJX7RoDknptNO&#10;xkW6tFPW23+4+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9bIQu1AAAAAYBAAAPAAAAAAAAAAEA&#10;IAAAACIAAABkcnMvZG93bnJldi54bWxQSwECFAAUAAAACACHTuJAgadaWdoBAADPAwAADgAAAAAA&#10;AAABACAAAAAjAQAAZHJzL2Uyb0RvYy54bWxQSwUGAAAAAAYABgBZAQAAbwUAAAAA&#10;">
                <v:fill on="f" focussize="0,0"/>
                <v:stroke on="f" joinstyle="miter"/>
                <v:imagedata o:title=""/>
                <o:lock v:ext="edit" aspectratio="f"/>
                <v:textbox style="mso-fit-shape-to-text:t;">
                  <w:txbxContent>
                    <w:p w14:paraId="15BF1743">
                      <w:pPr>
                        <w:pStyle w:val="26"/>
                        <w:spacing w:before="0" w:after="0"/>
                        <w:rPr>
                          <w:sz w:val="28"/>
                          <w:szCs w:val="28"/>
                        </w:rPr>
                      </w:pPr>
                      <w:r>
                        <w:rPr>
                          <w:rFonts w:ascii="Arial" w:hAnsi="Arial"/>
                          <w:color w:val="000000"/>
                          <w:sz w:val="28"/>
                          <w:szCs w:val="28"/>
                        </w:rPr>
                        <w:t>T leaf – T wet</w:t>
                      </w:r>
                    </w:p>
                    <w:p w14:paraId="037D8D4B"/>
                  </w:txbxContent>
                </v:textbox>
              </v:shape>
            </w:pict>
          </mc:Fallback>
        </mc:AlternateContent>
      </w:r>
    </w:p>
    <w:p w:rsidR="000F7627" w:rsidRDefault="000F7627">
      <w:pPr>
        <w:spacing w:before="120" w:after="120" w:line="240" w:lineRule="auto"/>
        <w:jc w:val="both"/>
        <w:rPr>
          <w:rFonts w:ascii="Arial" w:hAnsi="Arial" w:cs="Arial"/>
          <w:b/>
          <w:sz w:val="24"/>
          <w:szCs w:val="24"/>
          <w:lang w:val="es-ES"/>
        </w:rPr>
      </w:pPr>
    </w:p>
    <w:p w:rsidR="000F7627" w:rsidRDefault="00BF4D56">
      <w:pPr>
        <w:spacing w:before="120" w:after="120" w:line="240" w:lineRule="auto"/>
        <w:jc w:val="both"/>
        <w:rPr>
          <w:rFonts w:ascii="Arial" w:hAnsi="Arial" w:cs="Arial"/>
          <w:sz w:val="24"/>
          <w:szCs w:val="24"/>
          <w:lang w:val="es-ES"/>
        </w:rPr>
      </w:pPr>
      <w:proofErr w:type="spellStart"/>
      <w:r>
        <w:rPr>
          <w:rFonts w:ascii="Arial" w:hAnsi="Arial" w:cs="Arial"/>
          <w:sz w:val="24"/>
          <w:szCs w:val="24"/>
          <w:lang w:val="es-ES"/>
        </w:rPr>
        <w:t>Donde</w:t>
      </w:r>
      <w:proofErr w:type="spellEnd"/>
      <w:r>
        <w:rPr>
          <w:rFonts w:ascii="Arial" w:hAnsi="Arial" w:cs="Arial"/>
          <w:sz w:val="24"/>
          <w:szCs w:val="24"/>
          <w:lang w:val="es-ES"/>
        </w:rPr>
        <w:t xml:space="preserve">: </w:t>
      </w:r>
    </w:p>
    <w:p w:rsidR="000F7627" w:rsidRDefault="00BF4D56">
      <w:pPr>
        <w:spacing w:after="0"/>
        <w:rPr>
          <w:rFonts w:ascii="Arial" w:hAnsi="Arial" w:cs="Arial"/>
          <w:sz w:val="24"/>
          <w:szCs w:val="24"/>
          <w:lang w:val="es-ES"/>
        </w:rPr>
      </w:pPr>
      <w:proofErr w:type="spellStart"/>
      <w:r>
        <w:rPr>
          <w:rFonts w:ascii="Arial" w:hAnsi="Arial" w:cs="Arial"/>
          <w:b/>
          <w:bCs/>
          <w:sz w:val="24"/>
          <w:szCs w:val="24"/>
          <w:lang w:val="es-ES"/>
        </w:rPr>
        <w:t>Tdry</w:t>
      </w:r>
      <w:proofErr w:type="spellEnd"/>
      <w:r>
        <w:rPr>
          <w:rFonts w:ascii="Arial" w:hAnsi="Arial" w:cs="Arial"/>
          <w:b/>
          <w:bCs/>
          <w:sz w:val="24"/>
          <w:szCs w:val="24"/>
          <w:lang w:val="es-ES"/>
        </w:rPr>
        <w:t xml:space="preserve">: </w:t>
      </w:r>
      <w:r>
        <w:rPr>
          <w:rFonts w:ascii="Arial" w:hAnsi="Arial" w:cs="Arial"/>
          <w:sz w:val="24"/>
          <w:szCs w:val="24"/>
          <w:lang w:val="es-ES"/>
        </w:rPr>
        <w:t>temperatura a mínima transpiración: Se obtendrá tapando una hoja con vaselina.</w:t>
      </w:r>
    </w:p>
    <w:p w:rsidR="000F7627" w:rsidRDefault="00BF4D56">
      <w:pPr>
        <w:spacing w:after="0" w:line="240" w:lineRule="auto"/>
        <w:jc w:val="both"/>
        <w:rPr>
          <w:rFonts w:ascii="Arial" w:hAnsi="Arial" w:cs="Arial"/>
          <w:sz w:val="24"/>
          <w:szCs w:val="24"/>
          <w:lang w:val="es-ES"/>
        </w:rPr>
      </w:pPr>
      <w:proofErr w:type="spellStart"/>
      <w:r>
        <w:rPr>
          <w:rFonts w:ascii="Arial" w:hAnsi="Arial" w:cs="Arial"/>
          <w:b/>
          <w:bCs/>
          <w:sz w:val="24"/>
          <w:szCs w:val="24"/>
          <w:lang w:val="es-ES"/>
        </w:rPr>
        <w:lastRenderedPageBreak/>
        <w:t>Twet</w:t>
      </w:r>
      <w:proofErr w:type="spellEnd"/>
      <w:r>
        <w:rPr>
          <w:rFonts w:ascii="Arial" w:hAnsi="Arial" w:cs="Arial"/>
          <w:b/>
          <w:bCs/>
          <w:sz w:val="24"/>
          <w:szCs w:val="24"/>
          <w:lang w:val="es-ES"/>
        </w:rPr>
        <w:t xml:space="preserve">: </w:t>
      </w:r>
      <w:r>
        <w:rPr>
          <w:rFonts w:ascii="Arial" w:hAnsi="Arial" w:cs="Arial"/>
          <w:sz w:val="24"/>
          <w:szCs w:val="24"/>
          <w:lang w:val="es-ES"/>
        </w:rPr>
        <w:t>temperatura a máxima transpiración: Humedeciendo una hoja con agua y un poco de jabón justo antes de la medida.</w:t>
      </w:r>
    </w:p>
    <w:p w:rsidR="000F7627" w:rsidRDefault="00BF4D56">
      <w:pPr>
        <w:spacing w:after="240" w:line="240" w:lineRule="auto"/>
        <w:jc w:val="both"/>
        <w:rPr>
          <w:rFonts w:ascii="Arial" w:hAnsi="Arial" w:cs="Arial"/>
          <w:sz w:val="24"/>
          <w:szCs w:val="24"/>
          <w:lang w:val="es-ES"/>
        </w:rPr>
      </w:pPr>
      <w:proofErr w:type="spellStart"/>
      <w:r>
        <w:rPr>
          <w:rFonts w:ascii="Arial" w:hAnsi="Arial" w:cs="Arial"/>
          <w:b/>
          <w:bCs/>
          <w:sz w:val="24"/>
          <w:szCs w:val="24"/>
          <w:lang w:val="es-ES"/>
        </w:rPr>
        <w:t>Tleaf</w:t>
      </w:r>
      <w:proofErr w:type="spellEnd"/>
      <w:r>
        <w:rPr>
          <w:rFonts w:ascii="Arial" w:hAnsi="Arial" w:cs="Arial"/>
          <w:b/>
          <w:bCs/>
          <w:sz w:val="24"/>
          <w:szCs w:val="24"/>
          <w:lang w:val="es-ES"/>
        </w:rPr>
        <w:t xml:space="preserve">: </w:t>
      </w:r>
      <w:r>
        <w:rPr>
          <w:rFonts w:ascii="Arial" w:hAnsi="Arial" w:cs="Arial"/>
          <w:sz w:val="24"/>
          <w:szCs w:val="24"/>
          <w:lang w:val="es-ES"/>
        </w:rPr>
        <w:t>temperatura de la hoja</w:t>
      </w:r>
    </w:p>
    <w:p w:rsidR="000F7627" w:rsidRDefault="00BF4D56">
      <w:pPr>
        <w:spacing w:after="120"/>
        <w:jc w:val="both"/>
        <w:rPr>
          <w:rFonts w:ascii="Arial" w:hAnsi="Arial" w:cs="Arial"/>
          <w:sz w:val="24"/>
          <w:szCs w:val="24"/>
        </w:rPr>
      </w:pPr>
      <w:r>
        <w:rPr>
          <w:rFonts w:ascii="Arial" w:hAnsi="Arial" w:cs="Arial"/>
          <w:sz w:val="24"/>
          <w:szCs w:val="24"/>
        </w:rPr>
        <w:t>Además, se realizará un experimento en condiciones controladas (cámara de crecimiento) donde las plantas de frijol se cultivarán con aplicaciones de Azofert®-f y PectiMorf® las semillas serán inoculadas con Azofert®-f (200 mL por 50 kg de semilla y aspersión foliar de PectiMorf® a los 30 DDS, utilizando para ello la dosis 200 mg ha</w:t>
      </w:r>
      <w:r>
        <w:rPr>
          <w:rFonts w:ascii="Arial" w:hAnsi="Arial" w:cs="Arial"/>
          <w:sz w:val="24"/>
          <w:szCs w:val="24"/>
          <w:vertAlign w:val="superscript"/>
        </w:rPr>
        <w:t>-1</w:t>
      </w:r>
      <w:r>
        <w:rPr>
          <w:rFonts w:ascii="Arial" w:hAnsi="Arial" w:cs="Arial"/>
          <w:sz w:val="24"/>
          <w:szCs w:val="24"/>
        </w:rPr>
        <w:t xml:space="preserve">y con dos niveles de riego: Control (100 % de la ETC) y deficitario (suspensión del riego en la etapa de llenado del grano). </w:t>
      </w:r>
      <w:r>
        <w:rPr>
          <w:rFonts w:ascii="Arial" w:hAnsi="Arial" w:cs="Arial"/>
          <w:b/>
          <w:sz w:val="24"/>
          <w:szCs w:val="24"/>
        </w:rPr>
        <w:t xml:space="preserve">(España) </w:t>
      </w:r>
      <w:r>
        <w:rPr>
          <w:rFonts w:ascii="Arial" w:hAnsi="Arial" w:cs="Arial"/>
          <w:sz w:val="24"/>
          <w:szCs w:val="24"/>
        </w:rPr>
        <w:t>Este experimento se propone realizarlo en dos momentos (2024 y 2025).</w:t>
      </w:r>
    </w:p>
    <w:p w:rsidR="000F7627" w:rsidRDefault="00BF4D56">
      <w:pPr>
        <w:spacing w:after="120"/>
        <w:jc w:val="both"/>
        <w:rPr>
          <w:rFonts w:ascii="Arial" w:hAnsi="Arial" w:cs="Arial"/>
          <w:color w:val="000000"/>
          <w:sz w:val="24"/>
          <w:szCs w:val="18"/>
          <w:lang w:val="es-ES" w:eastAsia="es-ES"/>
        </w:rPr>
      </w:pPr>
      <w:r>
        <w:rPr>
          <w:rFonts w:ascii="Arial" w:hAnsi="Arial" w:cs="Arial"/>
          <w:color w:val="000000"/>
          <w:sz w:val="24"/>
          <w:szCs w:val="18"/>
          <w:lang w:val="es-ES" w:eastAsia="es-ES"/>
        </w:rPr>
        <w:t>A lo largo de los ensayos se medirá:</w:t>
      </w:r>
    </w:p>
    <w:p w:rsidR="000F7627" w:rsidRDefault="00BF4D56">
      <w:pPr>
        <w:spacing w:after="120"/>
        <w:jc w:val="both"/>
        <w:rPr>
          <w:rFonts w:ascii="Arial" w:hAnsi="Arial" w:cs="Arial"/>
          <w:b/>
          <w:color w:val="000000"/>
          <w:sz w:val="24"/>
          <w:szCs w:val="18"/>
          <w:lang w:val="es-ES" w:eastAsia="es-ES"/>
        </w:rPr>
      </w:pPr>
      <w:r>
        <w:rPr>
          <w:rFonts w:ascii="Arial" w:hAnsi="Arial" w:cs="Arial"/>
          <w:color w:val="000000"/>
          <w:sz w:val="24"/>
          <w:szCs w:val="18"/>
          <w:lang w:val="es-ES" w:eastAsia="es-ES"/>
        </w:rPr>
        <w:t xml:space="preserve">Humedad volumétrica del sustrato, el contenido relativo de agua CRA, el potencial hídrico foliar Ψf, el potencial osmótico actual Ψo act. </w:t>
      </w:r>
      <w:proofErr w:type="gramStart"/>
      <w:r>
        <w:rPr>
          <w:rFonts w:ascii="Arial" w:hAnsi="Arial" w:cs="Arial"/>
          <w:color w:val="000000"/>
          <w:sz w:val="24"/>
          <w:szCs w:val="18"/>
          <w:lang w:val="es-ES" w:eastAsia="es-ES"/>
        </w:rPr>
        <w:t>y</w:t>
      </w:r>
      <w:proofErr w:type="gramEnd"/>
      <w:r>
        <w:rPr>
          <w:rFonts w:ascii="Arial" w:hAnsi="Arial" w:cs="Arial"/>
          <w:color w:val="000000"/>
          <w:sz w:val="24"/>
          <w:szCs w:val="18"/>
          <w:lang w:val="es-ES" w:eastAsia="es-ES"/>
        </w:rPr>
        <w:t xml:space="preserve"> saturado Ψo sat (ajuste osmótico), la conductancia estomática, la tasa fotosintética, el contenido en clorofila, la temperatura foliar</w:t>
      </w:r>
      <w:r>
        <w:t xml:space="preserve"> </w:t>
      </w:r>
      <w:r>
        <w:rPr>
          <w:rFonts w:ascii="Arial" w:hAnsi="Arial" w:cs="Arial"/>
          <w:color w:val="000000"/>
          <w:sz w:val="24"/>
          <w:szCs w:val="18"/>
          <w:lang w:val="es-ES" w:eastAsia="es-ES"/>
        </w:rPr>
        <w:t>y la eficiencia intrínseca del uso del agua como Pn gs</w:t>
      </w:r>
      <w:r>
        <w:rPr>
          <w:rFonts w:ascii="Arial" w:hAnsi="Arial" w:cs="Arial"/>
          <w:color w:val="000000"/>
          <w:sz w:val="24"/>
          <w:szCs w:val="18"/>
          <w:vertAlign w:val="superscript"/>
          <w:lang w:val="es-ES" w:eastAsia="es-ES"/>
        </w:rPr>
        <w:t>-1</w:t>
      </w:r>
      <w:r>
        <w:rPr>
          <w:rFonts w:ascii="Arial" w:hAnsi="Arial" w:cs="Arial"/>
          <w:color w:val="000000"/>
          <w:sz w:val="24"/>
          <w:szCs w:val="18"/>
          <w:lang w:val="es-ES" w:eastAsia="es-ES"/>
        </w:rPr>
        <w:t xml:space="preserve"> (</w:t>
      </w:r>
      <w:proofErr w:type="spellStart"/>
      <w:r>
        <w:rPr>
          <w:rFonts w:ascii="Arial" w:hAnsi="Arial" w:cs="Arial"/>
          <w:color w:val="000000"/>
          <w:sz w:val="24"/>
          <w:szCs w:val="18"/>
          <w:lang w:val="es-ES" w:eastAsia="es-ES"/>
        </w:rPr>
        <w:t>WUEi</w:t>
      </w:r>
      <w:proofErr w:type="spellEnd"/>
      <w:r>
        <w:rPr>
          <w:rFonts w:ascii="Arial" w:hAnsi="Arial" w:cs="Arial"/>
          <w:color w:val="000000"/>
          <w:sz w:val="24"/>
          <w:szCs w:val="18"/>
          <w:lang w:val="es-ES" w:eastAsia="es-ES"/>
        </w:rPr>
        <w:t xml:space="preserve">). Así como, la biomasa de las plantas, vainas y granos. </w:t>
      </w:r>
      <w:r>
        <w:rPr>
          <w:rFonts w:ascii="Arial" w:hAnsi="Arial" w:cs="Arial"/>
          <w:b/>
          <w:color w:val="000000"/>
          <w:sz w:val="24"/>
          <w:szCs w:val="18"/>
          <w:lang w:val="es-ES" w:eastAsia="es-ES"/>
        </w:rPr>
        <w:t>(Pn gs</w:t>
      </w:r>
      <w:r>
        <w:rPr>
          <w:rFonts w:ascii="Arial" w:hAnsi="Arial" w:cs="Arial"/>
          <w:b/>
          <w:color w:val="000000"/>
          <w:sz w:val="24"/>
          <w:szCs w:val="18"/>
          <w:vertAlign w:val="superscript"/>
          <w:lang w:val="es-ES" w:eastAsia="es-ES"/>
        </w:rPr>
        <w:t>-1</w:t>
      </w:r>
      <w:r>
        <w:rPr>
          <w:rFonts w:ascii="Arial" w:hAnsi="Arial" w:cs="Arial"/>
          <w:b/>
          <w:color w:val="000000"/>
          <w:sz w:val="24"/>
          <w:szCs w:val="18"/>
          <w:lang w:val="es-ES" w:eastAsia="es-ES"/>
        </w:rPr>
        <w:t>) = Tasa fotosintética/conductancia estomática.</w:t>
      </w:r>
    </w:p>
    <w:p w:rsidR="000F7627" w:rsidRDefault="00BF4D56">
      <w:pPr>
        <w:spacing w:after="120"/>
        <w:jc w:val="both"/>
        <w:rPr>
          <w:rFonts w:ascii="Arial" w:hAnsi="Arial" w:cs="Arial"/>
          <w:color w:val="000000"/>
          <w:sz w:val="24"/>
          <w:szCs w:val="18"/>
          <w:lang w:val="es-ES" w:eastAsia="es-ES"/>
        </w:rPr>
      </w:pPr>
      <w:r>
        <w:rPr>
          <w:rFonts w:ascii="Arial" w:hAnsi="Arial" w:cs="Arial"/>
          <w:color w:val="000000"/>
          <w:sz w:val="24"/>
          <w:szCs w:val="18"/>
          <w:lang w:val="es-ES" w:eastAsia="es-ES"/>
        </w:rPr>
        <w:t>La mayoría de las determinaciones antes indicadas, se realizarán con el equipamiento y los protocolos establecidos para las mismas en el Dpto. de Riego del CEBAS.</w:t>
      </w:r>
    </w:p>
    <w:p w:rsidR="000F7627" w:rsidRDefault="00BF4D56">
      <w:pPr>
        <w:tabs>
          <w:tab w:val="left" w:pos="0"/>
          <w:tab w:val="left" w:pos="540"/>
        </w:tabs>
        <w:spacing w:after="120" w:line="20" w:lineRule="atLeast"/>
        <w:jc w:val="both"/>
        <w:rPr>
          <w:rFonts w:ascii="Arial" w:hAnsi="Arial" w:cs="Arial"/>
          <w:bCs/>
          <w:color w:val="FF0000"/>
          <w:sz w:val="24"/>
        </w:rPr>
      </w:pPr>
      <w:r>
        <w:rPr>
          <w:rFonts w:ascii="Arial" w:hAnsi="Arial" w:cs="Arial"/>
          <w:b/>
          <w:bCs/>
          <w:sz w:val="24"/>
        </w:rPr>
        <w:t>Evaluación del crecimiento</w:t>
      </w:r>
      <w:r>
        <w:rPr>
          <w:rFonts w:ascii="Arial" w:hAnsi="Arial" w:cs="Arial"/>
          <w:b/>
          <w:bCs/>
          <w:sz w:val="24"/>
          <w:lang w:val="es-ES"/>
        </w:rPr>
        <w:t xml:space="preserve"> </w:t>
      </w:r>
    </w:p>
    <w:p w:rsidR="000F7627" w:rsidRDefault="00BF4D56">
      <w:pPr>
        <w:spacing w:before="240" w:after="0"/>
        <w:jc w:val="both"/>
        <w:rPr>
          <w:rFonts w:ascii="Arial" w:hAnsi="Arial" w:cs="Arial"/>
          <w:bCs/>
          <w:sz w:val="24"/>
          <w:lang w:val="es-ES"/>
        </w:rPr>
      </w:pPr>
      <w:r>
        <w:rPr>
          <w:rFonts w:ascii="Arial" w:hAnsi="Arial" w:cs="Arial"/>
          <w:bCs/>
          <w:sz w:val="24"/>
          <w:lang w:val="es-ES"/>
        </w:rPr>
        <w:t>A los 40 y 55 días después de la siembra (DDS) se tomarán 10 plantas por tratamiento y se determinarán las siguientes variables:</w:t>
      </w:r>
    </w:p>
    <w:p w:rsidR="000F7627" w:rsidRDefault="000F7627">
      <w:pPr>
        <w:spacing w:after="0"/>
        <w:jc w:val="both"/>
        <w:rPr>
          <w:rFonts w:ascii="Arial" w:hAnsi="Arial" w:cs="Arial"/>
          <w:bCs/>
          <w:sz w:val="24"/>
          <w:lang w:val="es-ES"/>
        </w:rPr>
      </w:pPr>
    </w:p>
    <w:p w:rsidR="000F7627" w:rsidRDefault="00BF4D56">
      <w:pPr>
        <w:numPr>
          <w:ilvl w:val="0"/>
          <w:numId w:val="5"/>
        </w:numPr>
        <w:spacing w:after="0"/>
        <w:jc w:val="both"/>
        <w:rPr>
          <w:rFonts w:ascii="Arial" w:hAnsi="Arial" w:cs="Arial"/>
          <w:bCs/>
          <w:sz w:val="24"/>
          <w:lang w:val="es-ES"/>
        </w:rPr>
      </w:pPr>
      <w:r>
        <w:rPr>
          <w:rFonts w:ascii="Arial" w:hAnsi="Arial" w:cs="Arial"/>
          <w:bCs/>
          <w:sz w:val="24"/>
          <w:lang w:val="es-ES"/>
        </w:rPr>
        <w:t>Superficie foliar</w:t>
      </w:r>
    </w:p>
    <w:p w:rsidR="000F7627" w:rsidRDefault="00BF4D56">
      <w:pPr>
        <w:numPr>
          <w:ilvl w:val="0"/>
          <w:numId w:val="5"/>
        </w:numPr>
        <w:spacing w:after="0"/>
        <w:jc w:val="both"/>
        <w:rPr>
          <w:rFonts w:ascii="Arial" w:hAnsi="Arial" w:cs="Arial"/>
          <w:bCs/>
          <w:sz w:val="24"/>
          <w:lang w:val="es-ES"/>
        </w:rPr>
      </w:pPr>
      <w:r>
        <w:rPr>
          <w:rFonts w:ascii="Arial" w:hAnsi="Arial" w:cs="Arial"/>
          <w:bCs/>
          <w:sz w:val="24"/>
          <w:lang w:val="es-ES"/>
        </w:rPr>
        <w:t xml:space="preserve">Masa seca de (raíces, tallos y hojas) y totales </w:t>
      </w:r>
    </w:p>
    <w:p w:rsidR="000F7627" w:rsidRDefault="00BF4D56">
      <w:pPr>
        <w:numPr>
          <w:ilvl w:val="0"/>
          <w:numId w:val="5"/>
        </w:numPr>
        <w:spacing w:after="0"/>
        <w:jc w:val="both"/>
        <w:rPr>
          <w:rFonts w:ascii="Arial" w:hAnsi="Arial" w:cs="Arial"/>
          <w:bCs/>
          <w:sz w:val="24"/>
          <w:lang w:val="es-ES"/>
        </w:rPr>
      </w:pPr>
      <w:r>
        <w:rPr>
          <w:rFonts w:ascii="Arial" w:hAnsi="Arial" w:cs="Arial"/>
          <w:bCs/>
          <w:sz w:val="24"/>
          <w:lang w:val="es-ES"/>
        </w:rPr>
        <w:t>Nodulación (Número y viabilidad)</w:t>
      </w:r>
    </w:p>
    <w:p w:rsidR="000F7627" w:rsidRDefault="00BF4D56">
      <w:pPr>
        <w:spacing w:before="240" w:after="0"/>
        <w:jc w:val="both"/>
        <w:rPr>
          <w:rFonts w:ascii="Arial" w:hAnsi="Arial" w:cs="Arial"/>
          <w:bCs/>
          <w:sz w:val="24"/>
          <w:lang w:val="es-ES"/>
        </w:rPr>
      </w:pPr>
      <w:r>
        <w:rPr>
          <w:rFonts w:ascii="Arial" w:hAnsi="Arial" w:cs="Arial"/>
          <w:bCs/>
          <w:sz w:val="24"/>
          <w:lang w:val="es-ES"/>
        </w:rPr>
        <w:t xml:space="preserve">A partir de estos datos, se calculará la Relación masa seca de la raíz/ masa seca de la parte aérea y otros indicadores del crecimiento y desarrollo de acuerdo con Villalba </w:t>
      </w:r>
      <w:r>
        <w:rPr>
          <w:rFonts w:ascii="Arial" w:hAnsi="Arial" w:cs="Arial"/>
          <w:bCs/>
          <w:i/>
          <w:sz w:val="24"/>
          <w:lang w:val="es-ES"/>
        </w:rPr>
        <w:t>et al</w:t>
      </w:r>
      <w:r>
        <w:rPr>
          <w:rFonts w:ascii="Arial" w:hAnsi="Arial" w:cs="Arial"/>
          <w:bCs/>
          <w:sz w:val="24"/>
          <w:lang w:val="es-ES"/>
        </w:rPr>
        <w:t xml:space="preserve">., (2017): </w:t>
      </w:r>
      <w:r>
        <w:rPr>
          <w:rFonts w:ascii="Arial" w:hAnsi="Arial" w:cs="Arial"/>
          <w:sz w:val="24"/>
          <w:szCs w:val="24"/>
        </w:rPr>
        <w:t>Tasa Relativa de Crecimiento</w:t>
      </w:r>
      <w:r>
        <w:rPr>
          <w:rFonts w:ascii="Arial" w:hAnsi="Arial" w:cs="Arial"/>
          <w:bCs/>
          <w:sz w:val="24"/>
          <w:lang w:val="es-ES"/>
        </w:rPr>
        <w:t xml:space="preserve"> (TRC), </w:t>
      </w:r>
      <w:r>
        <w:rPr>
          <w:rFonts w:ascii="Arial" w:hAnsi="Arial" w:cs="Arial"/>
          <w:sz w:val="24"/>
          <w:szCs w:val="24"/>
        </w:rPr>
        <w:t>Tasa Absoluta de Crecimiento (</w:t>
      </w:r>
      <w:r>
        <w:rPr>
          <w:rFonts w:ascii="Arial" w:hAnsi="Arial" w:cs="Arial"/>
          <w:bCs/>
          <w:sz w:val="24"/>
          <w:lang w:val="es-ES"/>
        </w:rPr>
        <w:t xml:space="preserve">TAC) y </w:t>
      </w:r>
      <w:r>
        <w:rPr>
          <w:rFonts w:ascii="Arial" w:hAnsi="Arial" w:cs="Arial"/>
          <w:sz w:val="24"/>
          <w:szCs w:val="24"/>
        </w:rPr>
        <w:t>Tasa de asimilación neta (</w:t>
      </w:r>
      <w:r>
        <w:rPr>
          <w:rFonts w:ascii="Arial" w:hAnsi="Arial" w:cs="Arial"/>
          <w:bCs/>
          <w:sz w:val="24"/>
          <w:lang w:val="es-ES"/>
        </w:rPr>
        <w:t>TAN), etc.</w:t>
      </w:r>
    </w:p>
    <w:p w:rsidR="000F7627" w:rsidRDefault="00BF4D56">
      <w:pPr>
        <w:spacing w:after="120"/>
        <w:jc w:val="both"/>
        <w:rPr>
          <w:rFonts w:ascii="Arial" w:hAnsi="Arial" w:cs="Arial"/>
          <w:bCs/>
          <w:sz w:val="24"/>
          <w:lang w:val="es-ES"/>
        </w:rPr>
      </w:pPr>
      <w:r>
        <w:rPr>
          <w:rFonts w:ascii="Arial" w:hAnsi="Arial" w:cs="Arial"/>
          <w:bCs/>
          <w:sz w:val="24"/>
          <w:lang w:val="es-ES"/>
        </w:rPr>
        <w:t xml:space="preserve">Para la superficie foliar se utilizará un integrador de área foliar AMP-300 y </w:t>
      </w:r>
      <w:r>
        <w:rPr>
          <w:rFonts w:ascii="Arial" w:hAnsi="Arial" w:cs="Arial"/>
          <w:bCs/>
          <w:color w:val="000000"/>
          <w:sz w:val="24"/>
          <w:lang w:val="es-ES"/>
        </w:rPr>
        <w:t>las masas secas de los diferentes órganos se</w:t>
      </w:r>
      <w:r>
        <w:rPr>
          <w:rFonts w:ascii="Arial" w:hAnsi="Arial" w:cs="Arial"/>
          <w:bCs/>
          <w:color w:val="FF0000"/>
          <w:sz w:val="24"/>
          <w:lang w:val="es-ES"/>
        </w:rPr>
        <w:t xml:space="preserve"> </w:t>
      </w:r>
      <w:r>
        <w:rPr>
          <w:rFonts w:ascii="Arial" w:hAnsi="Arial" w:cs="Arial"/>
          <w:bCs/>
          <w:sz w:val="24"/>
          <w:lang w:val="es-ES"/>
        </w:rPr>
        <w:t>obtendrán por secado en estufa de tiro forzado a 80 ºC hasta peso constante.</w:t>
      </w:r>
    </w:p>
    <w:p w:rsidR="000F7627" w:rsidRDefault="00BF4D56">
      <w:pPr>
        <w:spacing w:before="120"/>
        <w:jc w:val="both"/>
        <w:rPr>
          <w:rFonts w:ascii="Arial" w:hAnsi="Arial" w:cs="Arial"/>
          <w:b/>
          <w:bCs/>
          <w:sz w:val="24"/>
        </w:rPr>
      </w:pPr>
      <w:r>
        <w:rPr>
          <w:rFonts w:ascii="Arial" w:hAnsi="Arial" w:cs="Arial"/>
          <w:b/>
          <w:bCs/>
          <w:sz w:val="24"/>
        </w:rPr>
        <w:t>Evaluación del rendimiento</w:t>
      </w:r>
    </w:p>
    <w:p w:rsidR="000F7627" w:rsidRDefault="00BF4D56">
      <w:pPr>
        <w:spacing w:after="0"/>
        <w:jc w:val="both"/>
        <w:rPr>
          <w:rFonts w:ascii="Arial" w:hAnsi="Arial" w:cs="Arial"/>
          <w:bCs/>
          <w:sz w:val="24"/>
          <w:lang w:val="es-ES"/>
        </w:rPr>
      </w:pPr>
      <w:r>
        <w:rPr>
          <w:rFonts w:ascii="Arial" w:hAnsi="Arial" w:cs="Arial"/>
          <w:bCs/>
          <w:sz w:val="24"/>
          <w:lang w:val="es-ES"/>
        </w:rPr>
        <w:t xml:space="preserve">Se seleccionarán 20 plantas por tratamiento y se determinarán las siguientes variables: </w:t>
      </w:r>
    </w:p>
    <w:p w:rsidR="000F7627" w:rsidRDefault="00BF4D56">
      <w:pPr>
        <w:numPr>
          <w:ilvl w:val="0"/>
          <w:numId w:val="6"/>
        </w:numPr>
        <w:spacing w:after="0"/>
        <w:jc w:val="both"/>
        <w:rPr>
          <w:rFonts w:ascii="Arial" w:hAnsi="Arial" w:cs="Arial"/>
          <w:bCs/>
          <w:sz w:val="24"/>
          <w:lang w:val="es-ES"/>
        </w:rPr>
      </w:pPr>
      <w:r>
        <w:rPr>
          <w:rFonts w:ascii="Arial" w:hAnsi="Arial" w:cs="Arial"/>
          <w:bCs/>
          <w:sz w:val="24"/>
          <w:lang w:val="es-ES"/>
        </w:rPr>
        <w:t>Número de vainas</w:t>
      </w:r>
    </w:p>
    <w:p w:rsidR="000F7627" w:rsidRDefault="00BF4D56">
      <w:pPr>
        <w:numPr>
          <w:ilvl w:val="0"/>
          <w:numId w:val="6"/>
        </w:numPr>
        <w:spacing w:after="0"/>
        <w:jc w:val="both"/>
        <w:rPr>
          <w:rFonts w:ascii="Arial" w:hAnsi="Arial" w:cs="Arial"/>
          <w:bCs/>
          <w:sz w:val="24"/>
          <w:lang w:val="es-ES"/>
        </w:rPr>
      </w:pPr>
      <w:r>
        <w:rPr>
          <w:rFonts w:ascii="Arial" w:hAnsi="Arial" w:cs="Arial"/>
          <w:bCs/>
          <w:sz w:val="24"/>
          <w:lang w:val="es-ES"/>
        </w:rPr>
        <w:t>Número de granos por vaina</w:t>
      </w:r>
    </w:p>
    <w:p w:rsidR="000F7627" w:rsidRDefault="00BF4D56">
      <w:pPr>
        <w:numPr>
          <w:ilvl w:val="0"/>
          <w:numId w:val="6"/>
        </w:numPr>
        <w:spacing w:after="0"/>
        <w:jc w:val="both"/>
        <w:rPr>
          <w:rFonts w:ascii="Arial" w:hAnsi="Arial" w:cs="Arial"/>
          <w:bCs/>
          <w:sz w:val="24"/>
          <w:lang w:val="es-ES"/>
        </w:rPr>
      </w:pPr>
      <w:r>
        <w:rPr>
          <w:rFonts w:ascii="Arial" w:hAnsi="Arial" w:cs="Arial"/>
          <w:bCs/>
          <w:sz w:val="24"/>
          <w:lang w:val="es-ES"/>
        </w:rPr>
        <w:t xml:space="preserve">Masa fresca y seca de 100 granos </w:t>
      </w:r>
    </w:p>
    <w:p w:rsidR="000F7627" w:rsidRDefault="00BF4D56">
      <w:pPr>
        <w:numPr>
          <w:ilvl w:val="0"/>
          <w:numId w:val="6"/>
        </w:numPr>
        <w:spacing w:after="0"/>
        <w:jc w:val="both"/>
        <w:rPr>
          <w:rFonts w:ascii="Arial" w:hAnsi="Arial" w:cs="Arial"/>
          <w:bCs/>
          <w:sz w:val="24"/>
          <w:lang w:val="es-ES"/>
        </w:rPr>
      </w:pPr>
      <w:r>
        <w:rPr>
          <w:rFonts w:ascii="Arial" w:hAnsi="Arial" w:cs="Arial"/>
          <w:bCs/>
          <w:sz w:val="24"/>
          <w:lang w:val="es-ES"/>
        </w:rPr>
        <w:t>Masa de granos por planta</w:t>
      </w:r>
    </w:p>
    <w:p w:rsidR="000F7627" w:rsidRDefault="000F7627">
      <w:pPr>
        <w:spacing w:after="0"/>
        <w:jc w:val="both"/>
        <w:rPr>
          <w:rFonts w:ascii="Arial" w:hAnsi="Arial" w:cs="Arial"/>
          <w:bCs/>
          <w:sz w:val="24"/>
          <w:lang w:val="es-ES"/>
        </w:rPr>
      </w:pPr>
    </w:p>
    <w:p w:rsidR="000F7627" w:rsidRDefault="00BF4D56">
      <w:pPr>
        <w:pStyle w:val="Textocomentario"/>
        <w:spacing w:after="120"/>
        <w:jc w:val="both"/>
        <w:rPr>
          <w:rFonts w:ascii="Arial" w:hAnsi="Arial" w:cs="Arial"/>
          <w:b/>
          <w:bCs/>
          <w:sz w:val="24"/>
          <w:szCs w:val="24"/>
        </w:rPr>
      </w:pPr>
      <w:r>
        <w:rPr>
          <w:rFonts w:ascii="Arial" w:hAnsi="Arial" w:cs="Arial"/>
          <w:b/>
          <w:bCs/>
          <w:sz w:val="24"/>
          <w:szCs w:val="24"/>
        </w:rPr>
        <w:t>Experimentos 2 y 3</w:t>
      </w:r>
    </w:p>
    <w:p w:rsidR="000F7627" w:rsidRDefault="00FF55FE">
      <w:pPr>
        <w:pStyle w:val="Textocomentario"/>
        <w:spacing w:after="120"/>
        <w:jc w:val="both"/>
        <w:rPr>
          <w:rFonts w:ascii="Arial" w:hAnsi="Arial" w:cs="Arial"/>
          <w:b/>
          <w:sz w:val="24"/>
          <w:szCs w:val="24"/>
        </w:rPr>
      </w:pPr>
      <w:r>
        <w:rPr>
          <w:rFonts w:ascii="Arial" w:hAnsi="Arial" w:cs="Arial"/>
          <w:b/>
          <w:sz w:val="24"/>
          <w:szCs w:val="24"/>
        </w:rPr>
        <w:t>E</w:t>
      </w:r>
      <w:r w:rsidR="00BF4D56">
        <w:rPr>
          <w:rFonts w:ascii="Arial" w:hAnsi="Arial" w:cs="Arial"/>
          <w:b/>
          <w:sz w:val="24"/>
          <w:szCs w:val="24"/>
        </w:rPr>
        <w:t xml:space="preserve">fecto de </w:t>
      </w:r>
      <w:r>
        <w:rPr>
          <w:rFonts w:ascii="Arial" w:hAnsi="Arial" w:cs="Arial"/>
          <w:b/>
          <w:sz w:val="24"/>
          <w:szCs w:val="24"/>
        </w:rPr>
        <w:t xml:space="preserve">la inoculación de las semillas con </w:t>
      </w:r>
      <w:r w:rsidR="00BF4D56">
        <w:rPr>
          <w:rFonts w:ascii="Arial" w:hAnsi="Arial" w:cs="Arial"/>
          <w:b/>
          <w:sz w:val="24"/>
          <w:szCs w:val="24"/>
        </w:rPr>
        <w:t xml:space="preserve">Azofert®-f y </w:t>
      </w:r>
      <w:r>
        <w:rPr>
          <w:rFonts w:ascii="Arial" w:hAnsi="Arial" w:cs="Arial"/>
          <w:b/>
          <w:sz w:val="24"/>
          <w:szCs w:val="24"/>
        </w:rPr>
        <w:t xml:space="preserve">aplicación foliar de </w:t>
      </w:r>
      <w:r w:rsidR="00BF4D56">
        <w:rPr>
          <w:rFonts w:ascii="Arial" w:hAnsi="Arial" w:cs="Arial"/>
          <w:b/>
          <w:sz w:val="24"/>
          <w:szCs w:val="24"/>
        </w:rPr>
        <w:t xml:space="preserve">PectiMorf® en  el rendimiento y calidad de los granos de plantas de frijol </w:t>
      </w:r>
      <w:r>
        <w:rPr>
          <w:rFonts w:ascii="Arial" w:hAnsi="Arial" w:cs="Arial"/>
          <w:b/>
          <w:sz w:val="24"/>
          <w:szCs w:val="24"/>
        </w:rPr>
        <w:t xml:space="preserve">cultivadas </w:t>
      </w:r>
      <w:r w:rsidR="00BF4D56">
        <w:rPr>
          <w:rFonts w:ascii="Arial" w:hAnsi="Arial" w:cs="Arial"/>
          <w:b/>
          <w:sz w:val="24"/>
          <w:szCs w:val="24"/>
        </w:rPr>
        <w:t>en condiciones deficitarias de humedad del suelo.</w:t>
      </w:r>
    </w:p>
    <w:p w:rsidR="000F7627" w:rsidRDefault="00BF4D56">
      <w:pPr>
        <w:jc w:val="both"/>
        <w:rPr>
          <w:b/>
        </w:rPr>
      </w:pPr>
      <w:r>
        <w:rPr>
          <w:rFonts w:ascii="Arial" w:hAnsi="Arial" w:cs="Arial"/>
          <w:color w:val="000000"/>
          <w:sz w:val="24"/>
          <w:szCs w:val="24"/>
        </w:rPr>
        <w:t xml:space="preserve">Se realizará un experimento en condiciones controladas (cámara de crecimiento) donde las plantas de frijol se cultivarán con aplicaciones de Azofert®-f y PectiMorf® las semillas serán inoculadas con Azofert®-f (200 mL por 50 kg de semilla y aspersión foliar de PectiMorf® a los 30 DDS, utilizando para ello la dosis 200 mg ha-1y con dos niveles de riego: Control (100 % de la ETC) y deficitario (suspensión del riego en la etapa de llenado del grano). </w:t>
      </w:r>
      <w:r>
        <w:rPr>
          <w:rFonts w:ascii="Arial" w:hAnsi="Arial" w:cs="Arial"/>
          <w:b/>
          <w:color w:val="000000"/>
          <w:sz w:val="24"/>
          <w:szCs w:val="24"/>
        </w:rPr>
        <w:t>(España 2025)</w:t>
      </w:r>
      <w:r>
        <w:rPr>
          <w:b/>
        </w:rPr>
        <w:t xml:space="preserve"> </w:t>
      </w:r>
    </w:p>
    <w:p w:rsidR="000F7627" w:rsidRDefault="00BF4D56">
      <w:pPr>
        <w:jc w:val="both"/>
        <w:rPr>
          <w:rFonts w:ascii="Arial" w:hAnsi="Arial" w:cs="Arial"/>
          <w:color w:val="000000"/>
          <w:sz w:val="24"/>
          <w:szCs w:val="24"/>
        </w:rPr>
      </w:pPr>
      <w:r>
        <w:rPr>
          <w:rFonts w:ascii="Arial" w:hAnsi="Arial" w:cs="Arial"/>
          <w:color w:val="000000"/>
          <w:sz w:val="24"/>
          <w:szCs w:val="24"/>
        </w:rPr>
        <w:t xml:space="preserve">En este experimento, se evaluará a los </w:t>
      </w:r>
      <w:r w:rsidR="000C1FA2">
        <w:rPr>
          <w:rFonts w:ascii="Arial" w:hAnsi="Arial" w:cs="Arial"/>
          <w:color w:val="000000"/>
          <w:sz w:val="24"/>
          <w:szCs w:val="24"/>
        </w:rPr>
        <w:t>65</w:t>
      </w:r>
      <w:r>
        <w:rPr>
          <w:rFonts w:ascii="Arial" w:hAnsi="Arial" w:cs="Arial"/>
          <w:color w:val="000000"/>
          <w:sz w:val="24"/>
          <w:szCs w:val="24"/>
        </w:rPr>
        <w:t xml:space="preserve"> DDS en todos los tratamientos, el estado nutricional (contenido mineral) y distintas hormonas como el Ácido absícico (ABA), el ácido Indol acético (AIA) y citoquininas en hojas. Así cómo, algunos metabolitos asociados con la calidad del grano (aminoácidos, proteínas y lípidos).</w:t>
      </w:r>
      <w:r w:rsidR="000C1FA2">
        <w:rPr>
          <w:rFonts w:ascii="Arial" w:hAnsi="Arial" w:cs="Arial"/>
          <w:color w:val="000000"/>
          <w:sz w:val="24"/>
          <w:szCs w:val="24"/>
        </w:rPr>
        <w:t xml:space="preserve"> Y el contenido de nutrientes.</w:t>
      </w:r>
    </w:p>
    <w:p w:rsidR="000F7627" w:rsidRDefault="00BF4D56">
      <w:pPr>
        <w:jc w:val="both"/>
        <w:rPr>
          <w:rFonts w:ascii="Arial" w:hAnsi="Arial" w:cs="Arial"/>
          <w:color w:val="000000"/>
          <w:sz w:val="24"/>
          <w:szCs w:val="24"/>
        </w:rPr>
      </w:pPr>
      <w:r>
        <w:rPr>
          <w:rFonts w:ascii="Arial" w:hAnsi="Arial" w:cs="Arial"/>
          <w:color w:val="000000"/>
          <w:sz w:val="24"/>
          <w:szCs w:val="24"/>
        </w:rPr>
        <w:t>El contenido mineral de hojas se determinará con el analizador ICP-OES IRIS INTREPID II XDL y el análisis de metabolitos primarios mediante Espectroscopía de Resonancia Magnética Nuclear 1H (servicio de ionomica y metabolómica del CEBAS, respectivamente).</w:t>
      </w:r>
    </w:p>
    <w:p w:rsidR="000F7627" w:rsidRDefault="000F7627">
      <w:pPr>
        <w:spacing w:line="360" w:lineRule="auto"/>
        <w:rPr>
          <w:rFonts w:ascii="Arial" w:hAnsi="Arial" w:cs="Arial"/>
          <w:color w:val="000000"/>
          <w:sz w:val="24"/>
          <w:szCs w:val="24"/>
        </w:rPr>
      </w:pPr>
    </w:p>
    <w:p w:rsidR="000F7627" w:rsidRDefault="00BF4D56">
      <w:pPr>
        <w:jc w:val="center"/>
        <w:rPr>
          <w:rFonts w:ascii="Arial" w:hAnsi="Arial" w:cs="Arial"/>
          <w:b/>
          <w:sz w:val="24"/>
          <w:u w:val="single"/>
        </w:rPr>
      </w:pPr>
      <w:r>
        <w:rPr>
          <w:rFonts w:ascii="Arial" w:hAnsi="Arial" w:cs="Arial"/>
          <w:b/>
          <w:sz w:val="24"/>
          <w:u w:val="single"/>
        </w:rPr>
        <w:t>Cronograma de ejecución de la tesis</w:t>
      </w:r>
    </w:p>
    <w:tbl>
      <w:tblPr>
        <w:tblW w:w="7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036"/>
        <w:gridCol w:w="1043"/>
        <w:gridCol w:w="1417"/>
        <w:gridCol w:w="1701"/>
      </w:tblGrid>
      <w:tr w:rsidR="000F7627">
        <w:trPr>
          <w:jc w:val="center"/>
        </w:trPr>
        <w:tc>
          <w:tcPr>
            <w:tcW w:w="2227" w:type="dxa"/>
            <w:shd w:val="clear" w:color="auto" w:fill="auto"/>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Objetivos y tareas a ejecutar</w:t>
            </w:r>
          </w:p>
        </w:tc>
        <w:tc>
          <w:tcPr>
            <w:tcW w:w="1036" w:type="dxa"/>
            <w:shd w:val="clear" w:color="auto" w:fill="auto"/>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2024</w:t>
            </w:r>
          </w:p>
        </w:tc>
        <w:tc>
          <w:tcPr>
            <w:tcW w:w="1043"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2025</w:t>
            </w:r>
          </w:p>
        </w:tc>
        <w:tc>
          <w:tcPr>
            <w:tcW w:w="1417"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2026</w:t>
            </w:r>
          </w:p>
        </w:tc>
        <w:tc>
          <w:tcPr>
            <w:tcW w:w="1701"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2027</w:t>
            </w:r>
          </w:p>
        </w:tc>
      </w:tr>
      <w:tr w:rsidR="000F7627">
        <w:trPr>
          <w:jc w:val="center"/>
        </w:trPr>
        <w:tc>
          <w:tcPr>
            <w:tcW w:w="2227" w:type="dxa"/>
            <w:shd w:val="clear" w:color="auto" w:fill="auto"/>
            <w:vAlign w:val="center"/>
          </w:tcPr>
          <w:p w:rsidR="000F7627" w:rsidRDefault="00BF4D56">
            <w:pPr>
              <w:pStyle w:val="Prrafodelista"/>
              <w:tabs>
                <w:tab w:val="left" w:pos="0"/>
                <w:tab w:val="left" w:pos="540"/>
              </w:tabs>
              <w:ind w:left="0"/>
              <w:jc w:val="center"/>
              <w:rPr>
                <w:rFonts w:ascii="Arial" w:hAnsi="Arial" w:cs="Arial"/>
              </w:rPr>
            </w:pPr>
            <w:r>
              <w:rPr>
                <w:rFonts w:ascii="Arial" w:hAnsi="Arial" w:cs="Arial"/>
              </w:rPr>
              <w:t>Presentación Plan en Consejo Científico</w:t>
            </w:r>
          </w:p>
        </w:tc>
        <w:tc>
          <w:tcPr>
            <w:tcW w:w="1036" w:type="dxa"/>
            <w:shd w:val="clear" w:color="auto" w:fill="auto"/>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jc w:val="center"/>
        </w:trPr>
        <w:tc>
          <w:tcPr>
            <w:tcW w:w="2227" w:type="dxa"/>
            <w:shd w:val="clear" w:color="auto" w:fill="auto"/>
            <w:vAlign w:val="center"/>
          </w:tcPr>
          <w:p w:rsidR="000F7627" w:rsidRDefault="00BF4D56">
            <w:pPr>
              <w:pStyle w:val="Prrafodelista"/>
              <w:tabs>
                <w:tab w:val="left" w:pos="0"/>
                <w:tab w:val="left" w:pos="540"/>
              </w:tabs>
              <w:ind w:left="0"/>
              <w:jc w:val="center"/>
              <w:rPr>
                <w:rFonts w:ascii="Arial" w:hAnsi="Arial" w:cs="Arial"/>
              </w:rPr>
            </w:pPr>
            <w:r>
              <w:rPr>
                <w:rFonts w:ascii="Arial" w:hAnsi="Arial" w:cs="Arial"/>
                <w:lang w:val="es-MX"/>
              </w:rPr>
              <w:t>Matricular en el doctorado (INCA)</w:t>
            </w:r>
          </w:p>
        </w:tc>
        <w:tc>
          <w:tcPr>
            <w:tcW w:w="1036" w:type="dxa"/>
            <w:shd w:val="clear" w:color="auto" w:fill="auto"/>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trHeight w:val="90"/>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Objetivo 1</w:t>
            </w:r>
          </w:p>
        </w:tc>
        <w:tc>
          <w:tcPr>
            <w:tcW w:w="1036" w:type="dxa"/>
            <w:shd w:val="clear" w:color="auto" w:fill="auto"/>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043"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trHeight w:val="486"/>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Objetivo 2</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Objetivo 3</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417"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jc w:val="center"/>
        </w:trPr>
        <w:tc>
          <w:tcPr>
            <w:tcW w:w="2227" w:type="dxa"/>
            <w:shd w:val="clear" w:color="auto" w:fill="auto"/>
            <w:vAlign w:val="center"/>
          </w:tcPr>
          <w:p w:rsidR="000F7627" w:rsidRDefault="00BF4D56">
            <w:pPr>
              <w:pStyle w:val="Prrafodelista"/>
              <w:tabs>
                <w:tab w:val="left" w:pos="0"/>
                <w:tab w:val="left" w:pos="540"/>
              </w:tabs>
              <w:ind w:left="0"/>
              <w:jc w:val="center"/>
              <w:rPr>
                <w:rFonts w:ascii="Arial" w:hAnsi="Arial" w:cs="Arial"/>
                <w:highlight w:val="yellow"/>
              </w:rPr>
            </w:pPr>
            <w:r>
              <w:rPr>
                <w:rFonts w:ascii="Arial" w:hAnsi="Arial" w:cs="Arial"/>
              </w:rPr>
              <w:t>Examen de Idioma</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jc w:val="center"/>
        </w:trPr>
        <w:tc>
          <w:tcPr>
            <w:tcW w:w="2227" w:type="dxa"/>
            <w:shd w:val="clear" w:color="auto" w:fill="auto"/>
            <w:vAlign w:val="center"/>
          </w:tcPr>
          <w:p w:rsidR="000F7627" w:rsidRDefault="00BF4D56">
            <w:pPr>
              <w:pStyle w:val="Prrafodelista"/>
              <w:tabs>
                <w:tab w:val="left" w:pos="0"/>
                <w:tab w:val="left" w:pos="540"/>
              </w:tabs>
              <w:ind w:left="0"/>
              <w:jc w:val="center"/>
              <w:rPr>
                <w:rFonts w:ascii="Arial" w:hAnsi="Arial" w:cs="Arial"/>
              </w:rPr>
            </w:pPr>
            <w:r>
              <w:rPr>
                <w:rFonts w:ascii="Arial" w:hAnsi="Arial" w:cs="Arial"/>
              </w:rPr>
              <w:t>Examen de Problemas Sociales</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trHeight w:val="113"/>
          <w:jc w:val="center"/>
        </w:trPr>
        <w:tc>
          <w:tcPr>
            <w:tcW w:w="2227" w:type="dxa"/>
            <w:shd w:val="clear" w:color="auto" w:fill="auto"/>
            <w:vAlign w:val="center"/>
          </w:tcPr>
          <w:p w:rsidR="000F7627" w:rsidRDefault="00BF4D56">
            <w:pPr>
              <w:pStyle w:val="Prrafodelista"/>
              <w:tabs>
                <w:tab w:val="left" w:pos="0"/>
                <w:tab w:val="left" w:pos="540"/>
              </w:tabs>
              <w:ind w:left="0"/>
              <w:jc w:val="center"/>
              <w:rPr>
                <w:rFonts w:ascii="Arial" w:hAnsi="Arial" w:cs="Arial"/>
              </w:rPr>
            </w:pPr>
            <w:r>
              <w:rPr>
                <w:rFonts w:ascii="Arial" w:hAnsi="Arial" w:cs="Arial"/>
              </w:rPr>
              <w:t xml:space="preserve">Examen de </w:t>
            </w:r>
            <w:r>
              <w:rPr>
                <w:rFonts w:ascii="Arial" w:hAnsi="Arial" w:cs="Arial"/>
              </w:rPr>
              <w:lastRenderedPageBreak/>
              <w:t>Especialidad</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701" w:type="dxa"/>
            <w:vAlign w:val="center"/>
          </w:tcPr>
          <w:p w:rsidR="000F7627" w:rsidRDefault="000F7627">
            <w:pPr>
              <w:pStyle w:val="Prrafodelista"/>
              <w:tabs>
                <w:tab w:val="left" w:pos="0"/>
                <w:tab w:val="left" w:pos="540"/>
              </w:tabs>
              <w:ind w:left="0"/>
              <w:jc w:val="center"/>
              <w:rPr>
                <w:rFonts w:ascii="Arial" w:hAnsi="Arial" w:cs="Arial"/>
                <w:b/>
              </w:rPr>
            </w:pPr>
          </w:p>
        </w:tc>
      </w:tr>
      <w:tr w:rsidR="000F7627">
        <w:trPr>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lastRenderedPageBreak/>
              <w:t>Publicación de artículos científicos</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417"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701"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r>
      <w:tr w:rsidR="000F7627">
        <w:trPr>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Escritura de documento de tesis</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c>
          <w:tcPr>
            <w:tcW w:w="1701"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X</w:t>
            </w:r>
          </w:p>
        </w:tc>
      </w:tr>
      <w:tr w:rsidR="000F7627">
        <w:trPr>
          <w:trHeight w:val="991"/>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Predefensa comisión departamento</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Mayo</w:t>
            </w:r>
          </w:p>
        </w:tc>
      </w:tr>
      <w:tr w:rsidR="000F7627">
        <w:trPr>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Predefensa en consejo científico</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Septiembre</w:t>
            </w:r>
          </w:p>
        </w:tc>
      </w:tr>
      <w:tr w:rsidR="000F7627">
        <w:trPr>
          <w:jc w:val="center"/>
        </w:trPr>
        <w:tc>
          <w:tcPr>
            <w:tcW w:w="2227" w:type="dxa"/>
            <w:shd w:val="clear" w:color="auto" w:fill="auto"/>
            <w:vAlign w:val="center"/>
          </w:tcPr>
          <w:p w:rsidR="000F7627" w:rsidRDefault="00BF4D56">
            <w:pPr>
              <w:pStyle w:val="Prrafodelista"/>
              <w:tabs>
                <w:tab w:val="left" w:pos="0"/>
              </w:tabs>
              <w:ind w:left="0"/>
              <w:jc w:val="center"/>
              <w:rPr>
                <w:rFonts w:ascii="Arial" w:hAnsi="Arial" w:cs="Arial"/>
              </w:rPr>
            </w:pPr>
            <w:r>
              <w:rPr>
                <w:rFonts w:ascii="Arial" w:hAnsi="Arial" w:cs="Arial"/>
              </w:rPr>
              <w:t>Defensa final</w:t>
            </w:r>
          </w:p>
        </w:tc>
        <w:tc>
          <w:tcPr>
            <w:tcW w:w="1036" w:type="dxa"/>
            <w:shd w:val="clear" w:color="auto" w:fill="auto"/>
            <w:vAlign w:val="center"/>
          </w:tcPr>
          <w:p w:rsidR="000F7627" w:rsidRDefault="000F7627">
            <w:pPr>
              <w:pStyle w:val="Prrafodelista"/>
              <w:tabs>
                <w:tab w:val="left" w:pos="0"/>
                <w:tab w:val="left" w:pos="540"/>
              </w:tabs>
              <w:ind w:left="0"/>
              <w:jc w:val="center"/>
              <w:rPr>
                <w:rFonts w:ascii="Arial" w:hAnsi="Arial" w:cs="Arial"/>
                <w:b/>
              </w:rPr>
            </w:pPr>
          </w:p>
        </w:tc>
        <w:tc>
          <w:tcPr>
            <w:tcW w:w="1043" w:type="dxa"/>
            <w:vAlign w:val="center"/>
          </w:tcPr>
          <w:p w:rsidR="000F7627" w:rsidRDefault="000F7627">
            <w:pPr>
              <w:pStyle w:val="Prrafodelista"/>
              <w:tabs>
                <w:tab w:val="left" w:pos="0"/>
                <w:tab w:val="left" w:pos="540"/>
              </w:tabs>
              <w:ind w:left="0"/>
              <w:jc w:val="center"/>
              <w:rPr>
                <w:rFonts w:ascii="Arial" w:hAnsi="Arial" w:cs="Arial"/>
                <w:b/>
              </w:rPr>
            </w:pPr>
          </w:p>
        </w:tc>
        <w:tc>
          <w:tcPr>
            <w:tcW w:w="1417" w:type="dxa"/>
            <w:vAlign w:val="center"/>
          </w:tcPr>
          <w:p w:rsidR="000F7627" w:rsidRDefault="000F7627">
            <w:pPr>
              <w:pStyle w:val="Prrafodelista"/>
              <w:tabs>
                <w:tab w:val="left" w:pos="0"/>
                <w:tab w:val="left" w:pos="540"/>
              </w:tabs>
              <w:ind w:left="0"/>
              <w:jc w:val="center"/>
              <w:rPr>
                <w:rFonts w:ascii="Arial" w:hAnsi="Arial" w:cs="Arial"/>
                <w:b/>
              </w:rPr>
            </w:pPr>
          </w:p>
        </w:tc>
        <w:tc>
          <w:tcPr>
            <w:tcW w:w="1701" w:type="dxa"/>
            <w:vAlign w:val="center"/>
          </w:tcPr>
          <w:p w:rsidR="000F7627" w:rsidRDefault="00BF4D56">
            <w:pPr>
              <w:pStyle w:val="Prrafodelista"/>
              <w:tabs>
                <w:tab w:val="left" w:pos="0"/>
                <w:tab w:val="left" w:pos="540"/>
              </w:tabs>
              <w:ind w:left="0"/>
              <w:jc w:val="center"/>
              <w:rPr>
                <w:rFonts w:ascii="Arial" w:hAnsi="Arial" w:cs="Arial"/>
                <w:b/>
              </w:rPr>
            </w:pPr>
            <w:r>
              <w:rPr>
                <w:rFonts w:ascii="Arial" w:hAnsi="Arial" w:cs="Arial"/>
                <w:b/>
              </w:rPr>
              <w:t>Diciembre</w:t>
            </w:r>
          </w:p>
        </w:tc>
      </w:tr>
    </w:tbl>
    <w:p w:rsidR="000F7627" w:rsidRDefault="000F7627">
      <w:pPr>
        <w:jc w:val="both"/>
        <w:rPr>
          <w:sz w:val="24"/>
          <w:szCs w:val="24"/>
          <w:lang w:val="es-ES"/>
        </w:rPr>
      </w:pPr>
    </w:p>
    <w:p w:rsidR="000F7627" w:rsidRDefault="000F7627">
      <w:pPr>
        <w:jc w:val="both"/>
        <w:rPr>
          <w:sz w:val="24"/>
          <w:szCs w:val="24"/>
          <w:lang w:val="es-ES"/>
        </w:rPr>
      </w:pPr>
    </w:p>
    <w:sectPr w:rsidR="000F7627">
      <w:pgSz w:w="11906" w:h="16838"/>
      <w:pgMar w:top="1134" w:right="1701" w:bottom="993" w:left="1701"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2711D6E" w15:done="0"/>
  <w15:commentEx w15:paraId="1AA901DA" w15:done="0"/>
  <w15:commentEx w15:paraId="51E5F660" w15:done="0"/>
  <w15:commentEx w15:paraId="79771A68" w15:done="0"/>
  <w15:commentEx w15:paraId="05370D04" w15:done="0"/>
  <w15:commentEx w15:paraId="69B43E3D" w15:done="0"/>
  <w15:commentEx w15:paraId="08710DB4" w15:done="0"/>
  <w15:commentEx w15:paraId="5D7C051E" w15:done="0"/>
  <w15:commentEx w15:paraId="514F81A1" w15:done="0"/>
  <w15:commentEx w15:paraId="5F451979" w15:done="0"/>
  <w15:commentEx w15:paraId="463B36AB" w15:done="0"/>
  <w15:commentEx w15:paraId="7C7212C3" w15:done="0"/>
  <w15:commentEx w15:paraId="33021885" w15:done="0"/>
  <w15:commentEx w15:paraId="09E2CCC8" w15:done="0"/>
  <w15:commentEx w15:paraId="43F9B07C" w15:done="0"/>
  <w15:commentEx w15:paraId="57CC58C4" w15:done="0"/>
  <w15:commentEx w15:paraId="2A72F479" w15:done="0"/>
  <w15:commentEx w15:paraId="7E5470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716" w:rsidRDefault="00B25716">
      <w:pPr>
        <w:spacing w:line="240" w:lineRule="auto"/>
      </w:pPr>
      <w:r>
        <w:separator/>
      </w:r>
    </w:p>
  </w:endnote>
  <w:endnote w:type="continuationSeparator" w:id="0">
    <w:p w:rsidR="00B25716" w:rsidRDefault="00B257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716" w:rsidRDefault="00B25716">
      <w:pPr>
        <w:spacing w:after="0"/>
      </w:pPr>
      <w:r>
        <w:separator/>
      </w:r>
    </w:p>
  </w:footnote>
  <w:footnote w:type="continuationSeparator" w:id="0">
    <w:p w:rsidR="00B25716" w:rsidRDefault="00B2571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BF205925"/>
    <w:multiLevelType w:val="multilevel"/>
    <w:tmpl w:val="BF205925"/>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CF092B84"/>
    <w:multiLevelType w:val="multilevel"/>
    <w:tmpl w:val="CF092B84"/>
    <w:lvl w:ilvl="0">
      <w:start w:val="1"/>
      <w:numFmt w:val="bullet"/>
      <w:lvlText w:val=""/>
      <w:lvlJc w:val="left"/>
      <w:pPr>
        <w:ind w:left="50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053208E"/>
    <w:multiLevelType w:val="multilevel"/>
    <w:tmpl w:val="005320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3D62ECE"/>
    <w:multiLevelType w:val="multilevel"/>
    <w:tmpl w:val="03D62E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9ADCABA"/>
    <w:multiLevelType w:val="multilevel"/>
    <w:tmpl w:val="59ADCAB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APIN">
    <w15:presenceInfo w15:providerId="None" w15:userId="PAP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179"/>
    <w:rsid w:val="000205AD"/>
    <w:rsid w:val="000437FF"/>
    <w:rsid w:val="000C1AE1"/>
    <w:rsid w:val="000C1FA2"/>
    <w:rsid w:val="000E1FED"/>
    <w:rsid w:val="000F7627"/>
    <w:rsid w:val="0010084A"/>
    <w:rsid w:val="0010171F"/>
    <w:rsid w:val="00244516"/>
    <w:rsid w:val="0036707E"/>
    <w:rsid w:val="003C285C"/>
    <w:rsid w:val="00447390"/>
    <w:rsid w:val="00462C0F"/>
    <w:rsid w:val="004E6D0F"/>
    <w:rsid w:val="00527590"/>
    <w:rsid w:val="005A43D1"/>
    <w:rsid w:val="00607D43"/>
    <w:rsid w:val="00643F0E"/>
    <w:rsid w:val="00647883"/>
    <w:rsid w:val="00667A20"/>
    <w:rsid w:val="006710E5"/>
    <w:rsid w:val="006D4179"/>
    <w:rsid w:val="007103EF"/>
    <w:rsid w:val="00765F0C"/>
    <w:rsid w:val="00765F16"/>
    <w:rsid w:val="007851A0"/>
    <w:rsid w:val="0081693F"/>
    <w:rsid w:val="008834CC"/>
    <w:rsid w:val="008919EA"/>
    <w:rsid w:val="00901C6A"/>
    <w:rsid w:val="00A033EB"/>
    <w:rsid w:val="00A06FCE"/>
    <w:rsid w:val="00A32B5C"/>
    <w:rsid w:val="00AB2E82"/>
    <w:rsid w:val="00AE770D"/>
    <w:rsid w:val="00B25716"/>
    <w:rsid w:val="00B43BA0"/>
    <w:rsid w:val="00B61263"/>
    <w:rsid w:val="00BD288E"/>
    <w:rsid w:val="00BF4D56"/>
    <w:rsid w:val="00C11AB8"/>
    <w:rsid w:val="00C617D9"/>
    <w:rsid w:val="00D34D37"/>
    <w:rsid w:val="00D47B38"/>
    <w:rsid w:val="00D57D43"/>
    <w:rsid w:val="00D67C65"/>
    <w:rsid w:val="00D70CEC"/>
    <w:rsid w:val="00D902AB"/>
    <w:rsid w:val="00E02A74"/>
    <w:rsid w:val="00E4606B"/>
    <w:rsid w:val="00EA231A"/>
    <w:rsid w:val="00ED5D88"/>
    <w:rsid w:val="00EE4266"/>
    <w:rsid w:val="00EF30BF"/>
    <w:rsid w:val="00F13066"/>
    <w:rsid w:val="00F42D1E"/>
    <w:rsid w:val="00FA1F7F"/>
    <w:rsid w:val="00FB5EE2"/>
    <w:rsid w:val="00FE20F8"/>
    <w:rsid w:val="00FF55FE"/>
    <w:rsid w:val="1FC221F6"/>
    <w:rsid w:val="3F576D32"/>
    <w:rsid w:val="6F2D35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semiHidden="1" w:uiPriority="99" w:unhideWhenUsed="1" w:qFormat="1"/>
    <w:lsdException w:name="annotation text" w:uiPriority="99" w:qFormat="1"/>
    <w:lsdException w:name="caption" w:semiHidden="1" w:unhideWhenUsed="1" w:qFormat="1"/>
    <w:lsdException w:name="envelope address" w:uiPriority="99" w:unhideWhenUsed="1" w:qFormat="1"/>
    <w:lsdException w:name="envelope return" w:uiPriority="99" w:unhideWhenUsed="1" w:qFormat="1"/>
    <w:lsdException w:name="footnote reference" w:semiHidden="1" w:uiPriority="99" w:unhideWhenUsed="1" w:qFormat="1"/>
    <w:lsdException w:name="annotation reference" w:semiHidden="1" w:uiPriority="99" w:qFormat="1"/>
    <w:lsdException w:name="endnote reference" w:semiHidden="1" w:uiPriority="99" w:unhideWhenUsed="1" w:qFormat="1"/>
    <w:lsdException w:name="endnote text" w:semiHidden="1" w:uiPriority="99" w:unhideWhenUsed="1" w:qFormat="1"/>
    <w:lsdException w:name="Title" w:uiPriority="10" w:qFormat="1"/>
    <w:lsdException w:name="Default Paragraph Font" w:semiHidden="1" w:uiPriority="1" w:unhideWhenUsed="1" w:qFormat="1"/>
    <w:lsdException w:name="Body Text" w:uiPriority="99" w:qFormat="1"/>
    <w:lsdException w:name="Subtitle" w:uiPriority="11" w:qFormat="1"/>
    <w:lsdException w:name="Body Text 3" w:qFormat="1"/>
    <w:lsdException w:name="Hyperlink" w:semiHidden="1" w:uiPriority="99" w:qFormat="1"/>
    <w:lsdException w:name="Strong" w:uiPriority="22" w:qFormat="1"/>
    <w:lsdException w:name="Emphasis" w:uiPriority="20" w:qFormat="1"/>
    <w:lsdException w:name="Plain Text" w:semiHidden="1" w:uiPriority="99" w:unhideWhenUsed="1" w:qFormat="1"/>
    <w:lsdException w:name="HTML Top of Form" w:semiHidden="1" w:uiPriority="99" w:unhideWhenUsed="1"/>
    <w:lsdException w:name="HTML Bottom of Form" w:semiHidden="1" w:uiPriority="99" w:unhideWhenUsed="1"/>
    <w:lsdException w:name="Normal (Web)" w:semiHidden="1" w:uiPriority="99" w:qFormat="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sz w:val="22"/>
      <w:szCs w:val="22"/>
      <w:lang w:val="es-MX" w:eastAsia="en-US"/>
    </w:rPr>
  </w:style>
  <w:style w:type="paragraph" w:styleId="Ttulo1">
    <w:name w:val="heading 1"/>
    <w:basedOn w:val="Normal"/>
    <w:next w:val="Normal"/>
    <w:link w:val="Ttulo1Car"/>
    <w:uiPriority w:val="9"/>
    <w:qFormat/>
    <w:pPr>
      <w:keepNext/>
      <w:keepLines/>
      <w:spacing w:before="480" w:after="0"/>
      <w:outlineLvl w:val="0"/>
    </w:pPr>
    <w:rPr>
      <w:rFonts w:ascii="Calibri Light" w:eastAsia="Yu Gothic Light" w:hAnsi="Calibri Light"/>
      <w:b/>
      <w:bCs/>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rFonts w:ascii="Calibri Light" w:eastAsia="Yu Gothic Light" w:hAnsi="Calibri Light"/>
      <w:b/>
      <w:bCs/>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Calibri Light" w:eastAsia="Yu Gothic Light" w:hAnsi="Calibri Light"/>
      <w:b/>
      <w:bCs/>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rFonts w:ascii="Calibri Light" w:eastAsia="Yu Gothic Light" w:hAnsi="Calibri Light"/>
      <w:b/>
      <w:bCs/>
      <w:i/>
      <w:iCs/>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rFonts w:ascii="Calibri Light" w:eastAsia="Yu Gothic Light" w:hAnsi="Calibri Light"/>
      <w:color w:val="1F3763"/>
    </w:rPr>
  </w:style>
  <w:style w:type="paragraph" w:styleId="Ttulo6">
    <w:name w:val="heading 6"/>
    <w:basedOn w:val="Normal"/>
    <w:next w:val="Normal"/>
    <w:link w:val="Ttulo6Car"/>
    <w:uiPriority w:val="9"/>
    <w:semiHidden/>
    <w:unhideWhenUsed/>
    <w:qFormat/>
    <w:pPr>
      <w:keepNext/>
      <w:keepLines/>
      <w:spacing w:before="200" w:after="0"/>
      <w:outlineLvl w:val="5"/>
    </w:pPr>
    <w:rPr>
      <w:rFonts w:ascii="Calibri Light" w:eastAsia="Yu Gothic Light" w:hAnsi="Calibri Light"/>
      <w:i/>
      <w:iCs/>
      <w:color w:val="1F37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Calibri Light" w:eastAsia="Yu Gothic Light" w:hAnsi="Calibri Light"/>
      <w:i/>
      <w:iCs/>
      <w:color w:val="404040"/>
    </w:rPr>
  </w:style>
  <w:style w:type="paragraph" w:styleId="Ttulo8">
    <w:name w:val="heading 8"/>
    <w:basedOn w:val="Normal"/>
    <w:next w:val="Normal"/>
    <w:link w:val="Ttulo8Car"/>
    <w:uiPriority w:val="9"/>
    <w:semiHidden/>
    <w:unhideWhenUsed/>
    <w:qFormat/>
    <w:pPr>
      <w:keepNext/>
      <w:keepLines/>
      <w:spacing w:before="200" w:after="0"/>
      <w:outlineLvl w:val="7"/>
    </w:pPr>
    <w:rPr>
      <w:rFonts w:ascii="Calibri Light" w:eastAsia="Yu Gothic Light" w:hAnsi="Calibri Light"/>
      <w:color w:val="404040"/>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Calibri Light" w:eastAsia="Yu Gothic Light" w:hAnsi="Calibri Light"/>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qFormat/>
    <w:rPr>
      <w:vertAlign w:val="superscript"/>
    </w:rPr>
  </w:style>
  <w:style w:type="character" w:styleId="Refdecomentario">
    <w:name w:val="annotation reference"/>
    <w:uiPriority w:val="99"/>
    <w:semiHidden/>
    <w:qFormat/>
    <w:rPr>
      <w:sz w:val="16"/>
      <w:szCs w:val="16"/>
    </w:rPr>
  </w:style>
  <w:style w:type="character" w:styleId="Refdenotaalpie">
    <w:name w:val="footnote reference"/>
    <w:uiPriority w:val="99"/>
    <w:semiHidden/>
    <w:unhideWhenUsed/>
    <w:qFormat/>
    <w:rPr>
      <w:vertAlign w:val="superscript"/>
    </w:rPr>
  </w:style>
  <w:style w:type="character" w:styleId="nfasis">
    <w:name w:val="Emphasis"/>
    <w:uiPriority w:val="20"/>
    <w:qFormat/>
    <w:rPr>
      <w:i/>
      <w:iCs/>
    </w:rPr>
  </w:style>
  <w:style w:type="character" w:styleId="Hipervnculo">
    <w:name w:val="Hyperlink"/>
    <w:uiPriority w:val="99"/>
    <w:semiHidden/>
    <w:qFormat/>
    <w:rPr>
      <w:color w:val="0000FF"/>
      <w:u w:val="single"/>
    </w:rPr>
  </w:style>
  <w:style w:type="character" w:styleId="Textoennegrita">
    <w:name w:val="Strong"/>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Textonotaalfinal">
    <w:name w:val="endnote text"/>
    <w:basedOn w:val="Normal"/>
    <w:link w:val="TextonotaalfinalCar"/>
    <w:uiPriority w:val="99"/>
    <w:semiHidden/>
    <w:unhideWhenUsed/>
    <w:qFormat/>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qFormat/>
    <w:rPr>
      <w:b/>
      <w:bCs/>
    </w:rPr>
  </w:style>
  <w:style w:type="paragraph" w:styleId="Textocomentario">
    <w:name w:val="annotation text"/>
    <w:basedOn w:val="Normal"/>
    <w:link w:val="TextocomentarioCar"/>
    <w:uiPriority w:val="99"/>
    <w:qFormat/>
    <w:rPr>
      <w:sz w:val="20"/>
      <w:szCs w:val="20"/>
    </w:rPr>
  </w:style>
  <w:style w:type="paragraph" w:styleId="Textodeglobo">
    <w:name w:val="Balloon Text"/>
    <w:basedOn w:val="Normal"/>
    <w:link w:val="TextodegloboCar"/>
    <w:uiPriority w:val="99"/>
    <w:semiHidden/>
    <w:qFormat/>
    <w:pPr>
      <w:spacing w:after="0" w:line="240" w:lineRule="auto"/>
    </w:pPr>
    <w:rPr>
      <w:rFonts w:ascii="Segoe UI" w:hAnsi="Segoe UI" w:cs="Segoe UI"/>
      <w:sz w:val="18"/>
      <w:szCs w:val="18"/>
    </w:rPr>
  </w:style>
  <w:style w:type="paragraph" w:styleId="Remitedesobre">
    <w:name w:val="envelope return"/>
    <w:basedOn w:val="Normal"/>
    <w:uiPriority w:val="99"/>
    <w:unhideWhenUsed/>
    <w:qFormat/>
    <w:pPr>
      <w:spacing w:after="0" w:line="240" w:lineRule="auto"/>
    </w:pPr>
    <w:rPr>
      <w:rFonts w:ascii="Calibri Light" w:eastAsia="Yu Gothic Light" w:hAnsi="Calibri Light"/>
      <w:sz w:val="20"/>
    </w:rPr>
  </w:style>
  <w:style w:type="paragraph" w:styleId="Direccinsobre">
    <w:name w:val="envelope address"/>
    <w:basedOn w:val="Normal"/>
    <w:uiPriority w:val="99"/>
    <w:unhideWhenUsed/>
    <w:qFormat/>
    <w:pPr>
      <w:spacing w:after="0" w:line="240" w:lineRule="auto"/>
      <w:ind w:left="2880"/>
    </w:pPr>
    <w:rPr>
      <w:rFonts w:ascii="Calibri Light" w:eastAsia="Yu Gothic Light" w:hAnsi="Calibri Light"/>
      <w:sz w:val="24"/>
    </w:rPr>
  </w:style>
  <w:style w:type="paragraph" w:styleId="NormalWeb">
    <w:name w:val="Normal (Web)"/>
    <w:basedOn w:val="Normal"/>
    <w:uiPriority w:val="99"/>
    <w:semiHidden/>
    <w:qFormat/>
    <w:pPr>
      <w:spacing w:before="100" w:after="100"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uiPriority w:val="11"/>
    <w:qFormat/>
    <w:rPr>
      <w:rFonts w:ascii="Calibri Light" w:eastAsia="Yu Gothic Light" w:hAnsi="Calibri Light"/>
      <w:i/>
      <w:iCs/>
      <w:color w:val="4472C4"/>
      <w:spacing w:val="15"/>
      <w:sz w:val="24"/>
      <w:szCs w:val="24"/>
    </w:rPr>
  </w:style>
  <w:style w:type="paragraph" w:styleId="Textoindependiente">
    <w:name w:val="Body Text"/>
    <w:basedOn w:val="Normal"/>
    <w:link w:val="TextoindependienteCar"/>
    <w:uiPriority w:val="99"/>
    <w:qFormat/>
    <w:pPr>
      <w:spacing w:after="120" w:line="240" w:lineRule="auto"/>
    </w:pPr>
    <w:rPr>
      <w:rFonts w:ascii="Times New Roman" w:eastAsia="Times New Roman" w:hAnsi="Times New Roman"/>
      <w:sz w:val="24"/>
      <w:szCs w:val="24"/>
      <w:lang w:val="en-US"/>
    </w:rPr>
  </w:style>
  <w:style w:type="paragraph" w:styleId="Textoindependiente3">
    <w:name w:val="Body Text 3"/>
    <w:basedOn w:val="Normal"/>
    <w:link w:val="Textoindependiente3Car"/>
    <w:qFormat/>
    <w:pPr>
      <w:spacing w:after="0" w:line="360" w:lineRule="atLeast"/>
      <w:jc w:val="center"/>
    </w:pPr>
    <w:rPr>
      <w:rFonts w:ascii="Arial" w:eastAsia="Times New Roman" w:hAnsi="Arial" w:cs="Arial"/>
      <w:sz w:val="24"/>
      <w:szCs w:val="24"/>
      <w:lang w:val="es-ES"/>
    </w:rPr>
  </w:style>
  <w:style w:type="paragraph" w:styleId="Textosinformato">
    <w:name w:val="Plain Text"/>
    <w:basedOn w:val="Normal"/>
    <w:link w:val="TextosinformatoCar"/>
    <w:uiPriority w:val="99"/>
    <w:semiHidden/>
    <w:unhideWhenUsed/>
    <w:qFormat/>
    <w:pPr>
      <w:spacing w:after="0" w:line="240" w:lineRule="auto"/>
    </w:pPr>
    <w:rPr>
      <w:rFonts w:ascii="Courier New" w:hAnsi="Courier New" w:cs="Courier New"/>
      <w:sz w:val="21"/>
      <w:szCs w:val="21"/>
    </w:rPr>
  </w:style>
  <w:style w:type="paragraph" w:styleId="Ttulo">
    <w:name w:val="Title"/>
    <w:basedOn w:val="Normal"/>
    <w:next w:val="Normal"/>
    <w:link w:val="TtuloCar"/>
    <w:uiPriority w:val="10"/>
    <w:qFormat/>
    <w:pPr>
      <w:pBdr>
        <w:bottom w:val="single" w:sz="8" w:space="4" w:color="4472C4"/>
      </w:pBdr>
      <w:spacing w:after="300" w:line="240" w:lineRule="auto"/>
      <w:contextualSpacing/>
    </w:pPr>
    <w:rPr>
      <w:rFonts w:ascii="Calibri Light" w:eastAsia="Yu Gothic Light" w:hAnsi="Calibri Light"/>
      <w:color w:val="323E4F"/>
      <w:spacing w:val="5"/>
      <w:sz w:val="52"/>
      <w:szCs w:val="52"/>
    </w:rPr>
  </w:style>
  <w:style w:type="paragraph" w:styleId="Prrafodelista">
    <w:name w:val="List Paragraph"/>
    <w:basedOn w:val="Normal"/>
    <w:uiPriority w:val="34"/>
    <w:qFormat/>
    <w:pPr>
      <w:ind w:left="720"/>
    </w:pPr>
    <w:rPr>
      <w:lang w:val="es-ES"/>
    </w:rPr>
  </w:style>
  <w:style w:type="character" w:customStyle="1" w:styleId="Textoindependiente3Car">
    <w:name w:val="Texto independiente 3 Car"/>
    <w:link w:val="Textoindependiente3"/>
    <w:qFormat/>
    <w:rPr>
      <w:rFonts w:ascii="Arial" w:eastAsia="Times New Roman" w:hAnsi="Arial" w:cs="Arial"/>
      <w:sz w:val="24"/>
      <w:szCs w:val="24"/>
      <w:lang w:eastAsia="en-US"/>
    </w:rPr>
  </w:style>
  <w:style w:type="character" w:customStyle="1" w:styleId="TextoindependienteCar">
    <w:name w:val="Texto independiente Car"/>
    <w:link w:val="Textoindependiente"/>
    <w:uiPriority w:val="99"/>
    <w:qFormat/>
    <w:rPr>
      <w:rFonts w:ascii="Times New Roman" w:eastAsia="Times New Roman" w:hAnsi="Times New Roman"/>
      <w:sz w:val="24"/>
      <w:szCs w:val="24"/>
      <w:lang w:val="en-US"/>
    </w:rPr>
  </w:style>
  <w:style w:type="character" w:customStyle="1" w:styleId="TextocomentarioCar">
    <w:name w:val="Texto comentario Car"/>
    <w:link w:val="Textocomentario"/>
    <w:uiPriority w:val="99"/>
    <w:qFormat/>
    <w:rPr>
      <w:lang w:val="es-MX" w:eastAsia="en-US"/>
    </w:rPr>
  </w:style>
  <w:style w:type="character" w:customStyle="1" w:styleId="TextodegloboCar">
    <w:name w:val="Texto de globo Car"/>
    <w:link w:val="Textodeglobo"/>
    <w:uiPriority w:val="99"/>
    <w:semiHidden/>
    <w:qFormat/>
    <w:rPr>
      <w:rFonts w:ascii="Segoe UI" w:hAnsi="Segoe UI" w:cs="Segoe UI"/>
      <w:sz w:val="18"/>
      <w:szCs w:val="18"/>
      <w:lang w:val="es-MX" w:eastAsia="en-US"/>
    </w:rPr>
  </w:style>
  <w:style w:type="character" w:customStyle="1" w:styleId="AsuntodelcomentarioCar">
    <w:name w:val="Asunto del comentario Car"/>
    <w:link w:val="Asuntodelcomentario"/>
    <w:uiPriority w:val="99"/>
    <w:semiHidden/>
    <w:qFormat/>
    <w:rPr>
      <w:b/>
      <w:bCs/>
      <w:lang w:val="es-MX" w:eastAsia="en-US"/>
    </w:rPr>
  </w:style>
  <w:style w:type="paragraph" w:styleId="Sinespaciado">
    <w:name w:val="No Spacing"/>
    <w:uiPriority w:val="1"/>
    <w:qFormat/>
  </w:style>
  <w:style w:type="character" w:customStyle="1" w:styleId="Ttulo1Car">
    <w:name w:val="Título 1 Car"/>
    <w:link w:val="Ttulo1"/>
    <w:uiPriority w:val="9"/>
    <w:qFormat/>
    <w:rPr>
      <w:rFonts w:ascii="Calibri Light" w:eastAsia="Yu Gothic Light" w:hAnsi="Calibri Light" w:cs="Times New Roman"/>
      <w:b/>
      <w:bCs/>
      <w:color w:val="2F5496"/>
      <w:sz w:val="28"/>
      <w:szCs w:val="28"/>
    </w:rPr>
  </w:style>
  <w:style w:type="character" w:customStyle="1" w:styleId="Ttulo2Car">
    <w:name w:val="Título 2 Car"/>
    <w:link w:val="Ttulo2"/>
    <w:uiPriority w:val="9"/>
    <w:qFormat/>
    <w:rPr>
      <w:rFonts w:ascii="Calibri Light" w:eastAsia="Yu Gothic Light" w:hAnsi="Calibri Light" w:cs="Times New Roman"/>
      <w:b/>
      <w:bCs/>
      <w:color w:val="4472C4"/>
      <w:sz w:val="26"/>
      <w:szCs w:val="26"/>
    </w:rPr>
  </w:style>
  <w:style w:type="character" w:customStyle="1" w:styleId="Ttulo3Car">
    <w:name w:val="Título 3 Car"/>
    <w:link w:val="Ttulo3"/>
    <w:uiPriority w:val="9"/>
    <w:qFormat/>
    <w:rPr>
      <w:rFonts w:ascii="Calibri Light" w:eastAsia="Yu Gothic Light" w:hAnsi="Calibri Light" w:cs="Times New Roman"/>
      <w:b/>
      <w:bCs/>
      <w:color w:val="4472C4"/>
    </w:rPr>
  </w:style>
  <w:style w:type="character" w:customStyle="1" w:styleId="Ttulo4Car">
    <w:name w:val="Título 4 Car"/>
    <w:link w:val="Ttulo4"/>
    <w:uiPriority w:val="9"/>
    <w:qFormat/>
    <w:rPr>
      <w:rFonts w:ascii="Calibri Light" w:eastAsia="Yu Gothic Light" w:hAnsi="Calibri Light" w:cs="Times New Roman"/>
      <w:b/>
      <w:bCs/>
      <w:i/>
      <w:iCs/>
      <w:color w:val="4472C4"/>
    </w:rPr>
  </w:style>
  <w:style w:type="character" w:customStyle="1" w:styleId="Ttulo5Car">
    <w:name w:val="Título 5 Car"/>
    <w:link w:val="Ttulo5"/>
    <w:uiPriority w:val="9"/>
    <w:qFormat/>
    <w:rPr>
      <w:rFonts w:ascii="Calibri Light" w:eastAsia="Yu Gothic Light" w:hAnsi="Calibri Light" w:cs="Times New Roman"/>
      <w:color w:val="1F3763"/>
    </w:rPr>
  </w:style>
  <w:style w:type="character" w:customStyle="1" w:styleId="Ttulo6Car">
    <w:name w:val="Título 6 Car"/>
    <w:link w:val="Ttulo6"/>
    <w:uiPriority w:val="9"/>
    <w:qFormat/>
    <w:rPr>
      <w:rFonts w:ascii="Calibri Light" w:eastAsia="Yu Gothic Light" w:hAnsi="Calibri Light" w:cs="Times New Roman"/>
      <w:i/>
      <w:iCs/>
      <w:color w:val="1F3763"/>
    </w:rPr>
  </w:style>
  <w:style w:type="character" w:customStyle="1" w:styleId="Ttulo7Car">
    <w:name w:val="Título 7 Car"/>
    <w:link w:val="Ttulo7"/>
    <w:uiPriority w:val="9"/>
    <w:qFormat/>
    <w:rPr>
      <w:rFonts w:ascii="Calibri Light" w:eastAsia="Yu Gothic Light" w:hAnsi="Calibri Light" w:cs="Times New Roman"/>
      <w:i/>
      <w:iCs/>
      <w:color w:val="404040"/>
    </w:rPr>
  </w:style>
  <w:style w:type="character" w:customStyle="1" w:styleId="Ttulo8Car">
    <w:name w:val="Título 8 Car"/>
    <w:link w:val="Ttulo8"/>
    <w:uiPriority w:val="9"/>
    <w:qFormat/>
    <w:rPr>
      <w:rFonts w:ascii="Calibri Light" w:eastAsia="Yu Gothic Light" w:hAnsi="Calibri Light" w:cs="Times New Roman"/>
      <w:color w:val="404040"/>
      <w:sz w:val="20"/>
      <w:szCs w:val="20"/>
    </w:rPr>
  </w:style>
  <w:style w:type="character" w:customStyle="1" w:styleId="Ttulo9Car">
    <w:name w:val="Título 9 Car"/>
    <w:link w:val="Ttulo9"/>
    <w:uiPriority w:val="9"/>
    <w:qFormat/>
    <w:rPr>
      <w:rFonts w:ascii="Calibri Light" w:eastAsia="Yu Gothic Light" w:hAnsi="Calibri Light" w:cs="Times New Roman"/>
      <w:i/>
      <w:iCs/>
      <w:color w:val="404040"/>
      <w:sz w:val="20"/>
      <w:szCs w:val="20"/>
    </w:rPr>
  </w:style>
  <w:style w:type="character" w:customStyle="1" w:styleId="TtuloCar">
    <w:name w:val="Título Car"/>
    <w:link w:val="Ttulo"/>
    <w:uiPriority w:val="10"/>
    <w:rPr>
      <w:rFonts w:ascii="Calibri Light" w:eastAsia="Yu Gothic Light" w:hAnsi="Calibri Light" w:cs="Times New Roman"/>
      <w:color w:val="323E4F"/>
      <w:spacing w:val="5"/>
      <w:sz w:val="52"/>
      <w:szCs w:val="52"/>
    </w:rPr>
  </w:style>
  <w:style w:type="character" w:customStyle="1" w:styleId="SubttuloCar">
    <w:name w:val="Subtítulo Car"/>
    <w:link w:val="Subttulo"/>
    <w:uiPriority w:val="11"/>
    <w:qFormat/>
    <w:rPr>
      <w:rFonts w:ascii="Calibri Light" w:eastAsia="Yu Gothic Light" w:hAnsi="Calibri Light" w:cs="Times New Roman"/>
      <w:i/>
      <w:iCs/>
      <w:color w:val="4472C4"/>
      <w:spacing w:val="15"/>
      <w:sz w:val="24"/>
      <w:szCs w:val="24"/>
    </w:rPr>
  </w:style>
  <w:style w:type="character" w:customStyle="1" w:styleId="nfasissutil1">
    <w:name w:val="Énfasis sutil1"/>
    <w:uiPriority w:val="19"/>
    <w:qFormat/>
    <w:rPr>
      <w:i/>
      <w:iCs/>
      <w:color w:val="808080"/>
    </w:rPr>
  </w:style>
  <w:style w:type="character" w:customStyle="1" w:styleId="nfasisintenso1">
    <w:name w:val="Énfasis intenso1"/>
    <w:uiPriority w:val="21"/>
    <w:qFormat/>
    <w:rPr>
      <w:b/>
      <w:bCs/>
      <w:i/>
      <w:iCs/>
      <w:color w:val="4472C4"/>
    </w:rPr>
  </w:style>
  <w:style w:type="paragraph" w:styleId="Cita">
    <w:name w:val="Quote"/>
    <w:basedOn w:val="Normal"/>
    <w:next w:val="Normal"/>
    <w:link w:val="CitaCar"/>
    <w:uiPriority w:val="29"/>
    <w:qFormat/>
    <w:rPr>
      <w:i/>
      <w:iCs/>
      <w:color w:val="000000"/>
    </w:rPr>
  </w:style>
  <w:style w:type="character" w:customStyle="1" w:styleId="CitaCar">
    <w:name w:val="Cita Car"/>
    <w:link w:val="Cita"/>
    <w:uiPriority w:val="29"/>
    <w:rPr>
      <w:i/>
      <w:iCs/>
      <w:color w:val="000000"/>
    </w:rPr>
  </w:style>
  <w:style w:type="paragraph" w:styleId="Citadestacada">
    <w:name w:val="Intense Quote"/>
    <w:basedOn w:val="Normal"/>
    <w:next w:val="Normal"/>
    <w:link w:val="CitadestacadaCar"/>
    <w:uiPriority w:val="30"/>
    <w:qFormat/>
    <w:pPr>
      <w:pBdr>
        <w:bottom w:val="single" w:sz="4" w:space="4" w:color="4472C4"/>
      </w:pBdr>
      <w:spacing w:before="200" w:after="280"/>
      <w:ind w:left="936" w:right="936"/>
    </w:pPr>
    <w:rPr>
      <w:b/>
      <w:bCs/>
      <w:i/>
      <w:iCs/>
      <w:color w:val="4472C4"/>
    </w:rPr>
  </w:style>
  <w:style w:type="character" w:customStyle="1" w:styleId="CitadestacadaCar">
    <w:name w:val="Cita destacada Car"/>
    <w:link w:val="Citadestacada"/>
    <w:uiPriority w:val="30"/>
    <w:qFormat/>
    <w:rPr>
      <w:b/>
      <w:bCs/>
      <w:i/>
      <w:iCs/>
      <w:color w:val="4472C4"/>
    </w:rPr>
  </w:style>
  <w:style w:type="character" w:customStyle="1" w:styleId="Referenciasutil1">
    <w:name w:val="Referencia sutil1"/>
    <w:uiPriority w:val="31"/>
    <w:qFormat/>
    <w:rPr>
      <w:smallCaps/>
      <w:color w:val="ED7D31"/>
      <w:u w:val="single"/>
    </w:rPr>
  </w:style>
  <w:style w:type="character" w:customStyle="1" w:styleId="Referenciaintensa1">
    <w:name w:val="Referencia intensa1"/>
    <w:uiPriority w:val="32"/>
    <w:qFormat/>
    <w:rPr>
      <w:b/>
      <w:bCs/>
      <w:smallCaps/>
      <w:color w:val="ED7D31"/>
      <w:spacing w:val="5"/>
      <w:u w:val="single"/>
    </w:rPr>
  </w:style>
  <w:style w:type="character" w:customStyle="1" w:styleId="Ttulodellibro1">
    <w:name w:val="Título del libro1"/>
    <w:uiPriority w:val="33"/>
    <w:qFormat/>
    <w:rPr>
      <w:b/>
      <w:bCs/>
      <w:smallCaps/>
      <w:spacing w:val="5"/>
    </w:rPr>
  </w:style>
  <w:style w:type="character" w:customStyle="1" w:styleId="TextonotapieCar">
    <w:name w:val="Texto nota pie Car"/>
    <w:link w:val="Textonotapie"/>
    <w:uiPriority w:val="99"/>
    <w:semiHidden/>
    <w:qFormat/>
    <w:rPr>
      <w:sz w:val="20"/>
      <w:szCs w:val="20"/>
    </w:rPr>
  </w:style>
  <w:style w:type="character" w:customStyle="1" w:styleId="TextonotaalfinalCar">
    <w:name w:val="Texto nota al final Car"/>
    <w:link w:val="Textonotaalfinal"/>
    <w:uiPriority w:val="99"/>
    <w:semiHidden/>
    <w:qFormat/>
    <w:rPr>
      <w:sz w:val="20"/>
      <w:szCs w:val="20"/>
    </w:rPr>
  </w:style>
  <w:style w:type="character" w:customStyle="1" w:styleId="TextosinformatoCar">
    <w:name w:val="Texto sin formato Car"/>
    <w:link w:val="Textosinformato"/>
    <w:uiPriority w:val="99"/>
    <w:rPr>
      <w:rFonts w:ascii="Courier New" w:hAnsi="Courier New" w:cs="Courier New"/>
      <w:sz w:val="21"/>
      <w:szCs w:val="21"/>
    </w:rPr>
  </w:style>
  <w:style w:type="paragraph" w:styleId="Encabezado">
    <w:name w:val="header"/>
    <w:basedOn w:val="Normal"/>
    <w:link w:val="EncabezadoCar"/>
    <w:rsid w:val="00B43BA0"/>
    <w:pPr>
      <w:tabs>
        <w:tab w:val="center" w:pos="4252"/>
        <w:tab w:val="right" w:pos="8504"/>
      </w:tabs>
      <w:spacing w:after="0" w:line="240" w:lineRule="auto"/>
    </w:pPr>
  </w:style>
  <w:style w:type="character" w:customStyle="1" w:styleId="EncabezadoCar">
    <w:name w:val="Encabezado Car"/>
    <w:basedOn w:val="Fuentedeprrafopredeter"/>
    <w:link w:val="Encabezado"/>
    <w:rsid w:val="00B43BA0"/>
    <w:rPr>
      <w:sz w:val="22"/>
      <w:szCs w:val="22"/>
      <w:lang w:val="es-MX" w:eastAsia="en-US"/>
    </w:rPr>
  </w:style>
  <w:style w:type="paragraph" w:styleId="Piedepgina">
    <w:name w:val="footer"/>
    <w:basedOn w:val="Normal"/>
    <w:link w:val="PiedepginaCar"/>
    <w:rsid w:val="00B43BA0"/>
    <w:pPr>
      <w:tabs>
        <w:tab w:val="center" w:pos="4252"/>
        <w:tab w:val="right" w:pos="8504"/>
      </w:tabs>
      <w:spacing w:after="0" w:line="240" w:lineRule="auto"/>
    </w:pPr>
  </w:style>
  <w:style w:type="character" w:customStyle="1" w:styleId="PiedepginaCar">
    <w:name w:val="Pie de página Car"/>
    <w:basedOn w:val="Fuentedeprrafopredeter"/>
    <w:link w:val="Piedepgina"/>
    <w:rsid w:val="00B43BA0"/>
    <w:rPr>
      <w:sz w:val="22"/>
      <w:szCs w:val="22"/>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semiHidden="1" w:uiPriority="99" w:unhideWhenUsed="1" w:qFormat="1"/>
    <w:lsdException w:name="annotation text" w:uiPriority="99" w:qFormat="1"/>
    <w:lsdException w:name="caption" w:semiHidden="1" w:unhideWhenUsed="1" w:qFormat="1"/>
    <w:lsdException w:name="envelope address" w:uiPriority="99" w:unhideWhenUsed="1" w:qFormat="1"/>
    <w:lsdException w:name="envelope return" w:uiPriority="99" w:unhideWhenUsed="1" w:qFormat="1"/>
    <w:lsdException w:name="footnote reference" w:semiHidden="1" w:uiPriority="99" w:unhideWhenUsed="1" w:qFormat="1"/>
    <w:lsdException w:name="annotation reference" w:semiHidden="1" w:uiPriority="99" w:qFormat="1"/>
    <w:lsdException w:name="endnote reference" w:semiHidden="1" w:uiPriority="99" w:unhideWhenUsed="1" w:qFormat="1"/>
    <w:lsdException w:name="endnote text" w:semiHidden="1" w:uiPriority="99" w:unhideWhenUsed="1" w:qFormat="1"/>
    <w:lsdException w:name="Title" w:uiPriority="10" w:qFormat="1"/>
    <w:lsdException w:name="Default Paragraph Font" w:semiHidden="1" w:uiPriority="1" w:unhideWhenUsed="1" w:qFormat="1"/>
    <w:lsdException w:name="Body Text" w:uiPriority="99" w:qFormat="1"/>
    <w:lsdException w:name="Subtitle" w:uiPriority="11" w:qFormat="1"/>
    <w:lsdException w:name="Body Text 3" w:qFormat="1"/>
    <w:lsdException w:name="Hyperlink" w:semiHidden="1" w:uiPriority="99" w:qFormat="1"/>
    <w:lsdException w:name="Strong" w:uiPriority="22" w:qFormat="1"/>
    <w:lsdException w:name="Emphasis" w:uiPriority="20" w:qFormat="1"/>
    <w:lsdException w:name="Plain Text" w:semiHidden="1" w:uiPriority="99" w:unhideWhenUsed="1" w:qFormat="1"/>
    <w:lsdException w:name="HTML Top of Form" w:semiHidden="1" w:uiPriority="99" w:unhideWhenUsed="1"/>
    <w:lsdException w:name="HTML Bottom of Form" w:semiHidden="1" w:uiPriority="99" w:unhideWhenUsed="1"/>
    <w:lsdException w:name="Normal (Web)" w:semiHidden="1" w:uiPriority="99" w:qFormat="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sz w:val="22"/>
      <w:szCs w:val="22"/>
      <w:lang w:val="es-MX" w:eastAsia="en-US"/>
    </w:rPr>
  </w:style>
  <w:style w:type="paragraph" w:styleId="Ttulo1">
    <w:name w:val="heading 1"/>
    <w:basedOn w:val="Normal"/>
    <w:next w:val="Normal"/>
    <w:link w:val="Ttulo1Car"/>
    <w:uiPriority w:val="9"/>
    <w:qFormat/>
    <w:pPr>
      <w:keepNext/>
      <w:keepLines/>
      <w:spacing w:before="480" w:after="0"/>
      <w:outlineLvl w:val="0"/>
    </w:pPr>
    <w:rPr>
      <w:rFonts w:ascii="Calibri Light" w:eastAsia="Yu Gothic Light" w:hAnsi="Calibri Light"/>
      <w:b/>
      <w:bCs/>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rFonts w:ascii="Calibri Light" w:eastAsia="Yu Gothic Light" w:hAnsi="Calibri Light"/>
      <w:b/>
      <w:bCs/>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Calibri Light" w:eastAsia="Yu Gothic Light" w:hAnsi="Calibri Light"/>
      <w:b/>
      <w:bCs/>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rFonts w:ascii="Calibri Light" w:eastAsia="Yu Gothic Light" w:hAnsi="Calibri Light"/>
      <w:b/>
      <w:bCs/>
      <w:i/>
      <w:iCs/>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rFonts w:ascii="Calibri Light" w:eastAsia="Yu Gothic Light" w:hAnsi="Calibri Light"/>
      <w:color w:val="1F3763"/>
    </w:rPr>
  </w:style>
  <w:style w:type="paragraph" w:styleId="Ttulo6">
    <w:name w:val="heading 6"/>
    <w:basedOn w:val="Normal"/>
    <w:next w:val="Normal"/>
    <w:link w:val="Ttulo6Car"/>
    <w:uiPriority w:val="9"/>
    <w:semiHidden/>
    <w:unhideWhenUsed/>
    <w:qFormat/>
    <w:pPr>
      <w:keepNext/>
      <w:keepLines/>
      <w:spacing w:before="200" w:after="0"/>
      <w:outlineLvl w:val="5"/>
    </w:pPr>
    <w:rPr>
      <w:rFonts w:ascii="Calibri Light" w:eastAsia="Yu Gothic Light" w:hAnsi="Calibri Light"/>
      <w:i/>
      <w:iCs/>
      <w:color w:val="1F37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Calibri Light" w:eastAsia="Yu Gothic Light" w:hAnsi="Calibri Light"/>
      <w:i/>
      <w:iCs/>
      <w:color w:val="404040"/>
    </w:rPr>
  </w:style>
  <w:style w:type="paragraph" w:styleId="Ttulo8">
    <w:name w:val="heading 8"/>
    <w:basedOn w:val="Normal"/>
    <w:next w:val="Normal"/>
    <w:link w:val="Ttulo8Car"/>
    <w:uiPriority w:val="9"/>
    <w:semiHidden/>
    <w:unhideWhenUsed/>
    <w:qFormat/>
    <w:pPr>
      <w:keepNext/>
      <w:keepLines/>
      <w:spacing w:before="200" w:after="0"/>
      <w:outlineLvl w:val="7"/>
    </w:pPr>
    <w:rPr>
      <w:rFonts w:ascii="Calibri Light" w:eastAsia="Yu Gothic Light" w:hAnsi="Calibri Light"/>
      <w:color w:val="404040"/>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Calibri Light" w:eastAsia="Yu Gothic Light" w:hAnsi="Calibri Light"/>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qFormat/>
    <w:rPr>
      <w:vertAlign w:val="superscript"/>
    </w:rPr>
  </w:style>
  <w:style w:type="character" w:styleId="Refdecomentario">
    <w:name w:val="annotation reference"/>
    <w:uiPriority w:val="99"/>
    <w:semiHidden/>
    <w:qFormat/>
    <w:rPr>
      <w:sz w:val="16"/>
      <w:szCs w:val="16"/>
    </w:rPr>
  </w:style>
  <w:style w:type="character" w:styleId="Refdenotaalpie">
    <w:name w:val="footnote reference"/>
    <w:uiPriority w:val="99"/>
    <w:semiHidden/>
    <w:unhideWhenUsed/>
    <w:qFormat/>
    <w:rPr>
      <w:vertAlign w:val="superscript"/>
    </w:rPr>
  </w:style>
  <w:style w:type="character" w:styleId="nfasis">
    <w:name w:val="Emphasis"/>
    <w:uiPriority w:val="20"/>
    <w:qFormat/>
    <w:rPr>
      <w:i/>
      <w:iCs/>
    </w:rPr>
  </w:style>
  <w:style w:type="character" w:styleId="Hipervnculo">
    <w:name w:val="Hyperlink"/>
    <w:uiPriority w:val="99"/>
    <w:semiHidden/>
    <w:qFormat/>
    <w:rPr>
      <w:color w:val="0000FF"/>
      <w:u w:val="single"/>
    </w:rPr>
  </w:style>
  <w:style w:type="character" w:styleId="Textoennegrita">
    <w:name w:val="Strong"/>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Textonotaalfinal">
    <w:name w:val="endnote text"/>
    <w:basedOn w:val="Normal"/>
    <w:link w:val="TextonotaalfinalCar"/>
    <w:uiPriority w:val="99"/>
    <w:semiHidden/>
    <w:unhideWhenUsed/>
    <w:qFormat/>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qFormat/>
    <w:rPr>
      <w:b/>
      <w:bCs/>
    </w:rPr>
  </w:style>
  <w:style w:type="paragraph" w:styleId="Textocomentario">
    <w:name w:val="annotation text"/>
    <w:basedOn w:val="Normal"/>
    <w:link w:val="TextocomentarioCar"/>
    <w:uiPriority w:val="99"/>
    <w:qFormat/>
    <w:rPr>
      <w:sz w:val="20"/>
      <w:szCs w:val="20"/>
    </w:rPr>
  </w:style>
  <w:style w:type="paragraph" w:styleId="Textodeglobo">
    <w:name w:val="Balloon Text"/>
    <w:basedOn w:val="Normal"/>
    <w:link w:val="TextodegloboCar"/>
    <w:uiPriority w:val="99"/>
    <w:semiHidden/>
    <w:qFormat/>
    <w:pPr>
      <w:spacing w:after="0" w:line="240" w:lineRule="auto"/>
    </w:pPr>
    <w:rPr>
      <w:rFonts w:ascii="Segoe UI" w:hAnsi="Segoe UI" w:cs="Segoe UI"/>
      <w:sz w:val="18"/>
      <w:szCs w:val="18"/>
    </w:rPr>
  </w:style>
  <w:style w:type="paragraph" w:styleId="Remitedesobre">
    <w:name w:val="envelope return"/>
    <w:basedOn w:val="Normal"/>
    <w:uiPriority w:val="99"/>
    <w:unhideWhenUsed/>
    <w:qFormat/>
    <w:pPr>
      <w:spacing w:after="0" w:line="240" w:lineRule="auto"/>
    </w:pPr>
    <w:rPr>
      <w:rFonts w:ascii="Calibri Light" w:eastAsia="Yu Gothic Light" w:hAnsi="Calibri Light"/>
      <w:sz w:val="20"/>
    </w:rPr>
  </w:style>
  <w:style w:type="paragraph" w:styleId="Direccinsobre">
    <w:name w:val="envelope address"/>
    <w:basedOn w:val="Normal"/>
    <w:uiPriority w:val="99"/>
    <w:unhideWhenUsed/>
    <w:qFormat/>
    <w:pPr>
      <w:spacing w:after="0" w:line="240" w:lineRule="auto"/>
      <w:ind w:left="2880"/>
    </w:pPr>
    <w:rPr>
      <w:rFonts w:ascii="Calibri Light" w:eastAsia="Yu Gothic Light" w:hAnsi="Calibri Light"/>
      <w:sz w:val="24"/>
    </w:rPr>
  </w:style>
  <w:style w:type="paragraph" w:styleId="NormalWeb">
    <w:name w:val="Normal (Web)"/>
    <w:basedOn w:val="Normal"/>
    <w:uiPriority w:val="99"/>
    <w:semiHidden/>
    <w:qFormat/>
    <w:pPr>
      <w:spacing w:before="100" w:after="100"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uiPriority w:val="11"/>
    <w:qFormat/>
    <w:rPr>
      <w:rFonts w:ascii="Calibri Light" w:eastAsia="Yu Gothic Light" w:hAnsi="Calibri Light"/>
      <w:i/>
      <w:iCs/>
      <w:color w:val="4472C4"/>
      <w:spacing w:val="15"/>
      <w:sz w:val="24"/>
      <w:szCs w:val="24"/>
    </w:rPr>
  </w:style>
  <w:style w:type="paragraph" w:styleId="Textoindependiente">
    <w:name w:val="Body Text"/>
    <w:basedOn w:val="Normal"/>
    <w:link w:val="TextoindependienteCar"/>
    <w:uiPriority w:val="99"/>
    <w:qFormat/>
    <w:pPr>
      <w:spacing w:after="120" w:line="240" w:lineRule="auto"/>
    </w:pPr>
    <w:rPr>
      <w:rFonts w:ascii="Times New Roman" w:eastAsia="Times New Roman" w:hAnsi="Times New Roman"/>
      <w:sz w:val="24"/>
      <w:szCs w:val="24"/>
      <w:lang w:val="en-US"/>
    </w:rPr>
  </w:style>
  <w:style w:type="paragraph" w:styleId="Textoindependiente3">
    <w:name w:val="Body Text 3"/>
    <w:basedOn w:val="Normal"/>
    <w:link w:val="Textoindependiente3Car"/>
    <w:qFormat/>
    <w:pPr>
      <w:spacing w:after="0" w:line="360" w:lineRule="atLeast"/>
      <w:jc w:val="center"/>
    </w:pPr>
    <w:rPr>
      <w:rFonts w:ascii="Arial" w:eastAsia="Times New Roman" w:hAnsi="Arial" w:cs="Arial"/>
      <w:sz w:val="24"/>
      <w:szCs w:val="24"/>
      <w:lang w:val="es-ES"/>
    </w:rPr>
  </w:style>
  <w:style w:type="paragraph" w:styleId="Textosinformato">
    <w:name w:val="Plain Text"/>
    <w:basedOn w:val="Normal"/>
    <w:link w:val="TextosinformatoCar"/>
    <w:uiPriority w:val="99"/>
    <w:semiHidden/>
    <w:unhideWhenUsed/>
    <w:qFormat/>
    <w:pPr>
      <w:spacing w:after="0" w:line="240" w:lineRule="auto"/>
    </w:pPr>
    <w:rPr>
      <w:rFonts w:ascii="Courier New" w:hAnsi="Courier New" w:cs="Courier New"/>
      <w:sz w:val="21"/>
      <w:szCs w:val="21"/>
    </w:rPr>
  </w:style>
  <w:style w:type="paragraph" w:styleId="Ttulo">
    <w:name w:val="Title"/>
    <w:basedOn w:val="Normal"/>
    <w:next w:val="Normal"/>
    <w:link w:val="TtuloCar"/>
    <w:uiPriority w:val="10"/>
    <w:qFormat/>
    <w:pPr>
      <w:pBdr>
        <w:bottom w:val="single" w:sz="8" w:space="4" w:color="4472C4"/>
      </w:pBdr>
      <w:spacing w:after="300" w:line="240" w:lineRule="auto"/>
      <w:contextualSpacing/>
    </w:pPr>
    <w:rPr>
      <w:rFonts w:ascii="Calibri Light" w:eastAsia="Yu Gothic Light" w:hAnsi="Calibri Light"/>
      <w:color w:val="323E4F"/>
      <w:spacing w:val="5"/>
      <w:sz w:val="52"/>
      <w:szCs w:val="52"/>
    </w:rPr>
  </w:style>
  <w:style w:type="paragraph" w:styleId="Prrafodelista">
    <w:name w:val="List Paragraph"/>
    <w:basedOn w:val="Normal"/>
    <w:uiPriority w:val="34"/>
    <w:qFormat/>
    <w:pPr>
      <w:ind w:left="720"/>
    </w:pPr>
    <w:rPr>
      <w:lang w:val="es-ES"/>
    </w:rPr>
  </w:style>
  <w:style w:type="character" w:customStyle="1" w:styleId="Textoindependiente3Car">
    <w:name w:val="Texto independiente 3 Car"/>
    <w:link w:val="Textoindependiente3"/>
    <w:qFormat/>
    <w:rPr>
      <w:rFonts w:ascii="Arial" w:eastAsia="Times New Roman" w:hAnsi="Arial" w:cs="Arial"/>
      <w:sz w:val="24"/>
      <w:szCs w:val="24"/>
      <w:lang w:eastAsia="en-US"/>
    </w:rPr>
  </w:style>
  <w:style w:type="character" w:customStyle="1" w:styleId="TextoindependienteCar">
    <w:name w:val="Texto independiente Car"/>
    <w:link w:val="Textoindependiente"/>
    <w:uiPriority w:val="99"/>
    <w:qFormat/>
    <w:rPr>
      <w:rFonts w:ascii="Times New Roman" w:eastAsia="Times New Roman" w:hAnsi="Times New Roman"/>
      <w:sz w:val="24"/>
      <w:szCs w:val="24"/>
      <w:lang w:val="en-US"/>
    </w:rPr>
  </w:style>
  <w:style w:type="character" w:customStyle="1" w:styleId="TextocomentarioCar">
    <w:name w:val="Texto comentario Car"/>
    <w:link w:val="Textocomentario"/>
    <w:uiPriority w:val="99"/>
    <w:qFormat/>
    <w:rPr>
      <w:lang w:val="es-MX" w:eastAsia="en-US"/>
    </w:rPr>
  </w:style>
  <w:style w:type="character" w:customStyle="1" w:styleId="TextodegloboCar">
    <w:name w:val="Texto de globo Car"/>
    <w:link w:val="Textodeglobo"/>
    <w:uiPriority w:val="99"/>
    <w:semiHidden/>
    <w:qFormat/>
    <w:rPr>
      <w:rFonts w:ascii="Segoe UI" w:hAnsi="Segoe UI" w:cs="Segoe UI"/>
      <w:sz w:val="18"/>
      <w:szCs w:val="18"/>
      <w:lang w:val="es-MX" w:eastAsia="en-US"/>
    </w:rPr>
  </w:style>
  <w:style w:type="character" w:customStyle="1" w:styleId="AsuntodelcomentarioCar">
    <w:name w:val="Asunto del comentario Car"/>
    <w:link w:val="Asuntodelcomentario"/>
    <w:uiPriority w:val="99"/>
    <w:semiHidden/>
    <w:qFormat/>
    <w:rPr>
      <w:b/>
      <w:bCs/>
      <w:lang w:val="es-MX" w:eastAsia="en-US"/>
    </w:rPr>
  </w:style>
  <w:style w:type="paragraph" w:styleId="Sinespaciado">
    <w:name w:val="No Spacing"/>
    <w:uiPriority w:val="1"/>
    <w:qFormat/>
  </w:style>
  <w:style w:type="character" w:customStyle="1" w:styleId="Ttulo1Car">
    <w:name w:val="Título 1 Car"/>
    <w:link w:val="Ttulo1"/>
    <w:uiPriority w:val="9"/>
    <w:qFormat/>
    <w:rPr>
      <w:rFonts w:ascii="Calibri Light" w:eastAsia="Yu Gothic Light" w:hAnsi="Calibri Light" w:cs="Times New Roman"/>
      <w:b/>
      <w:bCs/>
      <w:color w:val="2F5496"/>
      <w:sz w:val="28"/>
      <w:szCs w:val="28"/>
    </w:rPr>
  </w:style>
  <w:style w:type="character" w:customStyle="1" w:styleId="Ttulo2Car">
    <w:name w:val="Título 2 Car"/>
    <w:link w:val="Ttulo2"/>
    <w:uiPriority w:val="9"/>
    <w:qFormat/>
    <w:rPr>
      <w:rFonts w:ascii="Calibri Light" w:eastAsia="Yu Gothic Light" w:hAnsi="Calibri Light" w:cs="Times New Roman"/>
      <w:b/>
      <w:bCs/>
      <w:color w:val="4472C4"/>
      <w:sz w:val="26"/>
      <w:szCs w:val="26"/>
    </w:rPr>
  </w:style>
  <w:style w:type="character" w:customStyle="1" w:styleId="Ttulo3Car">
    <w:name w:val="Título 3 Car"/>
    <w:link w:val="Ttulo3"/>
    <w:uiPriority w:val="9"/>
    <w:qFormat/>
    <w:rPr>
      <w:rFonts w:ascii="Calibri Light" w:eastAsia="Yu Gothic Light" w:hAnsi="Calibri Light" w:cs="Times New Roman"/>
      <w:b/>
      <w:bCs/>
      <w:color w:val="4472C4"/>
    </w:rPr>
  </w:style>
  <w:style w:type="character" w:customStyle="1" w:styleId="Ttulo4Car">
    <w:name w:val="Título 4 Car"/>
    <w:link w:val="Ttulo4"/>
    <w:uiPriority w:val="9"/>
    <w:qFormat/>
    <w:rPr>
      <w:rFonts w:ascii="Calibri Light" w:eastAsia="Yu Gothic Light" w:hAnsi="Calibri Light" w:cs="Times New Roman"/>
      <w:b/>
      <w:bCs/>
      <w:i/>
      <w:iCs/>
      <w:color w:val="4472C4"/>
    </w:rPr>
  </w:style>
  <w:style w:type="character" w:customStyle="1" w:styleId="Ttulo5Car">
    <w:name w:val="Título 5 Car"/>
    <w:link w:val="Ttulo5"/>
    <w:uiPriority w:val="9"/>
    <w:qFormat/>
    <w:rPr>
      <w:rFonts w:ascii="Calibri Light" w:eastAsia="Yu Gothic Light" w:hAnsi="Calibri Light" w:cs="Times New Roman"/>
      <w:color w:val="1F3763"/>
    </w:rPr>
  </w:style>
  <w:style w:type="character" w:customStyle="1" w:styleId="Ttulo6Car">
    <w:name w:val="Título 6 Car"/>
    <w:link w:val="Ttulo6"/>
    <w:uiPriority w:val="9"/>
    <w:qFormat/>
    <w:rPr>
      <w:rFonts w:ascii="Calibri Light" w:eastAsia="Yu Gothic Light" w:hAnsi="Calibri Light" w:cs="Times New Roman"/>
      <w:i/>
      <w:iCs/>
      <w:color w:val="1F3763"/>
    </w:rPr>
  </w:style>
  <w:style w:type="character" w:customStyle="1" w:styleId="Ttulo7Car">
    <w:name w:val="Título 7 Car"/>
    <w:link w:val="Ttulo7"/>
    <w:uiPriority w:val="9"/>
    <w:qFormat/>
    <w:rPr>
      <w:rFonts w:ascii="Calibri Light" w:eastAsia="Yu Gothic Light" w:hAnsi="Calibri Light" w:cs="Times New Roman"/>
      <w:i/>
      <w:iCs/>
      <w:color w:val="404040"/>
    </w:rPr>
  </w:style>
  <w:style w:type="character" w:customStyle="1" w:styleId="Ttulo8Car">
    <w:name w:val="Título 8 Car"/>
    <w:link w:val="Ttulo8"/>
    <w:uiPriority w:val="9"/>
    <w:qFormat/>
    <w:rPr>
      <w:rFonts w:ascii="Calibri Light" w:eastAsia="Yu Gothic Light" w:hAnsi="Calibri Light" w:cs="Times New Roman"/>
      <w:color w:val="404040"/>
      <w:sz w:val="20"/>
      <w:szCs w:val="20"/>
    </w:rPr>
  </w:style>
  <w:style w:type="character" w:customStyle="1" w:styleId="Ttulo9Car">
    <w:name w:val="Título 9 Car"/>
    <w:link w:val="Ttulo9"/>
    <w:uiPriority w:val="9"/>
    <w:qFormat/>
    <w:rPr>
      <w:rFonts w:ascii="Calibri Light" w:eastAsia="Yu Gothic Light" w:hAnsi="Calibri Light" w:cs="Times New Roman"/>
      <w:i/>
      <w:iCs/>
      <w:color w:val="404040"/>
      <w:sz w:val="20"/>
      <w:szCs w:val="20"/>
    </w:rPr>
  </w:style>
  <w:style w:type="character" w:customStyle="1" w:styleId="TtuloCar">
    <w:name w:val="Título Car"/>
    <w:link w:val="Ttulo"/>
    <w:uiPriority w:val="10"/>
    <w:rPr>
      <w:rFonts w:ascii="Calibri Light" w:eastAsia="Yu Gothic Light" w:hAnsi="Calibri Light" w:cs="Times New Roman"/>
      <w:color w:val="323E4F"/>
      <w:spacing w:val="5"/>
      <w:sz w:val="52"/>
      <w:szCs w:val="52"/>
    </w:rPr>
  </w:style>
  <w:style w:type="character" w:customStyle="1" w:styleId="SubttuloCar">
    <w:name w:val="Subtítulo Car"/>
    <w:link w:val="Subttulo"/>
    <w:uiPriority w:val="11"/>
    <w:qFormat/>
    <w:rPr>
      <w:rFonts w:ascii="Calibri Light" w:eastAsia="Yu Gothic Light" w:hAnsi="Calibri Light" w:cs="Times New Roman"/>
      <w:i/>
      <w:iCs/>
      <w:color w:val="4472C4"/>
      <w:spacing w:val="15"/>
      <w:sz w:val="24"/>
      <w:szCs w:val="24"/>
    </w:rPr>
  </w:style>
  <w:style w:type="character" w:customStyle="1" w:styleId="nfasissutil1">
    <w:name w:val="Énfasis sutil1"/>
    <w:uiPriority w:val="19"/>
    <w:qFormat/>
    <w:rPr>
      <w:i/>
      <w:iCs/>
      <w:color w:val="808080"/>
    </w:rPr>
  </w:style>
  <w:style w:type="character" w:customStyle="1" w:styleId="nfasisintenso1">
    <w:name w:val="Énfasis intenso1"/>
    <w:uiPriority w:val="21"/>
    <w:qFormat/>
    <w:rPr>
      <w:b/>
      <w:bCs/>
      <w:i/>
      <w:iCs/>
      <w:color w:val="4472C4"/>
    </w:rPr>
  </w:style>
  <w:style w:type="paragraph" w:styleId="Cita">
    <w:name w:val="Quote"/>
    <w:basedOn w:val="Normal"/>
    <w:next w:val="Normal"/>
    <w:link w:val="CitaCar"/>
    <w:uiPriority w:val="29"/>
    <w:qFormat/>
    <w:rPr>
      <w:i/>
      <w:iCs/>
      <w:color w:val="000000"/>
    </w:rPr>
  </w:style>
  <w:style w:type="character" w:customStyle="1" w:styleId="CitaCar">
    <w:name w:val="Cita Car"/>
    <w:link w:val="Cita"/>
    <w:uiPriority w:val="29"/>
    <w:rPr>
      <w:i/>
      <w:iCs/>
      <w:color w:val="000000"/>
    </w:rPr>
  </w:style>
  <w:style w:type="paragraph" w:styleId="Citadestacada">
    <w:name w:val="Intense Quote"/>
    <w:basedOn w:val="Normal"/>
    <w:next w:val="Normal"/>
    <w:link w:val="CitadestacadaCar"/>
    <w:uiPriority w:val="30"/>
    <w:qFormat/>
    <w:pPr>
      <w:pBdr>
        <w:bottom w:val="single" w:sz="4" w:space="4" w:color="4472C4"/>
      </w:pBdr>
      <w:spacing w:before="200" w:after="280"/>
      <w:ind w:left="936" w:right="936"/>
    </w:pPr>
    <w:rPr>
      <w:b/>
      <w:bCs/>
      <w:i/>
      <w:iCs/>
      <w:color w:val="4472C4"/>
    </w:rPr>
  </w:style>
  <w:style w:type="character" w:customStyle="1" w:styleId="CitadestacadaCar">
    <w:name w:val="Cita destacada Car"/>
    <w:link w:val="Citadestacada"/>
    <w:uiPriority w:val="30"/>
    <w:qFormat/>
    <w:rPr>
      <w:b/>
      <w:bCs/>
      <w:i/>
      <w:iCs/>
      <w:color w:val="4472C4"/>
    </w:rPr>
  </w:style>
  <w:style w:type="character" w:customStyle="1" w:styleId="Referenciasutil1">
    <w:name w:val="Referencia sutil1"/>
    <w:uiPriority w:val="31"/>
    <w:qFormat/>
    <w:rPr>
      <w:smallCaps/>
      <w:color w:val="ED7D31"/>
      <w:u w:val="single"/>
    </w:rPr>
  </w:style>
  <w:style w:type="character" w:customStyle="1" w:styleId="Referenciaintensa1">
    <w:name w:val="Referencia intensa1"/>
    <w:uiPriority w:val="32"/>
    <w:qFormat/>
    <w:rPr>
      <w:b/>
      <w:bCs/>
      <w:smallCaps/>
      <w:color w:val="ED7D31"/>
      <w:spacing w:val="5"/>
      <w:u w:val="single"/>
    </w:rPr>
  </w:style>
  <w:style w:type="character" w:customStyle="1" w:styleId="Ttulodellibro1">
    <w:name w:val="Título del libro1"/>
    <w:uiPriority w:val="33"/>
    <w:qFormat/>
    <w:rPr>
      <w:b/>
      <w:bCs/>
      <w:smallCaps/>
      <w:spacing w:val="5"/>
    </w:rPr>
  </w:style>
  <w:style w:type="character" w:customStyle="1" w:styleId="TextonotapieCar">
    <w:name w:val="Texto nota pie Car"/>
    <w:link w:val="Textonotapie"/>
    <w:uiPriority w:val="99"/>
    <w:semiHidden/>
    <w:qFormat/>
    <w:rPr>
      <w:sz w:val="20"/>
      <w:szCs w:val="20"/>
    </w:rPr>
  </w:style>
  <w:style w:type="character" w:customStyle="1" w:styleId="TextonotaalfinalCar">
    <w:name w:val="Texto nota al final Car"/>
    <w:link w:val="Textonotaalfinal"/>
    <w:uiPriority w:val="99"/>
    <w:semiHidden/>
    <w:qFormat/>
    <w:rPr>
      <w:sz w:val="20"/>
      <w:szCs w:val="20"/>
    </w:rPr>
  </w:style>
  <w:style w:type="character" w:customStyle="1" w:styleId="TextosinformatoCar">
    <w:name w:val="Texto sin formato Car"/>
    <w:link w:val="Textosinformato"/>
    <w:uiPriority w:val="99"/>
    <w:rPr>
      <w:rFonts w:ascii="Courier New" w:hAnsi="Courier New" w:cs="Courier New"/>
      <w:sz w:val="21"/>
      <w:szCs w:val="21"/>
    </w:rPr>
  </w:style>
  <w:style w:type="paragraph" w:styleId="Encabezado">
    <w:name w:val="header"/>
    <w:basedOn w:val="Normal"/>
    <w:link w:val="EncabezadoCar"/>
    <w:rsid w:val="00B43BA0"/>
    <w:pPr>
      <w:tabs>
        <w:tab w:val="center" w:pos="4252"/>
        <w:tab w:val="right" w:pos="8504"/>
      </w:tabs>
      <w:spacing w:after="0" w:line="240" w:lineRule="auto"/>
    </w:pPr>
  </w:style>
  <w:style w:type="character" w:customStyle="1" w:styleId="EncabezadoCar">
    <w:name w:val="Encabezado Car"/>
    <w:basedOn w:val="Fuentedeprrafopredeter"/>
    <w:link w:val="Encabezado"/>
    <w:rsid w:val="00B43BA0"/>
    <w:rPr>
      <w:sz w:val="22"/>
      <w:szCs w:val="22"/>
      <w:lang w:val="es-MX" w:eastAsia="en-US"/>
    </w:rPr>
  </w:style>
  <w:style w:type="paragraph" w:styleId="Piedepgina">
    <w:name w:val="footer"/>
    <w:basedOn w:val="Normal"/>
    <w:link w:val="PiedepginaCar"/>
    <w:rsid w:val="00B43BA0"/>
    <w:pPr>
      <w:tabs>
        <w:tab w:val="center" w:pos="4252"/>
        <w:tab w:val="right" w:pos="8504"/>
      </w:tabs>
      <w:spacing w:after="0" w:line="240" w:lineRule="auto"/>
    </w:pPr>
  </w:style>
  <w:style w:type="character" w:customStyle="1" w:styleId="PiedepginaCar">
    <w:name w:val="Pie de página Car"/>
    <w:basedOn w:val="Fuentedeprrafopredeter"/>
    <w:link w:val="Piedepgina"/>
    <w:rsid w:val="00B43BA0"/>
    <w:rPr>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3224</Words>
  <Characters>17734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 Miguel</dc:creator>
  <cp:lastModifiedBy>Dell'Amico</cp:lastModifiedBy>
  <cp:revision>8</cp:revision>
  <dcterms:created xsi:type="dcterms:W3CDTF">2024-09-22T00:41:00Z</dcterms:created>
  <dcterms:modified xsi:type="dcterms:W3CDTF">2024-09-25T21:18:00Z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3082-12.2.0.17119</vt:lpwstr>
  </property>
  <property fmtid="{D5CDD505-2E9C-101B-9397-08002B2CF9AE}" pid="3" name="ICV">
    <vt:lpwstr>31F74CB3934244DAB110911BC3C5D83A_13</vt:lpwstr>
  </property>
</Properties>
</file>