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31E" w:rsidRPr="00EB048A" w:rsidRDefault="0052164E" w:rsidP="008525DB">
      <w:pPr>
        <w:spacing w:after="120" w:line="240" w:lineRule="auto"/>
        <w:jc w:val="center"/>
        <w:rPr>
          <w:rFonts w:ascii="Arial" w:hAnsi="Arial" w:cs="Arial"/>
          <w:b/>
          <w:lang w:val="es-ES"/>
        </w:rPr>
      </w:pPr>
      <w:r w:rsidRPr="00EB048A">
        <w:rPr>
          <w:rFonts w:ascii="Arial" w:hAnsi="Arial" w:cs="Arial"/>
          <w:b/>
          <w:lang w:val="es-ES"/>
        </w:rPr>
        <w:t xml:space="preserve">INDICACIONES </w:t>
      </w:r>
      <w:r w:rsidR="005141C6" w:rsidRPr="00EB048A">
        <w:rPr>
          <w:rFonts w:ascii="Arial" w:hAnsi="Arial" w:cs="Arial"/>
          <w:b/>
          <w:lang w:val="es-ES"/>
        </w:rPr>
        <w:t>PARA EL AÑO 2023</w:t>
      </w:r>
    </w:p>
    <w:p w:rsidR="00DB5C0F" w:rsidRPr="00EB048A" w:rsidRDefault="00DB5C0F" w:rsidP="008525DB">
      <w:pPr>
        <w:autoSpaceDE w:val="0"/>
        <w:autoSpaceDN w:val="0"/>
        <w:adjustRightInd w:val="0"/>
        <w:spacing w:after="120" w:line="240" w:lineRule="auto"/>
        <w:jc w:val="both"/>
        <w:rPr>
          <w:rFonts w:ascii="Arial" w:eastAsia="TimesNewRomanPSMT" w:hAnsi="Arial" w:cs="Arial"/>
          <w:lang w:val="es-ES"/>
        </w:rPr>
      </w:pPr>
    </w:p>
    <w:p w:rsidR="0003633F" w:rsidRPr="00EB048A" w:rsidRDefault="0003633F" w:rsidP="0003633F">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El Ministerio de Ciencia, Tecnología y Media Ambiente </w:t>
      </w:r>
      <w:r>
        <w:rPr>
          <w:rFonts w:ascii="Arial" w:eastAsia="TimesNewRomanPSMT" w:hAnsi="Arial" w:cs="Arial"/>
          <w:lang w:val="es-ES"/>
        </w:rPr>
        <w:t xml:space="preserve">(CITMA) </w:t>
      </w:r>
      <w:r w:rsidRPr="00EB048A">
        <w:rPr>
          <w:rFonts w:ascii="Arial" w:eastAsia="TimesNewRomanPSMT" w:hAnsi="Arial" w:cs="Arial"/>
          <w:lang w:val="es-ES"/>
        </w:rPr>
        <w:t>como organismo rector de Ia actividad, en correspondencia con las experiencias obtenidas, establece, modifica y actualiza los procedimientos necesarios para Ia correcta implementación de las normas jurídicas del sistema de programas y proyectos de ciencia, tecnología e innovación.</w:t>
      </w:r>
    </w:p>
    <w:p w:rsidR="00504026" w:rsidRPr="00EB048A" w:rsidRDefault="0052164E" w:rsidP="008525DB">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Tomando en consideración</w:t>
      </w:r>
      <w:r w:rsidR="005141C6" w:rsidRPr="00EB048A">
        <w:rPr>
          <w:rFonts w:ascii="Arial" w:eastAsia="TimesNewRomanPSMT" w:hAnsi="Arial" w:cs="Arial"/>
          <w:lang w:val="es-ES"/>
        </w:rPr>
        <w:t xml:space="preserve"> las lecciones aprendidas durante los años 2021 y 2022; así como</w:t>
      </w:r>
      <w:r w:rsidRPr="00EB048A">
        <w:rPr>
          <w:rFonts w:ascii="Arial" w:eastAsia="TimesNewRomanPSMT" w:hAnsi="Arial" w:cs="Arial"/>
          <w:lang w:val="es-ES"/>
        </w:rPr>
        <w:t xml:space="preserve"> las dudas e inquietudes emitidas por las entidades</w:t>
      </w:r>
      <w:r w:rsidR="005141C6" w:rsidRPr="00EB048A">
        <w:rPr>
          <w:rFonts w:ascii="Arial" w:eastAsia="TimesNewRomanPSMT" w:hAnsi="Arial" w:cs="Arial"/>
          <w:lang w:val="es-ES"/>
        </w:rPr>
        <w:t xml:space="preserve">, jefes de programas, secretarios ejecutivos, jefes de proyectos </w:t>
      </w:r>
      <w:r w:rsidRPr="00EB048A">
        <w:rPr>
          <w:rFonts w:ascii="Arial" w:eastAsia="TimesNewRomanPSMT" w:hAnsi="Arial" w:cs="Arial"/>
          <w:lang w:val="es-ES"/>
        </w:rPr>
        <w:t xml:space="preserve"> y expertos que participan en los programas y proyectos de </w:t>
      </w:r>
      <w:r w:rsidR="005141C6" w:rsidRPr="00EB048A">
        <w:rPr>
          <w:rFonts w:ascii="Arial" w:eastAsia="TimesNewRomanPSMT" w:hAnsi="Arial" w:cs="Arial"/>
          <w:lang w:val="es-ES"/>
        </w:rPr>
        <w:t>Ciencia, Tecnología e Innovación</w:t>
      </w:r>
      <w:r w:rsidR="00460012" w:rsidRPr="00EB048A">
        <w:rPr>
          <w:rFonts w:ascii="Arial" w:eastAsia="TimesNewRomanPSMT" w:hAnsi="Arial" w:cs="Arial"/>
          <w:lang w:val="es-ES"/>
        </w:rPr>
        <w:t>,</w:t>
      </w:r>
      <w:r w:rsidR="005141C6" w:rsidRPr="00EB048A">
        <w:rPr>
          <w:rFonts w:ascii="Arial" w:eastAsia="TimesNewRomanPSMT" w:hAnsi="Arial" w:cs="Arial"/>
          <w:lang w:val="es-ES"/>
        </w:rPr>
        <w:t xml:space="preserve"> </w:t>
      </w:r>
      <w:r w:rsidR="00DD5DC5" w:rsidRPr="00EB048A">
        <w:rPr>
          <w:rFonts w:ascii="Arial" w:eastAsia="TimesNewRomanPSMT" w:hAnsi="Arial" w:cs="Arial"/>
          <w:lang w:val="es-ES"/>
        </w:rPr>
        <w:t>en l</w:t>
      </w:r>
      <w:r w:rsidR="005141C6" w:rsidRPr="00EB048A">
        <w:rPr>
          <w:rFonts w:ascii="Arial" w:eastAsia="TimesNewRomanPSMT" w:hAnsi="Arial" w:cs="Arial"/>
          <w:lang w:val="es-ES"/>
        </w:rPr>
        <w:t xml:space="preserve">os controles metodológicos </w:t>
      </w:r>
      <w:r w:rsidR="00DD5DC5" w:rsidRPr="00EB048A">
        <w:rPr>
          <w:rFonts w:ascii="Arial" w:eastAsia="TimesNewRomanPSMT" w:hAnsi="Arial" w:cs="Arial"/>
          <w:lang w:val="es-ES"/>
        </w:rPr>
        <w:t xml:space="preserve">y reuniones de </w:t>
      </w:r>
      <w:r w:rsidR="005141C6" w:rsidRPr="00EB048A">
        <w:rPr>
          <w:rFonts w:ascii="Arial" w:eastAsia="TimesNewRomanPSMT" w:hAnsi="Arial" w:cs="Arial"/>
          <w:lang w:val="es-ES"/>
        </w:rPr>
        <w:t xml:space="preserve">trabajo </w:t>
      </w:r>
      <w:r w:rsidR="00787FFD" w:rsidRPr="00EB048A">
        <w:rPr>
          <w:rFonts w:ascii="Arial" w:eastAsia="TimesNewRomanPSMT" w:hAnsi="Arial" w:cs="Arial"/>
          <w:lang w:val="es-ES"/>
        </w:rPr>
        <w:t>efectuadas a territorios, organismos y entidades</w:t>
      </w:r>
      <w:r w:rsidR="00DD5DC5" w:rsidRPr="00EB048A">
        <w:rPr>
          <w:rFonts w:ascii="Arial" w:eastAsia="TimesNewRomanPSMT" w:hAnsi="Arial" w:cs="Arial"/>
          <w:lang w:val="es-ES"/>
        </w:rPr>
        <w:t xml:space="preserve">, </w:t>
      </w:r>
      <w:r w:rsidRPr="00EB048A">
        <w:rPr>
          <w:rFonts w:ascii="Arial" w:eastAsia="TimesNewRomanPSMT" w:hAnsi="Arial" w:cs="Arial"/>
          <w:lang w:val="es-ES"/>
        </w:rPr>
        <w:t xml:space="preserve">se emiten las siguientes instrucciones </w:t>
      </w:r>
      <w:r w:rsidR="00460012" w:rsidRPr="00EB048A">
        <w:rPr>
          <w:rFonts w:ascii="Arial" w:eastAsia="TimesNewRomanPSMT" w:hAnsi="Arial" w:cs="Arial"/>
          <w:lang w:val="es-ES"/>
        </w:rPr>
        <w:t>orientadas al</w:t>
      </w:r>
      <w:r w:rsidRPr="00EB048A">
        <w:rPr>
          <w:rFonts w:ascii="Arial" w:eastAsia="TimesNewRomanPSMT" w:hAnsi="Arial" w:cs="Arial"/>
          <w:lang w:val="es-ES"/>
        </w:rPr>
        <w:t xml:space="preserve"> perfeccionamiento de las Indicaciones Metodológicas para la gestión del sistema de programas y proyectos:</w:t>
      </w:r>
    </w:p>
    <w:p w:rsidR="00153CC9" w:rsidRPr="00EB048A" w:rsidRDefault="00153CC9" w:rsidP="008525DB">
      <w:pPr>
        <w:autoSpaceDE w:val="0"/>
        <w:autoSpaceDN w:val="0"/>
        <w:adjustRightInd w:val="0"/>
        <w:spacing w:after="120" w:line="240" w:lineRule="auto"/>
        <w:jc w:val="both"/>
        <w:rPr>
          <w:rFonts w:ascii="Arial" w:eastAsia="TimesNewRomanPSMT" w:hAnsi="Arial" w:cs="Arial"/>
          <w:lang w:val="es-ES"/>
        </w:rPr>
      </w:pPr>
    </w:p>
    <w:p w:rsidR="00153CC9" w:rsidRPr="00EB048A" w:rsidRDefault="00153CC9" w:rsidP="00AB5F08">
      <w:pPr>
        <w:pStyle w:val="Prrafodelista"/>
        <w:numPr>
          <w:ilvl w:val="0"/>
          <w:numId w:val="7"/>
        </w:numPr>
        <w:autoSpaceDE w:val="0"/>
        <w:autoSpaceDN w:val="0"/>
        <w:adjustRightInd w:val="0"/>
        <w:spacing w:after="120" w:line="240" w:lineRule="auto"/>
        <w:ind w:left="284" w:hanging="284"/>
        <w:jc w:val="both"/>
        <w:rPr>
          <w:rFonts w:ascii="Arial" w:eastAsia="TimesNewRomanPSMT" w:hAnsi="Arial" w:cs="Arial"/>
          <w:b/>
        </w:rPr>
      </w:pPr>
      <w:r w:rsidRPr="00EB048A">
        <w:rPr>
          <w:rFonts w:ascii="Arial" w:eastAsia="TimesNewRomanPSMT" w:hAnsi="Arial" w:cs="Arial"/>
          <w:b/>
        </w:rPr>
        <w:t xml:space="preserve">Sobre la </w:t>
      </w:r>
      <w:r w:rsidR="00B133E2" w:rsidRPr="00EB048A">
        <w:rPr>
          <w:rFonts w:ascii="Arial" w:eastAsia="TimesNewRomanPSMT" w:hAnsi="Arial" w:cs="Arial"/>
          <w:b/>
        </w:rPr>
        <w:t xml:space="preserve">asignación del </w:t>
      </w:r>
      <w:r w:rsidRPr="00EB048A">
        <w:rPr>
          <w:rFonts w:ascii="Arial" w:eastAsia="TimesNewRomanPSMT" w:hAnsi="Arial" w:cs="Arial"/>
          <w:b/>
        </w:rPr>
        <w:t>financiamiento</w:t>
      </w:r>
      <w:r w:rsidR="00B133E2" w:rsidRPr="00EB048A">
        <w:rPr>
          <w:rFonts w:ascii="Arial" w:eastAsia="TimesNewRomanPSMT" w:hAnsi="Arial" w:cs="Arial"/>
          <w:b/>
        </w:rPr>
        <w:t xml:space="preserve"> a los proyectos asociados a los programas</w:t>
      </w:r>
      <w:r w:rsidRPr="00EB048A">
        <w:rPr>
          <w:rFonts w:ascii="Arial" w:eastAsia="TimesNewRomanPSMT" w:hAnsi="Arial" w:cs="Arial"/>
          <w:b/>
        </w:rPr>
        <w:t>.</w:t>
      </w:r>
    </w:p>
    <w:p w:rsidR="00E521D0" w:rsidRPr="00EB048A" w:rsidRDefault="00E521D0" w:rsidP="008525DB">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El Plan CTI 2023, tenía previsto </w:t>
      </w:r>
      <w:r w:rsidRPr="00715D3F">
        <w:rPr>
          <w:rFonts w:ascii="Arial" w:eastAsia="TimesNewRomanPSMT" w:hAnsi="Arial" w:cs="Arial"/>
          <w:lang w:val="es-ES"/>
        </w:rPr>
        <w:t xml:space="preserve">destinar </w:t>
      </w:r>
      <w:r w:rsidR="00895147" w:rsidRPr="00715D3F">
        <w:rPr>
          <w:rFonts w:ascii="Arial" w:eastAsia="TimesNewRomanPSMT" w:hAnsi="Arial" w:cs="Arial"/>
          <w:lang w:val="es-ES"/>
        </w:rPr>
        <w:t>3</w:t>
      </w:r>
      <w:r w:rsidR="009F64FB" w:rsidRPr="00715D3F">
        <w:rPr>
          <w:rFonts w:ascii="Arial" w:eastAsia="TimesNewRomanPSMT" w:hAnsi="Arial" w:cs="Arial"/>
          <w:lang w:val="es-ES"/>
        </w:rPr>
        <w:t>.</w:t>
      </w:r>
      <w:r w:rsidR="00895147" w:rsidRPr="00715D3F">
        <w:rPr>
          <w:rFonts w:ascii="Arial" w:eastAsia="TimesNewRomanPSMT" w:hAnsi="Arial" w:cs="Arial"/>
          <w:lang w:val="es-ES"/>
        </w:rPr>
        <w:t>700</w:t>
      </w:r>
      <w:r w:rsidRPr="00715D3F">
        <w:rPr>
          <w:rFonts w:ascii="Arial" w:eastAsia="TimesNewRomanPSMT" w:hAnsi="Arial" w:cs="Arial"/>
          <w:lang w:val="es-ES"/>
        </w:rPr>
        <w:t xml:space="preserve"> millones como financiamiento nominalizado en el CITMA</w:t>
      </w:r>
      <w:r w:rsidR="00715D3F" w:rsidRPr="00715D3F">
        <w:rPr>
          <w:rFonts w:ascii="Arial" w:eastAsia="TimesNewRomanPSMT" w:hAnsi="Arial" w:cs="Arial"/>
          <w:lang w:val="es-ES"/>
        </w:rPr>
        <w:t xml:space="preserve"> (de ellos, 2.000 millones para los programas sectoriales de CTI)</w:t>
      </w:r>
      <w:r w:rsidRPr="00715D3F">
        <w:rPr>
          <w:rFonts w:ascii="Arial" w:eastAsia="TimesNewRomanPSMT" w:hAnsi="Arial" w:cs="Arial"/>
          <w:lang w:val="es-ES"/>
        </w:rPr>
        <w:t>, para financiar los programas priorizados</w:t>
      </w:r>
      <w:r w:rsidR="00715D3F" w:rsidRPr="0071122B">
        <w:rPr>
          <w:rFonts w:ascii="Arial" w:eastAsia="TimesNewRomanPSMT" w:hAnsi="Arial" w:cs="Arial"/>
          <w:b/>
          <w:u w:val="single"/>
          <w:lang w:val="es-ES"/>
        </w:rPr>
        <w:t>. S</w:t>
      </w:r>
      <w:r w:rsidR="00895147" w:rsidRPr="0071122B">
        <w:rPr>
          <w:rFonts w:ascii="Arial" w:eastAsia="TimesNewRomanPSMT" w:hAnsi="Arial" w:cs="Arial"/>
          <w:b/>
          <w:u w:val="single"/>
          <w:lang w:val="es-ES"/>
        </w:rPr>
        <w:t>e asignaron al CITMA</w:t>
      </w:r>
      <w:r w:rsidRPr="0071122B">
        <w:rPr>
          <w:rFonts w:ascii="Arial" w:eastAsia="TimesNewRomanPSMT" w:hAnsi="Arial" w:cs="Arial"/>
          <w:b/>
          <w:u w:val="single"/>
          <w:lang w:val="es-ES"/>
        </w:rPr>
        <w:t xml:space="preserve"> </w:t>
      </w:r>
      <w:r w:rsidR="00895147" w:rsidRPr="0071122B">
        <w:rPr>
          <w:rFonts w:ascii="Arial" w:eastAsia="TimesNewRomanPSMT" w:hAnsi="Arial" w:cs="Arial"/>
          <w:b/>
          <w:u w:val="single"/>
          <w:lang w:val="es-ES"/>
        </w:rPr>
        <w:t>1</w:t>
      </w:r>
      <w:r w:rsidR="009F64FB" w:rsidRPr="0071122B">
        <w:rPr>
          <w:rFonts w:ascii="Arial" w:eastAsia="TimesNewRomanPSMT" w:hAnsi="Arial" w:cs="Arial"/>
          <w:b/>
          <w:u w:val="single"/>
          <w:lang w:val="es-ES"/>
        </w:rPr>
        <w:t>.</w:t>
      </w:r>
      <w:r w:rsidR="00895147" w:rsidRPr="0071122B">
        <w:rPr>
          <w:rFonts w:ascii="Arial" w:eastAsia="TimesNewRomanPSMT" w:hAnsi="Arial" w:cs="Arial"/>
          <w:b/>
          <w:u w:val="single"/>
          <w:lang w:val="es-ES"/>
        </w:rPr>
        <w:t>600</w:t>
      </w:r>
      <w:r w:rsidRPr="0071122B">
        <w:rPr>
          <w:rFonts w:ascii="Arial" w:eastAsia="TimesNewRomanPSMT" w:hAnsi="Arial" w:cs="Arial"/>
          <w:b/>
          <w:u w:val="single"/>
          <w:lang w:val="es-ES"/>
        </w:rPr>
        <w:t xml:space="preserve"> millones</w:t>
      </w:r>
      <w:r w:rsidRPr="00715D3F">
        <w:rPr>
          <w:rFonts w:ascii="Arial" w:eastAsia="TimesNewRomanPSMT" w:hAnsi="Arial" w:cs="Arial"/>
          <w:lang w:val="es-ES"/>
        </w:rPr>
        <w:t xml:space="preserve">, </w:t>
      </w:r>
      <w:r w:rsidR="00895147" w:rsidRPr="00715D3F">
        <w:rPr>
          <w:rFonts w:ascii="Arial" w:eastAsia="TimesNewRomanPSMT" w:hAnsi="Arial" w:cs="Arial"/>
          <w:lang w:val="es-ES"/>
        </w:rPr>
        <w:t xml:space="preserve">y </w:t>
      </w:r>
      <w:r w:rsidR="00715D3F" w:rsidRPr="00715D3F">
        <w:rPr>
          <w:rFonts w:ascii="Arial" w:eastAsia="TimesNewRomanPSMT" w:hAnsi="Arial" w:cs="Arial"/>
          <w:lang w:val="es-ES"/>
        </w:rPr>
        <w:t xml:space="preserve">los </w:t>
      </w:r>
      <w:r w:rsidR="00895147" w:rsidRPr="00715D3F">
        <w:rPr>
          <w:rFonts w:ascii="Arial" w:eastAsia="TimesNewRomanPSMT" w:hAnsi="Arial" w:cs="Arial"/>
          <w:lang w:val="es-ES"/>
        </w:rPr>
        <w:t>2</w:t>
      </w:r>
      <w:r w:rsidR="009F64FB" w:rsidRPr="00715D3F">
        <w:rPr>
          <w:rFonts w:ascii="Arial" w:eastAsia="TimesNewRomanPSMT" w:hAnsi="Arial" w:cs="Arial"/>
          <w:lang w:val="es-ES"/>
        </w:rPr>
        <w:t>.</w:t>
      </w:r>
      <w:r w:rsidR="00895147" w:rsidRPr="00715D3F">
        <w:rPr>
          <w:rFonts w:ascii="Arial" w:eastAsia="TimesNewRomanPSMT" w:hAnsi="Arial" w:cs="Arial"/>
          <w:lang w:val="es-ES"/>
        </w:rPr>
        <w:t xml:space="preserve">000 millones </w:t>
      </w:r>
      <w:r w:rsidR="00715D3F" w:rsidRPr="00715D3F">
        <w:rPr>
          <w:rFonts w:ascii="Arial" w:eastAsia="TimesNewRomanPSMT" w:hAnsi="Arial" w:cs="Arial"/>
          <w:lang w:val="es-ES"/>
        </w:rPr>
        <w:t xml:space="preserve">para </w:t>
      </w:r>
      <w:r w:rsidR="00895147" w:rsidRPr="00715D3F">
        <w:rPr>
          <w:rFonts w:ascii="Arial" w:eastAsia="TimesNewRomanPSMT" w:hAnsi="Arial" w:cs="Arial"/>
          <w:lang w:val="es-ES"/>
        </w:rPr>
        <w:t>los programas sectoriales</w:t>
      </w:r>
      <w:r w:rsidR="00715D3F" w:rsidRPr="00715D3F">
        <w:rPr>
          <w:rFonts w:ascii="Arial" w:eastAsia="TimesNewRomanPSMT" w:hAnsi="Arial" w:cs="Arial"/>
          <w:lang w:val="es-ES"/>
        </w:rPr>
        <w:t>, se asignaron a los OACE</w:t>
      </w:r>
      <w:r w:rsidRPr="00715D3F">
        <w:rPr>
          <w:rFonts w:ascii="Arial" w:eastAsia="TimesNewRomanPSMT" w:hAnsi="Arial" w:cs="Arial"/>
          <w:lang w:val="es-ES"/>
        </w:rPr>
        <w:t xml:space="preserve">. Este monto de </w:t>
      </w:r>
      <w:r w:rsidR="0071122B" w:rsidRPr="00EB048A">
        <w:rPr>
          <w:rFonts w:ascii="Arial" w:eastAsia="TimesNewRomanPSMT" w:hAnsi="Arial" w:cs="Arial"/>
          <w:lang w:val="es-ES"/>
        </w:rPr>
        <w:t>financiamiento</w:t>
      </w:r>
      <w:r w:rsidR="0071122B">
        <w:rPr>
          <w:rFonts w:ascii="Arial" w:eastAsia="TimesNewRomanPSMT" w:hAnsi="Arial" w:cs="Arial"/>
          <w:lang w:val="es-ES"/>
        </w:rPr>
        <w:t xml:space="preserve"> </w:t>
      </w:r>
      <w:r w:rsidR="0071122B" w:rsidRPr="00EB048A">
        <w:rPr>
          <w:rFonts w:ascii="Arial" w:eastAsia="TimesNewRomanPSMT" w:hAnsi="Arial" w:cs="Arial"/>
          <w:lang w:val="es-ES"/>
        </w:rPr>
        <w:t>incluye</w:t>
      </w:r>
      <w:r w:rsidRPr="00EB048A">
        <w:rPr>
          <w:rFonts w:ascii="Arial" w:eastAsia="TimesNewRomanPSMT" w:hAnsi="Arial" w:cs="Arial"/>
          <w:lang w:val="es-ES"/>
        </w:rPr>
        <w:t xml:space="preserve"> el </w:t>
      </w:r>
      <w:r w:rsidRPr="0071122B">
        <w:rPr>
          <w:rFonts w:ascii="Arial" w:eastAsia="TimesNewRomanPSMT" w:hAnsi="Arial" w:cs="Arial"/>
          <w:b/>
          <w:lang w:val="es-ES"/>
        </w:rPr>
        <w:t>destinado a los programas nacionales, sectoriales CITMA, territoriales, el FONCI, el Fondo de Medio Ambiente y otras actividades de ciencia, tecnología e innovación</w:t>
      </w:r>
      <w:r w:rsidRPr="00EB048A">
        <w:rPr>
          <w:rFonts w:ascii="Arial" w:eastAsia="TimesNewRomanPSMT" w:hAnsi="Arial" w:cs="Arial"/>
          <w:lang w:val="es-ES"/>
        </w:rPr>
        <w:t xml:space="preserve"> que ejecutan las entidades del organismo.</w:t>
      </w:r>
    </w:p>
    <w:p w:rsidR="00153CC9" w:rsidRPr="00EB048A" w:rsidRDefault="00B133E2" w:rsidP="008525DB">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Teniendo en cuenta la asignación del presupuesto designado a cada programa para el presente año y los montos declarados en el Plan CTI 2023 confeccionado en el año 2022, la dirección del programa deberá desagregar el dinero asignado para la ejecución </w:t>
      </w:r>
      <w:r w:rsidR="00153CC9" w:rsidRPr="00EB048A">
        <w:rPr>
          <w:rFonts w:ascii="Arial" w:eastAsia="TimesNewRomanPSMT" w:hAnsi="Arial" w:cs="Arial"/>
          <w:lang w:val="es-ES"/>
        </w:rPr>
        <w:t xml:space="preserve">de los presupuestos de los proyectos que lo conforman y </w:t>
      </w:r>
      <w:r w:rsidRPr="00EB048A">
        <w:rPr>
          <w:rFonts w:ascii="Arial" w:eastAsia="TimesNewRomanPSMT" w:hAnsi="Arial" w:cs="Arial"/>
          <w:lang w:val="es-ES"/>
        </w:rPr>
        <w:t xml:space="preserve">para </w:t>
      </w:r>
      <w:r w:rsidR="00153CC9" w:rsidRPr="00EB048A">
        <w:rPr>
          <w:rFonts w:ascii="Arial" w:eastAsia="TimesNewRomanPSMT" w:hAnsi="Arial" w:cs="Arial"/>
          <w:lang w:val="es-ES"/>
        </w:rPr>
        <w:t>el financiamiento requerido para la gestión del programa</w:t>
      </w:r>
      <w:r w:rsidRPr="00EB048A">
        <w:rPr>
          <w:rFonts w:ascii="Arial" w:eastAsia="TimesNewRomanPSMT" w:hAnsi="Arial" w:cs="Arial"/>
          <w:lang w:val="es-ES"/>
        </w:rPr>
        <w:t xml:space="preserve"> (</w:t>
      </w:r>
      <w:r w:rsidR="00153CC9" w:rsidRPr="00EB048A">
        <w:rPr>
          <w:rFonts w:ascii="Arial" w:eastAsia="TimesNewRomanPSMT" w:hAnsi="Arial" w:cs="Arial"/>
          <w:lang w:val="es-ES"/>
        </w:rPr>
        <w:t>incluye entre otras actividades, las evaluaciones de proyectos en todas sus etapas, los talleres y reuniones del Grupo de Expertos y las cuantías a pagar por concepto de remuneración a los expertos, el secretario ejecutivo y el jefe de programa</w:t>
      </w:r>
      <w:r w:rsidRPr="00EB048A">
        <w:rPr>
          <w:rFonts w:ascii="Arial" w:eastAsia="TimesNewRomanPSMT" w:hAnsi="Arial" w:cs="Arial"/>
          <w:lang w:val="es-ES"/>
        </w:rPr>
        <w:t>)</w:t>
      </w:r>
      <w:r w:rsidR="00153CC9" w:rsidRPr="00EB048A">
        <w:rPr>
          <w:rFonts w:ascii="Arial" w:eastAsia="TimesNewRomanPSMT" w:hAnsi="Arial" w:cs="Arial"/>
          <w:lang w:val="es-ES"/>
        </w:rPr>
        <w:t>.</w:t>
      </w:r>
    </w:p>
    <w:p w:rsidR="00E521D0" w:rsidRPr="00EB048A" w:rsidRDefault="00E521D0" w:rsidP="008525DB">
      <w:pPr>
        <w:autoSpaceDE w:val="0"/>
        <w:autoSpaceDN w:val="0"/>
        <w:adjustRightInd w:val="0"/>
        <w:spacing w:after="120" w:line="240" w:lineRule="auto"/>
        <w:jc w:val="both"/>
        <w:rPr>
          <w:rFonts w:ascii="Arial" w:eastAsia="TimesNewRomanPSMT" w:hAnsi="Arial" w:cs="Arial"/>
          <w:lang w:val="es-ES"/>
        </w:rPr>
      </w:pPr>
      <w:r w:rsidRPr="0071122B">
        <w:rPr>
          <w:rFonts w:ascii="Arial" w:eastAsia="TimesNewRomanPSMT" w:hAnsi="Arial" w:cs="Arial"/>
          <w:b/>
          <w:lang w:val="es-ES"/>
        </w:rPr>
        <w:t>En tales circunstancias se recomienda</w:t>
      </w:r>
      <w:r w:rsidRPr="00EB048A">
        <w:rPr>
          <w:rFonts w:ascii="Arial" w:eastAsia="TimesNewRomanPSMT" w:hAnsi="Arial" w:cs="Arial"/>
          <w:lang w:val="es-ES"/>
        </w:rPr>
        <w:t>:</w:t>
      </w:r>
    </w:p>
    <w:p w:rsidR="00E521D0" w:rsidRPr="00EB048A" w:rsidRDefault="00E521D0" w:rsidP="009514C2">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sidRPr="0071122B">
        <w:rPr>
          <w:rFonts w:ascii="Arial" w:eastAsia="TimesNewRomanPSMT" w:hAnsi="Arial" w:cs="Arial"/>
          <w:b/>
          <w:lang w:val="es-ES"/>
        </w:rPr>
        <w:t>Priorizar y destinar el 100% de financiamiento a los proyectos que culminan en el presente año 2023</w:t>
      </w:r>
      <w:r w:rsidRPr="00EB048A">
        <w:rPr>
          <w:rFonts w:ascii="Arial" w:eastAsia="TimesNewRomanPSMT" w:hAnsi="Arial" w:cs="Arial"/>
          <w:lang w:val="es-ES"/>
        </w:rPr>
        <w:t>, para garantizar la obtención de sus resultados previstos.</w:t>
      </w:r>
    </w:p>
    <w:p w:rsidR="00E521D0" w:rsidRPr="00EB048A" w:rsidRDefault="00E521D0" w:rsidP="009514C2">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sidRPr="0071122B">
        <w:rPr>
          <w:rFonts w:ascii="Arial" w:eastAsia="TimesNewRomanPSMT" w:hAnsi="Arial" w:cs="Arial"/>
          <w:b/>
          <w:lang w:val="es-ES"/>
        </w:rPr>
        <w:t>Para los proyectos que culminan en años posteriores, evaluar y ajustar nuevamente las actividades planificadas</w:t>
      </w:r>
      <w:r w:rsidRPr="00EB048A">
        <w:rPr>
          <w:rFonts w:ascii="Arial" w:eastAsia="TimesNewRomanPSMT" w:hAnsi="Arial" w:cs="Arial"/>
          <w:lang w:val="es-ES"/>
        </w:rPr>
        <w:t xml:space="preserve"> bajo los mismos criterios establecidos en el año 2022:</w:t>
      </w:r>
    </w:p>
    <w:p w:rsidR="00E521D0" w:rsidRPr="00EB048A" w:rsidRDefault="00E521D0" w:rsidP="009514C2">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EB048A">
        <w:rPr>
          <w:rFonts w:ascii="Arial" w:eastAsia="TimesNewRomanPSMT" w:hAnsi="Arial" w:cs="Arial"/>
          <w:lang w:val="es-ES"/>
        </w:rPr>
        <w:t>Priorizar los proyectos que cierran ciclo de I+D+I, en particular los que cuentan con financiamiento mixto y que tienen un impacto inmediato o a corto plazo.</w:t>
      </w:r>
    </w:p>
    <w:p w:rsidR="00E521D0" w:rsidRPr="00EB048A" w:rsidRDefault="00E521D0" w:rsidP="009514C2">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EB048A">
        <w:rPr>
          <w:rFonts w:ascii="Arial" w:eastAsia="TimesNewRomanPSMT" w:hAnsi="Arial" w:cs="Arial"/>
          <w:lang w:val="es-ES"/>
        </w:rPr>
        <w:t>Priorizar las actividades de innovación dirigidas al incremento de la producción, la sustitución efectiva de importaciones, el uso de materias primas nacionales, la elevación de la eficiencia y productividad.</w:t>
      </w:r>
    </w:p>
    <w:p w:rsidR="00E521D0" w:rsidRPr="00EB048A" w:rsidRDefault="00E521D0" w:rsidP="009514C2">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EB048A">
        <w:rPr>
          <w:rFonts w:ascii="Arial" w:eastAsia="TimesNewRomanPSMT" w:hAnsi="Arial" w:cs="Arial"/>
          <w:lang w:val="es-ES"/>
        </w:rPr>
        <w:t>Tener en cuenta en este análisis, los proyectos de colaboración internacional que tributan financiamiento o que respondan a compromisos internacionales.</w:t>
      </w:r>
    </w:p>
    <w:p w:rsidR="00E521D0" w:rsidRPr="00EB048A" w:rsidRDefault="00E521D0" w:rsidP="009514C2">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EB048A">
        <w:rPr>
          <w:rFonts w:ascii="Arial" w:eastAsia="TimesNewRomanPSMT" w:hAnsi="Arial" w:cs="Arial"/>
          <w:lang w:val="es-ES"/>
        </w:rPr>
        <w:t xml:space="preserve">Identificar las diversas fuentes de financiamiento de sus programas y proyectos, en particular las reservas voluntarias para desarrollo e investigación creadas en </w:t>
      </w:r>
      <w:r w:rsidRPr="00EB048A">
        <w:rPr>
          <w:rFonts w:ascii="Arial" w:eastAsia="TimesNewRomanPSMT" w:hAnsi="Arial" w:cs="Arial"/>
          <w:lang w:val="es-ES"/>
        </w:rPr>
        <w:lastRenderedPageBreak/>
        <w:t>el sector empresarial, los fondos comunes de las OSDE y la Contribución Territorial para el Desarrollo Local.</w:t>
      </w:r>
    </w:p>
    <w:p w:rsidR="00E521D0" w:rsidRPr="00557358" w:rsidRDefault="00E521D0" w:rsidP="009514C2">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EB048A">
        <w:rPr>
          <w:rFonts w:ascii="Arial" w:eastAsia="TimesNewRomanPSMT" w:hAnsi="Arial" w:cs="Arial"/>
          <w:lang w:val="es-ES"/>
        </w:rPr>
        <w:t xml:space="preserve">Modelar los presupuestos de los programas y proyectos sobre la base de los </w:t>
      </w:r>
      <w:r w:rsidRPr="00557358">
        <w:rPr>
          <w:rFonts w:ascii="Arial" w:eastAsia="TimesNewRomanPSMT" w:hAnsi="Arial" w:cs="Arial"/>
          <w:lang w:val="es-ES"/>
        </w:rPr>
        <w:t>cambios evaluados y ajustar los cronogramas ejecutivos.</w:t>
      </w:r>
    </w:p>
    <w:p w:rsidR="00E521D0" w:rsidRPr="00557358" w:rsidRDefault="00E521D0" w:rsidP="009514C2">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sidRPr="0071122B">
        <w:rPr>
          <w:rFonts w:ascii="Arial" w:eastAsia="TimesNewRomanPSMT" w:hAnsi="Arial" w:cs="Arial"/>
          <w:b/>
          <w:lang w:val="es-ES"/>
        </w:rPr>
        <w:t>Presentar, para su contratación, el presupuesto de los programas y proyectos desglosados en 4 trimestres</w:t>
      </w:r>
      <w:r w:rsidRPr="00557358">
        <w:rPr>
          <w:rFonts w:ascii="Arial" w:eastAsia="TimesNewRomanPSMT" w:hAnsi="Arial" w:cs="Arial"/>
          <w:lang w:val="es-ES"/>
        </w:rPr>
        <w:t>, claramente identificados, tomando en cuenta las solicitudes de anticipo.</w:t>
      </w:r>
    </w:p>
    <w:p w:rsidR="009514C2" w:rsidRPr="00EB048A" w:rsidRDefault="009514C2" w:rsidP="008525DB">
      <w:pPr>
        <w:autoSpaceDE w:val="0"/>
        <w:autoSpaceDN w:val="0"/>
        <w:adjustRightInd w:val="0"/>
        <w:spacing w:after="120" w:line="240" w:lineRule="auto"/>
        <w:jc w:val="both"/>
        <w:rPr>
          <w:rFonts w:ascii="Arial" w:eastAsia="TimesNewRomanPSMT" w:hAnsi="Arial" w:cs="Arial"/>
          <w:lang w:val="es-ES"/>
        </w:rPr>
      </w:pPr>
    </w:p>
    <w:p w:rsidR="00153CC9" w:rsidRPr="00EB048A" w:rsidRDefault="00AB5F08" w:rsidP="00AB5F08">
      <w:pPr>
        <w:pStyle w:val="Prrafodelista"/>
        <w:numPr>
          <w:ilvl w:val="0"/>
          <w:numId w:val="7"/>
        </w:numPr>
        <w:autoSpaceDE w:val="0"/>
        <w:autoSpaceDN w:val="0"/>
        <w:adjustRightInd w:val="0"/>
        <w:spacing w:after="120" w:line="240" w:lineRule="auto"/>
        <w:ind w:left="284" w:hanging="284"/>
        <w:jc w:val="both"/>
        <w:rPr>
          <w:rFonts w:ascii="Arial" w:eastAsia="TimesNewRomanPSMT" w:hAnsi="Arial" w:cs="Arial"/>
          <w:b/>
        </w:rPr>
      </w:pPr>
      <w:r>
        <w:rPr>
          <w:rFonts w:ascii="Arial" w:eastAsia="TimesNewRomanPSMT" w:hAnsi="Arial" w:cs="Arial"/>
          <w:b/>
        </w:rPr>
        <w:t>Sobr</w:t>
      </w:r>
      <w:r w:rsidR="00153CC9" w:rsidRPr="00EB048A">
        <w:rPr>
          <w:rFonts w:ascii="Arial" w:eastAsia="TimesNewRomanPSMT" w:hAnsi="Arial" w:cs="Arial"/>
          <w:b/>
        </w:rPr>
        <w:t>e la Contratación.</w:t>
      </w:r>
    </w:p>
    <w:p w:rsidR="00153CC9" w:rsidRPr="00EB048A" w:rsidRDefault="00153CC9" w:rsidP="008525DB">
      <w:pPr>
        <w:spacing w:after="120" w:line="240" w:lineRule="auto"/>
        <w:jc w:val="both"/>
        <w:rPr>
          <w:rFonts w:ascii="Arial" w:eastAsia="TimesNewRomanPSMT" w:hAnsi="Arial" w:cs="Arial"/>
          <w:lang w:val="es-ES"/>
        </w:rPr>
      </w:pPr>
      <w:r w:rsidRPr="0071122B">
        <w:rPr>
          <w:rFonts w:ascii="Arial" w:eastAsia="TimesNewRomanPSMT" w:hAnsi="Arial" w:cs="Arial"/>
          <w:b/>
          <w:lang w:val="es-ES"/>
        </w:rPr>
        <w:t>El Financista contrata con las entidades gestoras</w:t>
      </w:r>
      <w:r w:rsidR="008525DB" w:rsidRPr="0071122B">
        <w:rPr>
          <w:rFonts w:ascii="Arial" w:eastAsia="TimesNewRomanPSMT" w:hAnsi="Arial" w:cs="Arial"/>
          <w:b/>
          <w:lang w:val="es-ES"/>
        </w:rPr>
        <w:t xml:space="preserve"> de los programas</w:t>
      </w:r>
      <w:r w:rsidRPr="0071122B">
        <w:rPr>
          <w:rFonts w:ascii="Arial" w:eastAsia="TimesNewRomanPSMT" w:hAnsi="Arial" w:cs="Arial"/>
          <w:b/>
          <w:lang w:val="es-ES"/>
        </w:rPr>
        <w:t xml:space="preserve"> y </w:t>
      </w:r>
      <w:r w:rsidR="008525DB" w:rsidRPr="0071122B">
        <w:rPr>
          <w:rFonts w:ascii="Arial" w:eastAsia="TimesNewRomanPSMT" w:hAnsi="Arial" w:cs="Arial"/>
          <w:b/>
          <w:lang w:val="es-ES"/>
        </w:rPr>
        <w:t xml:space="preserve">las entidades </w:t>
      </w:r>
      <w:r w:rsidRPr="0071122B">
        <w:rPr>
          <w:rFonts w:ascii="Arial" w:eastAsia="TimesNewRomanPSMT" w:hAnsi="Arial" w:cs="Arial"/>
          <w:b/>
          <w:lang w:val="es-ES"/>
        </w:rPr>
        <w:t>ejecutoras principales</w:t>
      </w:r>
      <w:r w:rsidR="008525DB" w:rsidRPr="0071122B">
        <w:rPr>
          <w:rFonts w:ascii="Arial" w:eastAsia="TimesNewRomanPSMT" w:hAnsi="Arial" w:cs="Arial"/>
          <w:b/>
          <w:lang w:val="es-ES"/>
        </w:rPr>
        <w:t xml:space="preserve"> de los proyectos,</w:t>
      </w:r>
      <w:r w:rsidRPr="0071122B">
        <w:rPr>
          <w:rFonts w:ascii="Arial" w:eastAsia="TimesNewRomanPSMT" w:hAnsi="Arial" w:cs="Arial"/>
          <w:b/>
          <w:lang w:val="es-ES"/>
        </w:rPr>
        <w:t xml:space="preserve"> las actividades previstas en los cronogramas ejecutivos de los </w:t>
      </w:r>
      <w:r w:rsidR="008525DB" w:rsidRPr="0071122B">
        <w:rPr>
          <w:rFonts w:ascii="Arial" w:eastAsia="TimesNewRomanPSMT" w:hAnsi="Arial" w:cs="Arial"/>
          <w:b/>
          <w:lang w:val="es-ES"/>
        </w:rPr>
        <w:t>mismos</w:t>
      </w:r>
      <w:r w:rsidRPr="00EB048A">
        <w:rPr>
          <w:rFonts w:ascii="Arial" w:eastAsia="TimesNewRomanPSMT" w:hAnsi="Arial" w:cs="Arial"/>
          <w:lang w:val="es-ES"/>
        </w:rPr>
        <w:t>.</w:t>
      </w:r>
      <w:r w:rsidR="008525DB" w:rsidRPr="00EB048A">
        <w:rPr>
          <w:rFonts w:ascii="Arial" w:eastAsia="TimesNewRomanPSMT" w:hAnsi="Arial" w:cs="Arial"/>
          <w:lang w:val="es-ES"/>
        </w:rPr>
        <w:t xml:space="preserve"> </w:t>
      </w:r>
      <w:r w:rsidRPr="00EB048A">
        <w:rPr>
          <w:rFonts w:ascii="Arial" w:eastAsia="TimesNewRomanPSMT" w:hAnsi="Arial" w:cs="Arial"/>
          <w:lang w:val="es-ES"/>
        </w:rPr>
        <w:t>Las entidades ejecutoras principales, subcontratan las actividades a desarrollar por las entidades participantes.</w:t>
      </w:r>
    </w:p>
    <w:p w:rsidR="00AB0960" w:rsidRPr="00EB048A" w:rsidRDefault="00AB0960" w:rsidP="00AB0960">
      <w:pPr>
        <w:spacing w:after="120" w:line="240" w:lineRule="auto"/>
        <w:jc w:val="both"/>
        <w:rPr>
          <w:rFonts w:ascii="Arial" w:eastAsia="TimesNewRomanPSMT" w:hAnsi="Arial" w:cs="Arial"/>
          <w:lang w:val="es-ES"/>
        </w:rPr>
      </w:pPr>
      <w:r w:rsidRPr="005D2491">
        <w:rPr>
          <w:rFonts w:ascii="Arial" w:eastAsia="TimesNewRomanPSMT" w:hAnsi="Arial" w:cs="Arial"/>
          <w:b/>
          <w:highlight w:val="yellow"/>
          <w:lang w:val="es-ES"/>
        </w:rPr>
        <w:t>Las entidades gestoras y ejecutoras pueden contratar personal externo</w:t>
      </w:r>
      <w:r w:rsidRPr="005D2491">
        <w:rPr>
          <w:rFonts w:ascii="Arial" w:eastAsia="TimesNewRomanPSMT" w:hAnsi="Arial" w:cs="Arial"/>
          <w:highlight w:val="yellow"/>
          <w:lang w:val="es-ES"/>
        </w:rPr>
        <w:t xml:space="preserve"> para la ejecución de actividades del proyecto o para ejercer la función de expertos (evaluadores). Para el personal externo (ya sea un trabajador, un jubilado o un desvinculado laboralmente), que participa en un proyecto o como experto en un programa, siempre </w:t>
      </w:r>
      <w:r w:rsidRPr="005D2491">
        <w:rPr>
          <w:rFonts w:ascii="Arial" w:eastAsia="TimesNewRomanPSMT" w:hAnsi="Arial" w:cs="Arial"/>
          <w:b/>
          <w:highlight w:val="yellow"/>
          <w:lang w:val="es-ES"/>
        </w:rPr>
        <w:t>tiene que mediar un contrato por tiempo determinado o por objeto u obra; si es trabajador de otra entidad, tiene que tener, además, la aprobación de la entidad a la que pertenece</w:t>
      </w:r>
      <w:r w:rsidRPr="005D2491">
        <w:rPr>
          <w:rFonts w:ascii="Arial" w:eastAsia="TimesNewRomanPSMT" w:hAnsi="Arial" w:cs="Arial"/>
          <w:highlight w:val="yellow"/>
          <w:lang w:val="es-ES"/>
        </w:rPr>
        <w:t xml:space="preserve"> (Consultar Ley 116/2014 “Código del Trabajo” y Decreto Ley 268/2019 “Modificativo del régimen laboral”, </w:t>
      </w:r>
      <w:r w:rsidR="00EF340D" w:rsidRPr="005D2491">
        <w:rPr>
          <w:rFonts w:ascii="Arial" w:eastAsia="TimesNewRomanPSMT" w:hAnsi="Arial" w:cs="Arial"/>
          <w:highlight w:val="yellow"/>
          <w:lang w:val="es-ES"/>
        </w:rPr>
        <w:t>A</w:t>
      </w:r>
      <w:r w:rsidRPr="005D2491">
        <w:rPr>
          <w:rFonts w:ascii="Arial" w:eastAsia="TimesNewRomanPSMT" w:hAnsi="Arial" w:cs="Arial"/>
          <w:highlight w:val="yellow"/>
          <w:lang w:val="es-ES"/>
        </w:rPr>
        <w:t>rtículos 1, 4, 7, 11</w:t>
      </w:r>
      <w:r w:rsidR="00EF340D" w:rsidRPr="005D2491">
        <w:rPr>
          <w:rFonts w:ascii="Arial" w:eastAsia="TimesNewRomanPSMT" w:hAnsi="Arial" w:cs="Arial"/>
          <w:highlight w:val="yellow"/>
          <w:lang w:val="es-ES"/>
        </w:rPr>
        <w:t xml:space="preserve">, </w:t>
      </w:r>
      <w:r w:rsidRPr="005D2491">
        <w:rPr>
          <w:rFonts w:ascii="Arial" w:eastAsia="TimesNewRomanPSMT" w:hAnsi="Arial" w:cs="Arial"/>
          <w:highlight w:val="yellow"/>
          <w:lang w:val="es-ES"/>
        </w:rPr>
        <w:t>12</w:t>
      </w:r>
      <w:r w:rsidR="00EF340D" w:rsidRPr="005D2491">
        <w:rPr>
          <w:rFonts w:ascii="Arial" w:eastAsia="TimesNewRomanPSMT" w:hAnsi="Arial" w:cs="Arial"/>
          <w:highlight w:val="yellow"/>
          <w:lang w:val="es-ES"/>
        </w:rPr>
        <w:t>, 127-131</w:t>
      </w:r>
      <w:r w:rsidRPr="005D2491">
        <w:rPr>
          <w:rFonts w:ascii="Arial" w:eastAsia="TimesNewRomanPSMT" w:hAnsi="Arial" w:cs="Arial"/>
          <w:highlight w:val="yellow"/>
          <w:lang w:val="es-ES"/>
        </w:rPr>
        <w:t>)</w:t>
      </w:r>
      <w:r w:rsidR="00960229" w:rsidRPr="005D2491">
        <w:rPr>
          <w:rFonts w:ascii="Arial" w:eastAsia="TimesNewRomanPSMT" w:hAnsi="Arial" w:cs="Arial"/>
          <w:highlight w:val="yellow"/>
          <w:lang w:val="es-ES"/>
        </w:rPr>
        <w:t>.</w:t>
      </w:r>
      <w:bookmarkStart w:id="0" w:name="_GoBack"/>
      <w:bookmarkEnd w:id="0"/>
    </w:p>
    <w:p w:rsidR="00C362AD" w:rsidRPr="0071122B" w:rsidRDefault="00C362AD" w:rsidP="00960229">
      <w:pPr>
        <w:pStyle w:val="Textoindependiente2"/>
        <w:spacing w:before="120" w:line="240" w:lineRule="auto"/>
        <w:jc w:val="both"/>
        <w:rPr>
          <w:rFonts w:ascii="Arial" w:hAnsi="Arial" w:cs="Arial"/>
          <w:bCs/>
          <w:sz w:val="22"/>
          <w:szCs w:val="22"/>
          <w:lang w:val="es-ES"/>
        </w:rPr>
      </w:pPr>
      <w:r w:rsidRPr="0071122B">
        <w:rPr>
          <w:rFonts w:ascii="Arial" w:hAnsi="Arial" w:cs="Arial"/>
          <w:b/>
          <w:bCs/>
          <w:sz w:val="22"/>
          <w:szCs w:val="22"/>
          <w:u w:val="single"/>
          <w:lang w:val="es-ES"/>
        </w:rPr>
        <w:t xml:space="preserve">Se faculta a los jefes de proyectos asociados a programas incluir en la estructura del presupuesto del proyecto la subcontratación del servicio de gestión contable-financiera y administrativa a entidades con competencias y capacidades para ejecutarlo, incluidas las Empresas Interface. Esta decisión es adoptada por el jefe del proyecto y su equipo, conciliada con la entidad ejecutora principal. El presupuesto se incluye en el acápite de subcontrataciones y considera un margen de </w:t>
      </w:r>
      <w:r w:rsidR="0071122B" w:rsidRPr="0071122B">
        <w:rPr>
          <w:rFonts w:ascii="Arial" w:hAnsi="Arial" w:cs="Arial"/>
          <w:b/>
          <w:bCs/>
          <w:sz w:val="22"/>
          <w:szCs w:val="22"/>
          <w:u w:val="single"/>
          <w:lang w:val="es-ES"/>
        </w:rPr>
        <w:t>utilidad</w:t>
      </w:r>
      <w:r w:rsidRPr="0071122B">
        <w:rPr>
          <w:rFonts w:ascii="Arial" w:hAnsi="Arial" w:cs="Arial"/>
          <w:b/>
          <w:bCs/>
          <w:sz w:val="22"/>
          <w:szCs w:val="22"/>
          <w:u w:val="single"/>
          <w:lang w:val="es-ES"/>
        </w:rPr>
        <w:t xml:space="preserve"> hasta un 10 %</w:t>
      </w:r>
      <w:r w:rsidRPr="0071122B">
        <w:rPr>
          <w:rFonts w:ascii="Arial" w:hAnsi="Arial" w:cs="Arial"/>
          <w:b/>
          <w:bCs/>
          <w:sz w:val="22"/>
          <w:szCs w:val="22"/>
          <w:lang w:val="es-ES"/>
        </w:rPr>
        <w:t xml:space="preserve">. </w:t>
      </w:r>
      <w:r w:rsidRPr="0071122B">
        <w:rPr>
          <w:rFonts w:ascii="Arial" w:hAnsi="Arial" w:cs="Arial"/>
          <w:bCs/>
          <w:sz w:val="22"/>
          <w:szCs w:val="22"/>
          <w:lang w:val="es-ES"/>
        </w:rPr>
        <w:t>Esta relación jurídica se rige por lo establecido en la Resolución 58/2016 del MFP, con independencia del resto de las disposiciones jurídicas que le sean aplicables.</w:t>
      </w:r>
    </w:p>
    <w:p w:rsidR="00960229" w:rsidRPr="00EB048A" w:rsidRDefault="00960229" w:rsidP="00960229">
      <w:pPr>
        <w:pStyle w:val="Textoindependiente2"/>
        <w:spacing w:before="120" w:line="240" w:lineRule="auto"/>
        <w:jc w:val="both"/>
        <w:rPr>
          <w:rFonts w:ascii="Arial" w:hAnsi="Arial" w:cs="Arial"/>
          <w:bCs/>
          <w:color w:val="000000"/>
          <w:sz w:val="22"/>
          <w:szCs w:val="22"/>
          <w:lang w:val="es-ES"/>
        </w:rPr>
      </w:pPr>
      <w:r w:rsidRPr="00EB048A">
        <w:rPr>
          <w:rFonts w:ascii="Arial" w:hAnsi="Arial" w:cs="Arial"/>
          <w:bCs/>
          <w:color w:val="000000"/>
          <w:sz w:val="22"/>
          <w:szCs w:val="22"/>
          <w:lang w:val="es-ES"/>
        </w:rPr>
        <w:t xml:space="preserve">Como en años anteriores, </w:t>
      </w:r>
      <w:r w:rsidRPr="0071122B">
        <w:rPr>
          <w:rFonts w:ascii="Arial" w:hAnsi="Arial" w:cs="Arial"/>
          <w:b/>
          <w:bCs/>
          <w:color w:val="000000"/>
          <w:sz w:val="22"/>
          <w:szCs w:val="22"/>
          <w:lang w:val="es-ES"/>
        </w:rPr>
        <w:t>se reitera que es imprescindible que todas las entidades garanticen la apertura de una cuenta de operaciones para los programas y proyectos</w:t>
      </w:r>
      <w:r w:rsidRPr="00EB048A">
        <w:rPr>
          <w:rFonts w:ascii="Arial" w:hAnsi="Arial" w:cs="Arial"/>
          <w:bCs/>
          <w:color w:val="000000"/>
          <w:sz w:val="22"/>
          <w:szCs w:val="22"/>
          <w:lang w:val="es-ES"/>
        </w:rPr>
        <w:t>, según lo establecido en la Resolución 128/2020 emitida por el titular de Finanzas y Precios.</w:t>
      </w:r>
    </w:p>
    <w:p w:rsidR="00960229" w:rsidRPr="00EB048A" w:rsidRDefault="00AB0960" w:rsidP="008525DB">
      <w:pPr>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La </w:t>
      </w:r>
      <w:r w:rsidR="008525DB" w:rsidRPr="0071122B">
        <w:rPr>
          <w:rFonts w:ascii="Arial" w:eastAsia="TimesNewRomanPSMT" w:hAnsi="Arial" w:cs="Arial"/>
          <w:b/>
          <w:u w:val="single"/>
          <w:lang w:val="es-ES"/>
        </w:rPr>
        <w:t>fecha límite para la realización de la contratación del presupuesto asignado para el año es el 30 de junio de 2023</w:t>
      </w:r>
      <w:r w:rsidR="008525DB" w:rsidRPr="00EB048A">
        <w:rPr>
          <w:rFonts w:ascii="Arial" w:eastAsia="TimesNewRomanPSMT" w:hAnsi="Arial" w:cs="Arial"/>
          <w:lang w:val="es-ES"/>
        </w:rPr>
        <w:t xml:space="preserve">. </w:t>
      </w:r>
      <w:r w:rsidR="00960229" w:rsidRPr="00EB048A">
        <w:rPr>
          <w:rFonts w:ascii="Arial" w:eastAsia="TimesNewRomanPSMT" w:hAnsi="Arial" w:cs="Arial"/>
          <w:lang w:val="es-ES"/>
        </w:rPr>
        <w:t xml:space="preserve">Para ello, se debe garantizar la adecuada confección y entrega en tiempo de la documentación requerida en estos casos, por todas las partes involucradas. </w:t>
      </w:r>
      <w:r w:rsidR="00960229" w:rsidRPr="0071122B">
        <w:rPr>
          <w:rFonts w:ascii="Arial" w:eastAsia="TimesNewRomanPSMT" w:hAnsi="Arial" w:cs="Arial"/>
          <w:b/>
          <w:lang w:val="es-ES"/>
        </w:rPr>
        <w:t>Los jefes de los proyectos deben enviar la documentación a la dirección del programa, la cual debe ser revisada exhaustivamente</w:t>
      </w:r>
      <w:r w:rsidR="00960229" w:rsidRPr="00EB048A">
        <w:rPr>
          <w:rFonts w:ascii="Arial" w:eastAsia="TimesNewRomanPSMT" w:hAnsi="Arial" w:cs="Arial"/>
          <w:lang w:val="es-ES"/>
        </w:rPr>
        <w:t xml:space="preserve">. En caso necesario, se indicarán las modificaciones que se requieran hacer para rectificar posibles errores. Una vez concluido este proceso, </w:t>
      </w:r>
      <w:r w:rsidR="00960229" w:rsidRPr="0071122B">
        <w:rPr>
          <w:rFonts w:ascii="Arial" w:eastAsia="TimesNewRomanPSMT" w:hAnsi="Arial" w:cs="Arial"/>
          <w:b/>
          <w:lang w:val="es-ES"/>
        </w:rPr>
        <w:t>el secretario ejecutivo del programa entrega la documentación al financista y se pacta una fecha para la firma del contrato o suplemento</w:t>
      </w:r>
      <w:r w:rsidR="00960229" w:rsidRPr="00EB048A">
        <w:rPr>
          <w:rFonts w:ascii="Arial" w:eastAsia="TimesNewRomanPSMT" w:hAnsi="Arial" w:cs="Arial"/>
          <w:lang w:val="es-ES"/>
        </w:rPr>
        <w:t>.</w:t>
      </w:r>
      <w:r w:rsidR="00B94224" w:rsidRPr="00EB048A">
        <w:rPr>
          <w:rFonts w:ascii="Arial" w:eastAsia="TimesNewRomanPSMT" w:hAnsi="Arial" w:cs="Arial"/>
          <w:lang w:val="es-ES"/>
        </w:rPr>
        <w:t xml:space="preserve"> </w:t>
      </w:r>
    </w:p>
    <w:p w:rsidR="00B94224" w:rsidRPr="00EB048A" w:rsidRDefault="00B94224" w:rsidP="008525DB">
      <w:pPr>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Para </w:t>
      </w:r>
      <w:r w:rsidR="002F70D4" w:rsidRPr="00EB048A">
        <w:rPr>
          <w:rFonts w:ascii="Arial" w:eastAsia="TimesNewRomanPSMT" w:hAnsi="Arial" w:cs="Arial"/>
          <w:lang w:val="es-ES"/>
        </w:rPr>
        <w:t>no</w:t>
      </w:r>
      <w:r w:rsidRPr="00EB048A">
        <w:rPr>
          <w:rFonts w:ascii="Arial" w:eastAsia="TimesNewRomanPSMT" w:hAnsi="Arial" w:cs="Arial"/>
          <w:lang w:val="es-ES"/>
        </w:rPr>
        <w:t xml:space="preserve"> </w:t>
      </w:r>
      <w:r w:rsidR="002F70D4" w:rsidRPr="00EB048A">
        <w:rPr>
          <w:rFonts w:ascii="Arial" w:eastAsia="TimesNewRomanPSMT" w:hAnsi="Arial" w:cs="Arial"/>
          <w:lang w:val="es-ES"/>
        </w:rPr>
        <w:t xml:space="preserve">afectar a los proyectos que cumplan adecuadamente con lo establecido, </w:t>
      </w:r>
      <w:r w:rsidR="002F70D4" w:rsidRPr="0071122B">
        <w:rPr>
          <w:rFonts w:ascii="Arial" w:eastAsia="TimesNewRomanPSMT" w:hAnsi="Arial" w:cs="Arial"/>
          <w:b/>
          <w:lang w:val="es-ES"/>
        </w:rPr>
        <w:t>la dirección del programa irá entregando al financista los documentos que estén listos</w:t>
      </w:r>
      <w:r w:rsidR="002F70D4" w:rsidRPr="00EB048A">
        <w:rPr>
          <w:rFonts w:ascii="Arial" w:eastAsia="TimesNewRomanPSMT" w:hAnsi="Arial" w:cs="Arial"/>
          <w:lang w:val="es-ES"/>
        </w:rPr>
        <w:t xml:space="preserve">. O sea, </w:t>
      </w:r>
      <w:r w:rsidR="002F70D4" w:rsidRPr="0071122B">
        <w:rPr>
          <w:rFonts w:ascii="Arial" w:eastAsia="TimesNewRomanPSMT" w:hAnsi="Arial" w:cs="Arial"/>
          <w:b/>
          <w:lang w:val="es-ES"/>
        </w:rPr>
        <w:t>se debe evitar atrasar el proceso de contratación por esperar a que todos los proyectos de una entidad ejecutora principal estén listos</w:t>
      </w:r>
      <w:r w:rsidR="002F70D4" w:rsidRPr="00EB048A">
        <w:rPr>
          <w:rFonts w:ascii="Arial" w:eastAsia="TimesNewRomanPSMT" w:hAnsi="Arial" w:cs="Arial"/>
          <w:lang w:val="es-ES"/>
        </w:rPr>
        <w:t>, u otro criterio de agrupación de documentos.</w:t>
      </w:r>
    </w:p>
    <w:p w:rsidR="008525DB" w:rsidRPr="00EB048A" w:rsidRDefault="008525DB" w:rsidP="008525DB">
      <w:pPr>
        <w:spacing w:after="120" w:line="240" w:lineRule="auto"/>
        <w:jc w:val="both"/>
        <w:rPr>
          <w:rFonts w:ascii="Arial" w:eastAsia="TimesNewRomanPSMT" w:hAnsi="Arial" w:cs="Arial"/>
          <w:lang w:val="es-ES"/>
        </w:rPr>
      </w:pPr>
      <w:r w:rsidRPr="00EB048A">
        <w:rPr>
          <w:rFonts w:ascii="Arial" w:eastAsia="TimesNewRomanPSMT" w:hAnsi="Arial" w:cs="Arial"/>
          <w:lang w:val="es-ES"/>
        </w:rPr>
        <w:lastRenderedPageBreak/>
        <w:t xml:space="preserve">Los </w:t>
      </w:r>
      <w:r w:rsidRPr="00316788">
        <w:rPr>
          <w:rFonts w:ascii="Arial" w:eastAsia="TimesNewRomanPSMT" w:hAnsi="Arial" w:cs="Arial"/>
          <w:b/>
          <w:u w:val="single"/>
          <w:lang w:val="es-ES"/>
        </w:rPr>
        <w:t xml:space="preserve">programas y proyectos que </w:t>
      </w:r>
      <w:r w:rsidR="00E14C0E" w:rsidRPr="00316788">
        <w:rPr>
          <w:rFonts w:ascii="Arial" w:eastAsia="TimesNewRomanPSMT" w:hAnsi="Arial" w:cs="Arial"/>
          <w:b/>
          <w:u w:val="single"/>
          <w:lang w:val="es-ES"/>
        </w:rPr>
        <w:t>entreguen al financista la documentación correctamente confeccionada</w:t>
      </w:r>
      <w:r w:rsidR="0066568D" w:rsidRPr="00316788">
        <w:rPr>
          <w:rFonts w:ascii="Arial" w:eastAsia="TimesNewRomanPSMT" w:hAnsi="Arial" w:cs="Arial"/>
          <w:b/>
          <w:u w:val="single"/>
          <w:lang w:val="es-ES"/>
        </w:rPr>
        <w:t xml:space="preserve"> después de la fecha tope establecida</w:t>
      </w:r>
      <w:r w:rsidR="00E14C0E" w:rsidRPr="00316788">
        <w:rPr>
          <w:rFonts w:ascii="Arial" w:eastAsia="TimesNewRomanPSMT" w:hAnsi="Arial" w:cs="Arial"/>
          <w:b/>
          <w:u w:val="single"/>
          <w:lang w:val="es-ES"/>
        </w:rPr>
        <w:t>, solo tendrán derecho a recibir el financiamiento correspondiente al segundo semestre</w:t>
      </w:r>
      <w:r w:rsidR="00E14C0E" w:rsidRPr="00EB048A">
        <w:rPr>
          <w:rFonts w:ascii="Arial" w:eastAsia="TimesNewRomanPSMT" w:hAnsi="Arial" w:cs="Arial"/>
          <w:lang w:val="es-ES"/>
        </w:rPr>
        <w:t xml:space="preserve"> del año en curso. </w:t>
      </w:r>
    </w:p>
    <w:p w:rsidR="00153CC9" w:rsidRPr="00EB048A" w:rsidRDefault="00153CC9" w:rsidP="008525DB">
      <w:pPr>
        <w:spacing w:after="120" w:line="240" w:lineRule="auto"/>
        <w:ind w:left="360"/>
        <w:jc w:val="both"/>
        <w:rPr>
          <w:rFonts w:ascii="Arial" w:eastAsia="TimesNewRomanPSMT" w:hAnsi="Arial" w:cs="Arial"/>
          <w:lang w:val="es-ES"/>
        </w:rPr>
      </w:pPr>
    </w:p>
    <w:p w:rsidR="001E00A1" w:rsidRPr="00EB048A" w:rsidRDefault="001E00A1" w:rsidP="00AB5F08">
      <w:pPr>
        <w:pStyle w:val="Prrafodelista"/>
        <w:numPr>
          <w:ilvl w:val="0"/>
          <w:numId w:val="7"/>
        </w:numPr>
        <w:autoSpaceDE w:val="0"/>
        <w:autoSpaceDN w:val="0"/>
        <w:adjustRightInd w:val="0"/>
        <w:spacing w:after="120" w:line="240" w:lineRule="auto"/>
        <w:ind w:left="284" w:hanging="284"/>
        <w:jc w:val="both"/>
        <w:rPr>
          <w:rFonts w:ascii="Arial" w:eastAsia="TimesNewRomanPSMT" w:hAnsi="Arial" w:cs="Arial"/>
          <w:b/>
        </w:rPr>
      </w:pPr>
      <w:r w:rsidRPr="00EB048A">
        <w:rPr>
          <w:rFonts w:ascii="Arial" w:eastAsia="TimesNewRomanPSMT" w:hAnsi="Arial" w:cs="Arial"/>
          <w:b/>
        </w:rPr>
        <w:t>Sobre la ejecución y certificaciones.</w:t>
      </w:r>
    </w:p>
    <w:p w:rsidR="00EB048A" w:rsidRDefault="00C362AD" w:rsidP="001E00A1">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El </w:t>
      </w:r>
      <w:r w:rsidRPr="00203ED9">
        <w:rPr>
          <w:rFonts w:ascii="Arial" w:eastAsia="TimesNewRomanPSMT" w:hAnsi="Arial" w:cs="Arial"/>
          <w:b/>
          <w:lang w:val="es-ES"/>
        </w:rPr>
        <w:t xml:space="preserve">proceso de certificación de actividades y resultados de los programas y proyectos, </w:t>
      </w:r>
      <w:r w:rsidR="001E00A1" w:rsidRPr="00203ED9">
        <w:rPr>
          <w:rFonts w:ascii="Arial" w:eastAsia="TimesNewRomanPSMT" w:hAnsi="Arial" w:cs="Arial"/>
          <w:b/>
          <w:lang w:val="es-ES"/>
        </w:rPr>
        <w:t xml:space="preserve">se realiza sobre la base de las </w:t>
      </w:r>
      <w:r w:rsidRPr="00203ED9">
        <w:rPr>
          <w:rFonts w:ascii="Arial" w:eastAsia="TimesNewRomanPSMT" w:hAnsi="Arial" w:cs="Arial"/>
          <w:b/>
          <w:u w:val="single"/>
          <w:lang w:val="es-ES"/>
        </w:rPr>
        <w:t>normas jurídicas vigentes</w:t>
      </w:r>
      <w:r w:rsidR="00EB048A" w:rsidRPr="00EB048A">
        <w:rPr>
          <w:rFonts w:ascii="Arial" w:eastAsia="TimesNewRomanPSMT" w:hAnsi="Arial" w:cs="Arial"/>
          <w:lang w:val="es-ES"/>
        </w:rPr>
        <w:t xml:space="preserve">, </w:t>
      </w:r>
      <w:r w:rsidR="00EB048A">
        <w:rPr>
          <w:rFonts w:ascii="Arial" w:eastAsia="TimesNewRomanPSMT" w:hAnsi="Arial" w:cs="Arial"/>
          <w:lang w:val="es-ES"/>
        </w:rPr>
        <w:t xml:space="preserve">en particular, </w:t>
      </w:r>
      <w:r w:rsidR="00EB048A" w:rsidRPr="00EB048A">
        <w:rPr>
          <w:rFonts w:ascii="Arial" w:eastAsia="TimesNewRomanPSMT" w:hAnsi="Arial" w:cs="Arial"/>
          <w:lang w:val="es-ES"/>
        </w:rPr>
        <w:t xml:space="preserve">el </w:t>
      </w:r>
      <w:r w:rsidR="00EB048A" w:rsidRPr="00203ED9">
        <w:rPr>
          <w:rFonts w:ascii="Arial" w:eastAsia="TimesNewRomanPSMT" w:hAnsi="Arial" w:cs="Arial"/>
          <w:b/>
          <w:lang w:val="es-ES"/>
        </w:rPr>
        <w:t>Decreto 40/2021</w:t>
      </w:r>
      <w:r w:rsidR="00EB048A" w:rsidRPr="00EB048A">
        <w:rPr>
          <w:rFonts w:ascii="Arial" w:eastAsia="TimesNewRomanPSMT" w:hAnsi="Arial" w:cs="Arial"/>
          <w:lang w:val="es-ES"/>
        </w:rPr>
        <w:t xml:space="preserve"> “Reglamento del Decreto Ley 7 del Sistema de Ciencia, Tecnología e Innovación” (GOC-2021-765-O93)</w:t>
      </w:r>
      <w:r w:rsidR="00EB048A">
        <w:rPr>
          <w:rFonts w:ascii="Arial" w:eastAsia="TimesNewRomanPSMT" w:hAnsi="Arial" w:cs="Arial"/>
          <w:lang w:val="es-ES"/>
        </w:rPr>
        <w:t xml:space="preserve"> y </w:t>
      </w:r>
      <w:r w:rsidR="00EB048A" w:rsidRPr="00EB048A">
        <w:rPr>
          <w:rFonts w:ascii="Arial" w:eastAsia="TimesNewRomanPSMT" w:hAnsi="Arial" w:cs="Arial"/>
          <w:lang w:val="es-ES"/>
        </w:rPr>
        <w:t xml:space="preserve">de los procesos establecidos en la </w:t>
      </w:r>
      <w:r w:rsidR="00EB048A" w:rsidRPr="00203ED9">
        <w:rPr>
          <w:rFonts w:ascii="Arial" w:eastAsia="TimesNewRomanPSMT" w:hAnsi="Arial" w:cs="Arial"/>
          <w:b/>
          <w:lang w:val="es-ES"/>
        </w:rPr>
        <w:t>Resolución No.287/2019</w:t>
      </w:r>
      <w:r w:rsidR="00EB048A" w:rsidRPr="00EB048A">
        <w:rPr>
          <w:rFonts w:ascii="Arial" w:eastAsia="TimesNewRomanPSMT" w:hAnsi="Arial" w:cs="Arial"/>
          <w:lang w:val="es-ES"/>
        </w:rPr>
        <w:t xml:space="preserve"> “Reglamento del Sistema de Programas y Proyectos de Ciencia, Tecnología e Innovación</w:t>
      </w:r>
      <w:r w:rsidR="00EB048A">
        <w:rPr>
          <w:rFonts w:ascii="Arial" w:eastAsia="TimesNewRomanPSMT" w:hAnsi="Arial" w:cs="Arial"/>
          <w:lang w:val="es-ES"/>
        </w:rPr>
        <w:t>” del CITMA</w:t>
      </w:r>
      <w:r w:rsidR="00EB048A" w:rsidRPr="00EB048A">
        <w:rPr>
          <w:rFonts w:ascii="Arial" w:eastAsia="TimesNewRomanPSMT" w:hAnsi="Arial" w:cs="Arial"/>
          <w:lang w:val="es-ES"/>
        </w:rPr>
        <w:t xml:space="preserve"> y en las </w:t>
      </w:r>
      <w:r w:rsidR="00EB048A" w:rsidRPr="00203ED9">
        <w:rPr>
          <w:rFonts w:ascii="Arial" w:eastAsia="TimesNewRomanPSMT" w:hAnsi="Arial" w:cs="Arial"/>
          <w:b/>
          <w:lang w:val="es-ES"/>
        </w:rPr>
        <w:t>Indicaciones Metodológicas establecidas en el 2020</w:t>
      </w:r>
      <w:r w:rsidR="00EB048A">
        <w:rPr>
          <w:rFonts w:ascii="Arial" w:eastAsia="TimesNewRomanPSMT" w:hAnsi="Arial" w:cs="Arial"/>
          <w:lang w:val="es-ES"/>
        </w:rPr>
        <w:t xml:space="preserve"> por </w:t>
      </w:r>
      <w:r w:rsidR="009514C2">
        <w:rPr>
          <w:rFonts w:ascii="Arial" w:eastAsia="TimesNewRomanPSMT" w:hAnsi="Arial" w:cs="Arial"/>
          <w:lang w:val="es-ES"/>
        </w:rPr>
        <w:t>el</w:t>
      </w:r>
      <w:r w:rsidR="00EB048A">
        <w:rPr>
          <w:rFonts w:ascii="Arial" w:eastAsia="TimesNewRomanPSMT" w:hAnsi="Arial" w:cs="Arial"/>
          <w:lang w:val="es-ES"/>
        </w:rPr>
        <w:t xml:space="preserve"> propio organismo</w:t>
      </w:r>
      <w:r w:rsidR="00EB048A" w:rsidRPr="00EB048A">
        <w:rPr>
          <w:rFonts w:ascii="Arial" w:eastAsia="TimesNewRomanPSMT" w:hAnsi="Arial" w:cs="Arial"/>
          <w:lang w:val="es-ES"/>
        </w:rPr>
        <w:t>.</w:t>
      </w:r>
    </w:p>
    <w:p w:rsidR="0050322D" w:rsidRDefault="0050322D" w:rsidP="0050322D">
      <w:pPr>
        <w:autoSpaceDE w:val="0"/>
        <w:autoSpaceDN w:val="0"/>
        <w:adjustRightInd w:val="0"/>
        <w:spacing w:after="120" w:line="240" w:lineRule="auto"/>
        <w:jc w:val="both"/>
        <w:rPr>
          <w:rFonts w:ascii="Arial" w:eastAsia="TimesNewRomanPSMT" w:hAnsi="Arial" w:cs="Arial"/>
          <w:lang w:val="es-ES"/>
        </w:rPr>
      </w:pPr>
      <w:r w:rsidRPr="0050322D">
        <w:rPr>
          <w:rFonts w:ascii="Arial" w:eastAsia="TimesNewRomanPSMT" w:hAnsi="Arial" w:cs="Arial"/>
          <w:lang w:val="es-ES"/>
        </w:rPr>
        <w:t xml:space="preserve">El </w:t>
      </w:r>
      <w:r w:rsidRPr="00203ED9">
        <w:rPr>
          <w:rFonts w:ascii="Arial" w:eastAsia="TimesNewRomanPSMT" w:hAnsi="Arial" w:cs="Arial"/>
          <w:b/>
          <w:lang w:val="es-ES"/>
        </w:rPr>
        <w:t>proyecto, es una actividad económica que impacta en el plan de ingresos de la entidad</w:t>
      </w:r>
      <w:r w:rsidRPr="0050322D">
        <w:rPr>
          <w:rFonts w:ascii="Arial" w:eastAsia="TimesNewRomanPSMT" w:hAnsi="Arial" w:cs="Arial"/>
          <w:lang w:val="es-ES"/>
        </w:rPr>
        <w:t xml:space="preserve">, por lo que se requiere una </w:t>
      </w:r>
      <w:r w:rsidRPr="00203ED9">
        <w:rPr>
          <w:rFonts w:ascii="Arial" w:eastAsia="TimesNewRomanPSMT" w:hAnsi="Arial" w:cs="Arial"/>
          <w:b/>
          <w:lang w:val="es-ES"/>
        </w:rPr>
        <w:t>evaluación sistemática</w:t>
      </w:r>
      <w:r w:rsidRPr="0050322D">
        <w:rPr>
          <w:rFonts w:ascii="Arial" w:eastAsia="TimesNewRomanPSMT" w:hAnsi="Arial" w:cs="Arial"/>
          <w:lang w:val="es-ES"/>
        </w:rPr>
        <w:t xml:space="preserve"> del estado de cumplimiento de los cronogramas ejecutivos, por parte del </w:t>
      </w:r>
      <w:r w:rsidRPr="00203ED9">
        <w:rPr>
          <w:rFonts w:ascii="Arial" w:eastAsia="TimesNewRomanPSMT" w:hAnsi="Arial" w:cs="Arial"/>
          <w:b/>
          <w:lang w:val="es-ES"/>
        </w:rPr>
        <w:t>Comité de Contratación, el Consejo Técnico Asesor o el Consejo de Dirección,</w:t>
      </w:r>
      <w:r w:rsidRPr="0050322D">
        <w:rPr>
          <w:rFonts w:ascii="Arial" w:eastAsia="TimesNewRomanPSMT" w:hAnsi="Arial" w:cs="Arial"/>
          <w:lang w:val="es-ES"/>
        </w:rPr>
        <w:t xml:space="preserve"> ante los cuales, los jefes de programas y jefes de proyectos deben rendir cuenta.</w:t>
      </w:r>
    </w:p>
    <w:p w:rsidR="00053AC3" w:rsidRPr="00EB048A" w:rsidRDefault="00053AC3" w:rsidP="0050322D">
      <w:pPr>
        <w:autoSpaceDE w:val="0"/>
        <w:autoSpaceDN w:val="0"/>
        <w:adjustRightInd w:val="0"/>
        <w:spacing w:after="120" w:line="240" w:lineRule="auto"/>
        <w:jc w:val="both"/>
        <w:rPr>
          <w:rFonts w:ascii="Arial" w:eastAsia="TimesNewRomanPSMT" w:hAnsi="Arial" w:cs="Arial"/>
          <w:lang w:val="es-ES"/>
        </w:rPr>
      </w:pPr>
      <w:r>
        <w:rPr>
          <w:rFonts w:ascii="Arial" w:eastAsia="TimesNewRomanPSMT" w:hAnsi="Arial" w:cs="Arial"/>
          <w:lang w:val="es-ES"/>
        </w:rPr>
        <w:t xml:space="preserve">Se indica que </w:t>
      </w:r>
      <w:r w:rsidRPr="00203ED9">
        <w:rPr>
          <w:rFonts w:ascii="Arial" w:eastAsia="TimesNewRomanPSMT" w:hAnsi="Arial" w:cs="Arial"/>
          <w:b/>
          <w:lang w:val="es-ES"/>
        </w:rPr>
        <w:t>los proyectos que comenzaron su ejecución en el año 2021</w:t>
      </w:r>
      <w:r>
        <w:rPr>
          <w:rFonts w:ascii="Arial" w:eastAsia="TimesNewRomanPSMT" w:hAnsi="Arial" w:cs="Arial"/>
          <w:lang w:val="es-ES"/>
        </w:rPr>
        <w:t xml:space="preserve">, cuyas </w:t>
      </w:r>
      <w:r w:rsidRPr="00203ED9">
        <w:rPr>
          <w:rFonts w:ascii="Arial" w:eastAsia="TimesNewRomanPSMT" w:hAnsi="Arial" w:cs="Arial"/>
          <w:b/>
          <w:lang w:val="es-ES"/>
        </w:rPr>
        <w:t>Entidades Ejecutoras Principales (EEP) son empresas</w:t>
      </w:r>
      <w:r>
        <w:rPr>
          <w:rFonts w:ascii="Arial" w:eastAsia="TimesNewRomanPSMT" w:hAnsi="Arial" w:cs="Arial"/>
          <w:lang w:val="es-ES"/>
        </w:rPr>
        <w:t xml:space="preserve">, y que </w:t>
      </w:r>
      <w:r w:rsidRPr="00203ED9">
        <w:rPr>
          <w:rFonts w:ascii="Arial" w:eastAsia="TimesNewRomanPSMT" w:hAnsi="Arial" w:cs="Arial"/>
          <w:b/>
          <w:lang w:val="es-ES"/>
        </w:rPr>
        <w:t>realizaron los cálculos de gastos de sus presupuestos basados en los salarios que devengaban sus participantes antes de la aprobación del Decreto 53/2021</w:t>
      </w:r>
      <w:r w:rsidRPr="00053AC3">
        <w:rPr>
          <w:rFonts w:ascii="Arial" w:eastAsia="TimesNewRomanPSMT" w:hAnsi="Arial" w:cs="Arial"/>
          <w:lang w:val="es-ES"/>
        </w:rPr>
        <w:t xml:space="preserve"> “De la organización del sistema salarial en el sistema empresarial estatal cubano” (GOC-2021-847-EX80)</w:t>
      </w:r>
      <w:r>
        <w:rPr>
          <w:rFonts w:ascii="Arial" w:eastAsia="TimesNewRomanPSMT" w:hAnsi="Arial" w:cs="Arial"/>
          <w:lang w:val="es-ES"/>
        </w:rPr>
        <w:t xml:space="preserve">, </w:t>
      </w:r>
      <w:r w:rsidRPr="00203ED9">
        <w:rPr>
          <w:rFonts w:ascii="Arial" w:eastAsia="TimesNewRomanPSMT" w:hAnsi="Arial" w:cs="Arial"/>
          <w:b/>
          <w:lang w:val="es-ES"/>
        </w:rPr>
        <w:t>deberán mantener estos gastos, por ese concepto, hasta el cierre de los mismos</w:t>
      </w:r>
      <w:r>
        <w:rPr>
          <w:rFonts w:ascii="Arial" w:eastAsia="TimesNewRomanPSMT" w:hAnsi="Arial" w:cs="Arial"/>
          <w:lang w:val="es-ES"/>
        </w:rPr>
        <w:t xml:space="preserve">. En los casos de los </w:t>
      </w:r>
      <w:r w:rsidRPr="00203ED9">
        <w:rPr>
          <w:rFonts w:ascii="Arial" w:eastAsia="TimesNewRomanPSMT" w:hAnsi="Arial" w:cs="Arial"/>
          <w:b/>
          <w:lang w:val="es-ES"/>
        </w:rPr>
        <w:t>nuevos proyectos</w:t>
      </w:r>
      <w:r>
        <w:rPr>
          <w:rFonts w:ascii="Arial" w:eastAsia="TimesNewRomanPSMT" w:hAnsi="Arial" w:cs="Arial"/>
          <w:lang w:val="es-ES"/>
        </w:rPr>
        <w:t xml:space="preserve"> que se aprueben después de esa fecha, si </w:t>
      </w:r>
      <w:r w:rsidRPr="00203ED9">
        <w:rPr>
          <w:rFonts w:ascii="Arial" w:eastAsia="TimesNewRomanPSMT" w:hAnsi="Arial" w:cs="Arial"/>
          <w:b/>
          <w:lang w:val="es-ES"/>
        </w:rPr>
        <w:t>podrán basar los cálculos de los gastos por concepto de salarios, con los nuevos salarios</w:t>
      </w:r>
      <w:r>
        <w:rPr>
          <w:rFonts w:ascii="Arial" w:eastAsia="TimesNewRomanPSMT" w:hAnsi="Arial" w:cs="Arial"/>
          <w:lang w:val="es-ES"/>
        </w:rPr>
        <w:t xml:space="preserve"> aprobados por la máxima dirección de dichas entidades y deberán </w:t>
      </w:r>
      <w:r w:rsidRPr="00203ED9">
        <w:rPr>
          <w:rFonts w:ascii="Arial" w:eastAsia="TimesNewRomanPSMT" w:hAnsi="Arial" w:cs="Arial"/>
          <w:b/>
          <w:lang w:val="es-ES"/>
        </w:rPr>
        <w:t xml:space="preserve">presentar al financista las certificaciones de salarios correspondientes </w:t>
      </w:r>
      <w:r>
        <w:rPr>
          <w:rFonts w:ascii="Arial" w:eastAsia="TimesNewRomanPSMT" w:hAnsi="Arial" w:cs="Arial"/>
          <w:lang w:val="es-ES"/>
        </w:rPr>
        <w:t>que los acreditan.</w:t>
      </w:r>
    </w:p>
    <w:p w:rsidR="00EB048A" w:rsidRDefault="00B73E2A" w:rsidP="001E00A1">
      <w:pPr>
        <w:autoSpaceDE w:val="0"/>
        <w:autoSpaceDN w:val="0"/>
        <w:adjustRightInd w:val="0"/>
        <w:spacing w:after="120" w:line="240" w:lineRule="auto"/>
        <w:jc w:val="both"/>
        <w:rPr>
          <w:rFonts w:ascii="Arial" w:eastAsia="TimesNewRomanPSMT" w:hAnsi="Arial" w:cs="Arial"/>
          <w:lang w:val="es-ES"/>
        </w:rPr>
      </w:pPr>
      <w:r>
        <w:rPr>
          <w:rFonts w:ascii="Arial" w:eastAsia="TimesNewRomanPSMT" w:hAnsi="Arial" w:cs="Arial"/>
          <w:lang w:val="es-ES"/>
        </w:rPr>
        <w:t>En aras de facilitar el proceso de transferencia financiera del financista a las entidades gestoras y ejecutoras, de los montos que se declaran en las certificaciones, se establece lo siguiente:</w:t>
      </w:r>
    </w:p>
    <w:p w:rsidR="00B73E2A" w:rsidRPr="00EB048A" w:rsidRDefault="00B73E2A" w:rsidP="00E37D56">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Las </w:t>
      </w:r>
      <w:r w:rsidR="00D7132F" w:rsidRPr="00203ED9">
        <w:rPr>
          <w:rFonts w:ascii="Arial" w:eastAsia="TimesNewRomanPSMT" w:hAnsi="Arial" w:cs="Arial"/>
          <w:b/>
          <w:lang w:val="es-ES"/>
        </w:rPr>
        <w:t>EEP</w:t>
      </w:r>
      <w:r w:rsidRPr="00203ED9">
        <w:rPr>
          <w:rFonts w:ascii="Arial" w:eastAsia="TimesNewRomanPSMT" w:hAnsi="Arial" w:cs="Arial"/>
          <w:b/>
          <w:lang w:val="es-ES"/>
        </w:rPr>
        <w:t xml:space="preserve"> de los proyectos</w:t>
      </w:r>
      <w:r>
        <w:rPr>
          <w:rFonts w:ascii="Arial" w:eastAsia="TimesNewRomanPSMT" w:hAnsi="Arial" w:cs="Arial"/>
          <w:lang w:val="es-ES"/>
        </w:rPr>
        <w:t xml:space="preserve">, entregarán a la </w:t>
      </w:r>
      <w:r w:rsidRPr="00203ED9">
        <w:rPr>
          <w:rFonts w:ascii="Arial" w:eastAsia="TimesNewRomanPSMT" w:hAnsi="Arial" w:cs="Arial"/>
          <w:b/>
          <w:lang w:val="es-ES"/>
        </w:rPr>
        <w:t>Dirección de los Programas</w:t>
      </w:r>
      <w:r w:rsidRPr="00EB048A">
        <w:rPr>
          <w:rFonts w:ascii="Arial" w:eastAsia="TimesNewRomanPSMT" w:hAnsi="Arial" w:cs="Arial"/>
          <w:lang w:val="es-ES"/>
        </w:rPr>
        <w:t>:</w:t>
      </w:r>
    </w:p>
    <w:p w:rsidR="00D7132F"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Solicitudes de Anticipo</w:t>
      </w:r>
      <w:r>
        <w:rPr>
          <w:rFonts w:ascii="Arial" w:eastAsia="TimesNewRomanPSMT" w:hAnsi="Arial" w:cs="Arial"/>
          <w:lang w:val="es-ES"/>
        </w:rPr>
        <w:t xml:space="preserve"> de los proyectos asociados que los necesiten</w:t>
      </w:r>
      <w:r w:rsidR="00B5434B">
        <w:rPr>
          <w:rFonts w:ascii="Arial" w:eastAsia="TimesNewRomanPSMT" w:hAnsi="Arial" w:cs="Arial"/>
          <w:lang w:val="es-ES"/>
        </w:rPr>
        <w:t xml:space="preserve"> (</w:t>
      </w:r>
      <w:r w:rsidR="00B5434B" w:rsidRPr="00203ED9">
        <w:rPr>
          <w:rFonts w:ascii="Arial" w:eastAsia="TimesNewRomanPSMT" w:hAnsi="Arial" w:cs="Arial"/>
          <w:b/>
          <w:lang w:val="es-ES"/>
        </w:rPr>
        <w:t>Anexos 14</w:t>
      </w:r>
      <w:r w:rsidR="00B5434B">
        <w:rPr>
          <w:rFonts w:ascii="Arial" w:eastAsia="TimesNewRomanPSMT" w:hAnsi="Arial" w:cs="Arial"/>
          <w:lang w:val="es-ES"/>
        </w:rPr>
        <w:t>)</w:t>
      </w:r>
      <w:r w:rsidRPr="00EB048A">
        <w:rPr>
          <w:rFonts w:ascii="Arial" w:eastAsia="TimesNewRomanPSMT" w:hAnsi="Arial" w:cs="Arial"/>
          <w:lang w:val="es-ES"/>
        </w:rPr>
        <w:t>.</w:t>
      </w:r>
    </w:p>
    <w:p w:rsidR="00D7132F"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Informes científico técnicos</w:t>
      </w:r>
      <w:r w:rsidR="00381A9C">
        <w:rPr>
          <w:rFonts w:ascii="Arial" w:eastAsia="TimesNewRomanPSMT" w:hAnsi="Arial" w:cs="Arial"/>
          <w:lang w:val="es-ES"/>
        </w:rPr>
        <w:t xml:space="preserve"> semestrales</w:t>
      </w:r>
    </w:p>
    <w:p w:rsidR="00D7132F"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Avales del Consejo Científico</w:t>
      </w:r>
      <w:r>
        <w:rPr>
          <w:rFonts w:ascii="Arial" w:eastAsia="TimesNewRomanPSMT" w:hAnsi="Arial" w:cs="Arial"/>
          <w:lang w:val="es-ES"/>
        </w:rPr>
        <w:t xml:space="preserve"> sobre los informes científico técnicos</w:t>
      </w:r>
      <w:r w:rsidR="00381A9C" w:rsidRPr="00381A9C">
        <w:rPr>
          <w:rFonts w:ascii="Arial" w:eastAsia="TimesNewRomanPSMT" w:hAnsi="Arial" w:cs="Arial"/>
          <w:lang w:val="es-ES"/>
        </w:rPr>
        <w:t xml:space="preserve"> </w:t>
      </w:r>
      <w:r w:rsidR="00381A9C">
        <w:rPr>
          <w:rFonts w:ascii="Arial" w:eastAsia="TimesNewRomanPSMT" w:hAnsi="Arial" w:cs="Arial"/>
          <w:lang w:val="es-ES"/>
        </w:rPr>
        <w:t>semestrales</w:t>
      </w:r>
    </w:p>
    <w:p w:rsidR="00D7132F" w:rsidRDefault="00B5434B"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Modelos de Informe Semestral</w:t>
      </w:r>
      <w:r w:rsidRPr="00E37D56">
        <w:rPr>
          <w:rFonts w:ascii="Arial" w:eastAsia="TimesNewRomanPSMT" w:hAnsi="Arial" w:cs="Arial"/>
          <w:lang w:val="es-ES"/>
        </w:rPr>
        <w:t xml:space="preserve"> del Proyecto</w:t>
      </w:r>
      <w:r>
        <w:rPr>
          <w:rFonts w:ascii="Arial" w:eastAsia="TimesNewRomanPSMT" w:hAnsi="Arial" w:cs="Arial"/>
          <w:lang w:val="es-ES"/>
        </w:rPr>
        <w:t xml:space="preserve"> (</w:t>
      </w:r>
      <w:r w:rsidR="00D7132F" w:rsidRPr="00203ED9">
        <w:rPr>
          <w:rFonts w:ascii="Arial" w:eastAsia="TimesNewRomanPSMT" w:hAnsi="Arial" w:cs="Arial"/>
          <w:b/>
          <w:lang w:val="es-ES"/>
        </w:rPr>
        <w:t>Anexos 13</w:t>
      </w:r>
      <w:r>
        <w:rPr>
          <w:rFonts w:ascii="Arial" w:eastAsia="TimesNewRomanPSMT" w:hAnsi="Arial" w:cs="Arial"/>
          <w:lang w:val="es-ES"/>
        </w:rPr>
        <w:t>)</w:t>
      </w:r>
    </w:p>
    <w:p w:rsidR="00D7132F" w:rsidRDefault="00B5434B"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Modelo de Certificación de Actividades/Resultados</w:t>
      </w:r>
      <w:r w:rsidRPr="00E37D56">
        <w:rPr>
          <w:rFonts w:ascii="Arial" w:eastAsia="TimesNewRomanPSMT" w:hAnsi="Arial" w:cs="Arial"/>
          <w:lang w:val="es-ES"/>
        </w:rPr>
        <w:t xml:space="preserve"> (</w:t>
      </w:r>
      <w:r w:rsidR="00D7132F" w:rsidRPr="00203ED9">
        <w:rPr>
          <w:rFonts w:ascii="Arial" w:eastAsia="TimesNewRomanPSMT" w:hAnsi="Arial" w:cs="Arial"/>
          <w:b/>
          <w:lang w:val="es-ES"/>
        </w:rPr>
        <w:t>Anexo</w:t>
      </w:r>
      <w:r w:rsidRPr="00203ED9">
        <w:rPr>
          <w:rFonts w:ascii="Arial" w:eastAsia="TimesNewRomanPSMT" w:hAnsi="Arial" w:cs="Arial"/>
          <w:b/>
          <w:lang w:val="es-ES"/>
        </w:rPr>
        <w:t>s</w:t>
      </w:r>
      <w:r w:rsidR="00D7132F" w:rsidRPr="00203ED9">
        <w:rPr>
          <w:rFonts w:ascii="Arial" w:eastAsia="TimesNewRomanPSMT" w:hAnsi="Arial" w:cs="Arial"/>
          <w:b/>
          <w:lang w:val="es-ES"/>
        </w:rPr>
        <w:t xml:space="preserve"> 15</w:t>
      </w:r>
      <w:r>
        <w:rPr>
          <w:rFonts w:ascii="Arial" w:eastAsia="TimesNewRomanPSMT" w:hAnsi="Arial" w:cs="Arial"/>
          <w:lang w:val="es-ES"/>
        </w:rPr>
        <w:t xml:space="preserve">), </w:t>
      </w:r>
      <w:r w:rsidRPr="00203ED9">
        <w:rPr>
          <w:rFonts w:ascii="Arial" w:eastAsia="TimesNewRomanPSMT" w:hAnsi="Arial" w:cs="Arial"/>
          <w:b/>
          <w:u w:val="single"/>
          <w:lang w:val="es-ES"/>
        </w:rPr>
        <w:t>trimestral</w:t>
      </w:r>
      <w:r>
        <w:rPr>
          <w:rFonts w:ascii="Arial" w:eastAsia="TimesNewRomanPSMT" w:hAnsi="Arial" w:cs="Arial"/>
          <w:lang w:val="es-ES"/>
        </w:rPr>
        <w:t xml:space="preserve"> o </w:t>
      </w:r>
      <w:r w:rsidRPr="00203ED9">
        <w:rPr>
          <w:rFonts w:ascii="Arial" w:eastAsia="TimesNewRomanPSMT" w:hAnsi="Arial" w:cs="Arial"/>
          <w:b/>
          <w:u w:val="single"/>
          <w:lang w:val="es-ES"/>
        </w:rPr>
        <w:t>semestralmente</w:t>
      </w:r>
      <w:r>
        <w:rPr>
          <w:rFonts w:ascii="Arial" w:eastAsia="TimesNewRomanPSMT" w:hAnsi="Arial" w:cs="Arial"/>
          <w:lang w:val="es-ES"/>
        </w:rPr>
        <w:t xml:space="preserve">, </w:t>
      </w:r>
      <w:r w:rsidRPr="00203ED9">
        <w:rPr>
          <w:rFonts w:ascii="Arial" w:eastAsia="TimesNewRomanPSMT" w:hAnsi="Arial" w:cs="Arial"/>
          <w:b/>
          <w:lang w:val="es-ES"/>
        </w:rPr>
        <w:t>según se declare</w:t>
      </w:r>
      <w:r>
        <w:rPr>
          <w:rFonts w:ascii="Arial" w:eastAsia="TimesNewRomanPSMT" w:hAnsi="Arial" w:cs="Arial"/>
          <w:lang w:val="es-ES"/>
        </w:rPr>
        <w:t xml:space="preserve"> en el contrato o suplemento.</w:t>
      </w:r>
    </w:p>
    <w:p w:rsidR="00D7132F" w:rsidRPr="00EB048A"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 xml:space="preserve">Certificos de gastos </w:t>
      </w:r>
      <w:r>
        <w:rPr>
          <w:rFonts w:ascii="Arial" w:eastAsia="TimesNewRomanPSMT" w:hAnsi="Arial" w:cs="Arial"/>
          <w:lang w:val="es-ES"/>
        </w:rPr>
        <w:t>de las EEP</w:t>
      </w:r>
      <w:r w:rsidR="00B5434B">
        <w:rPr>
          <w:rFonts w:ascii="Arial" w:eastAsia="TimesNewRomanPSMT" w:hAnsi="Arial" w:cs="Arial"/>
          <w:lang w:val="es-ES"/>
        </w:rPr>
        <w:t xml:space="preserve"> (</w:t>
      </w:r>
      <w:r w:rsidR="00B5434B" w:rsidRPr="00203ED9">
        <w:rPr>
          <w:rFonts w:ascii="Arial" w:eastAsia="TimesNewRomanPSMT" w:hAnsi="Arial" w:cs="Arial"/>
          <w:b/>
          <w:lang w:val="es-ES"/>
        </w:rPr>
        <w:t>firmado y acuñado por la Dirección Económica y la máxima dirección de la EEP</w:t>
      </w:r>
      <w:r w:rsidR="00B5434B">
        <w:rPr>
          <w:rFonts w:ascii="Arial" w:eastAsia="TimesNewRomanPSMT" w:hAnsi="Arial" w:cs="Arial"/>
          <w:lang w:val="es-ES"/>
        </w:rPr>
        <w:t>)</w:t>
      </w:r>
      <w:r w:rsidR="005474B7">
        <w:rPr>
          <w:rFonts w:ascii="Arial" w:eastAsia="TimesNewRomanPSMT" w:hAnsi="Arial" w:cs="Arial"/>
          <w:lang w:val="es-ES"/>
        </w:rPr>
        <w:t>.</w:t>
      </w:r>
    </w:p>
    <w:p w:rsidR="00B73E2A" w:rsidRPr="00EB048A" w:rsidRDefault="00A2198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203ED9">
        <w:rPr>
          <w:rFonts w:ascii="Arial" w:eastAsia="TimesNewRomanPSMT" w:hAnsi="Arial" w:cs="Arial"/>
          <w:b/>
          <w:lang w:val="es-ES"/>
        </w:rPr>
        <w:t>Informe</w:t>
      </w:r>
      <w:r w:rsidRPr="00203ED9">
        <w:rPr>
          <w:rFonts w:ascii="Arial" w:hAnsi="Arial" w:cs="Arial"/>
          <w:b/>
          <w:color w:val="000000" w:themeColor="text1"/>
          <w:lang w:val="es-ES_tradnl"/>
        </w:rPr>
        <w:t xml:space="preserve"> Final de proyecto</w:t>
      </w:r>
      <w:r>
        <w:rPr>
          <w:rFonts w:ascii="Arial" w:hAnsi="Arial" w:cs="Arial"/>
          <w:color w:val="000000" w:themeColor="text1"/>
          <w:lang w:val="es-ES_tradnl"/>
        </w:rPr>
        <w:t xml:space="preserve"> (</w:t>
      </w:r>
      <w:r w:rsidRPr="00203ED9">
        <w:rPr>
          <w:rFonts w:ascii="Arial" w:hAnsi="Arial" w:cs="Arial"/>
          <w:b/>
          <w:color w:val="000000" w:themeColor="text1"/>
          <w:lang w:val="es-ES_tradnl"/>
        </w:rPr>
        <w:t>Anexo 22</w:t>
      </w:r>
      <w:r>
        <w:rPr>
          <w:rFonts w:ascii="Arial" w:hAnsi="Arial" w:cs="Arial"/>
          <w:color w:val="000000" w:themeColor="text1"/>
          <w:lang w:val="es-ES_tradnl"/>
        </w:rPr>
        <w:t>), en los casos de los proyectos que culminan este año</w:t>
      </w:r>
      <w:r w:rsidR="00B73E2A" w:rsidRPr="00EB048A">
        <w:rPr>
          <w:rFonts w:ascii="Arial" w:eastAsia="TimesNewRomanPSMT" w:hAnsi="Arial" w:cs="Arial"/>
          <w:lang w:val="es-ES"/>
        </w:rPr>
        <w:t>.</w:t>
      </w:r>
    </w:p>
    <w:p w:rsidR="00636E9E" w:rsidRDefault="00983D0E" w:rsidP="00E37D56">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lastRenderedPageBreak/>
        <w:t xml:space="preserve">Las </w:t>
      </w:r>
      <w:r w:rsidRPr="00DC0395">
        <w:rPr>
          <w:rFonts w:ascii="Arial" w:eastAsia="TimesNewRomanPSMT" w:hAnsi="Arial" w:cs="Arial"/>
          <w:b/>
          <w:lang w:val="es-ES"/>
        </w:rPr>
        <w:t>EEP deberán garantizar</w:t>
      </w:r>
      <w:r>
        <w:rPr>
          <w:rFonts w:ascii="Arial" w:eastAsia="TimesNewRomanPSMT" w:hAnsi="Arial" w:cs="Arial"/>
          <w:lang w:val="es-ES"/>
        </w:rPr>
        <w:t>, además, la confección de</w:t>
      </w:r>
      <w:r w:rsidR="00636E9E">
        <w:rPr>
          <w:rFonts w:ascii="Arial" w:eastAsia="TimesNewRomanPSMT" w:hAnsi="Arial" w:cs="Arial"/>
          <w:lang w:val="es-ES"/>
        </w:rPr>
        <w:t xml:space="preserve">: </w:t>
      </w:r>
    </w:p>
    <w:p w:rsidR="00636E9E" w:rsidRDefault="00983D0E"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 xml:space="preserve">las </w:t>
      </w:r>
      <w:r w:rsidRPr="00DC0395">
        <w:rPr>
          <w:rFonts w:ascii="Arial" w:eastAsia="TimesNewRomanPSMT" w:hAnsi="Arial" w:cs="Arial"/>
          <w:b/>
          <w:lang w:val="es-ES"/>
        </w:rPr>
        <w:t>Actas de Conformidad</w:t>
      </w:r>
      <w:r>
        <w:rPr>
          <w:rFonts w:ascii="Arial" w:eastAsia="TimesNewRomanPSMT" w:hAnsi="Arial" w:cs="Arial"/>
          <w:lang w:val="es-ES"/>
        </w:rPr>
        <w:t xml:space="preserve"> para el pago de la remuneración</w:t>
      </w:r>
      <w:r w:rsidR="00636E9E">
        <w:rPr>
          <w:rFonts w:ascii="Arial" w:eastAsia="TimesNewRomanPSMT" w:hAnsi="Arial" w:cs="Arial"/>
          <w:lang w:val="es-ES"/>
        </w:rPr>
        <w:t xml:space="preserve"> </w:t>
      </w:r>
      <w:r w:rsidR="00636E9E" w:rsidRPr="00E37D56">
        <w:rPr>
          <w:rFonts w:ascii="Arial" w:eastAsia="TimesNewRomanPSMT" w:hAnsi="Arial" w:cs="Arial"/>
          <w:lang w:val="es-ES"/>
        </w:rPr>
        <w:t>(</w:t>
      </w:r>
      <w:r w:rsidR="00636E9E" w:rsidRPr="00DC0395">
        <w:rPr>
          <w:rFonts w:ascii="Arial" w:eastAsia="TimesNewRomanPSMT" w:hAnsi="Arial" w:cs="Arial"/>
          <w:b/>
          <w:lang w:val="es-ES"/>
        </w:rPr>
        <w:t>Anexo 26)</w:t>
      </w:r>
      <w:r>
        <w:rPr>
          <w:rFonts w:ascii="Arial" w:eastAsia="TimesNewRomanPSMT" w:hAnsi="Arial" w:cs="Arial"/>
          <w:lang w:val="es-ES"/>
        </w:rPr>
        <w:t xml:space="preserve"> y </w:t>
      </w:r>
    </w:p>
    <w:p w:rsidR="00636E9E" w:rsidRDefault="00983D0E"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 xml:space="preserve">las </w:t>
      </w:r>
      <w:r w:rsidRPr="00DC0395">
        <w:rPr>
          <w:rFonts w:ascii="Arial" w:eastAsia="TimesNewRomanPSMT" w:hAnsi="Arial" w:cs="Arial"/>
          <w:b/>
          <w:lang w:val="es-ES"/>
        </w:rPr>
        <w:t xml:space="preserve">evaluaciones para el </w:t>
      </w:r>
      <w:r w:rsidRPr="00DC0395">
        <w:rPr>
          <w:rFonts w:ascii="Arial" w:hAnsi="Arial" w:cs="Arial"/>
          <w:b/>
          <w:color w:val="000000" w:themeColor="text1"/>
          <w:lang w:val="es-ES_tradnl"/>
        </w:rPr>
        <w:t>cálculo de la remuneración</w:t>
      </w:r>
      <w:r w:rsidRPr="00931972">
        <w:rPr>
          <w:rFonts w:ascii="Arial" w:hAnsi="Arial" w:cs="Arial"/>
          <w:color w:val="000000" w:themeColor="text1"/>
          <w:lang w:val="es-ES_tradnl"/>
        </w:rPr>
        <w:t xml:space="preserve"> de l</w:t>
      </w:r>
      <w:r>
        <w:rPr>
          <w:rFonts w:ascii="Arial" w:hAnsi="Arial" w:cs="Arial"/>
          <w:color w:val="000000" w:themeColor="text1"/>
          <w:lang w:val="es-ES_tradnl"/>
        </w:rPr>
        <w:t>os participantes y jefes de proyectos (</w:t>
      </w:r>
      <w:r w:rsidRPr="00DC0395">
        <w:rPr>
          <w:rFonts w:ascii="Arial" w:hAnsi="Arial" w:cs="Arial"/>
          <w:b/>
          <w:color w:val="000000" w:themeColor="text1"/>
          <w:lang w:val="es-ES_tradnl"/>
        </w:rPr>
        <w:t>Anexo 26</w:t>
      </w:r>
      <w:r>
        <w:rPr>
          <w:rFonts w:ascii="Arial" w:hAnsi="Arial" w:cs="Arial"/>
          <w:color w:val="000000" w:themeColor="text1"/>
          <w:lang w:val="es-ES_tradnl"/>
        </w:rPr>
        <w:t>)</w:t>
      </w:r>
      <w:r>
        <w:rPr>
          <w:rFonts w:ascii="Arial" w:eastAsia="TimesNewRomanPSMT" w:hAnsi="Arial" w:cs="Arial"/>
          <w:lang w:val="es-ES"/>
        </w:rPr>
        <w:t xml:space="preserve">, </w:t>
      </w:r>
    </w:p>
    <w:p w:rsidR="00983D0E" w:rsidRDefault="00983D0E" w:rsidP="00E37D56">
      <w:pPr>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las cuales </w:t>
      </w:r>
      <w:r w:rsidRPr="00DC0395">
        <w:rPr>
          <w:rFonts w:ascii="Arial" w:eastAsia="TimesNewRomanPSMT" w:hAnsi="Arial" w:cs="Arial"/>
          <w:b/>
          <w:lang w:val="es-ES"/>
        </w:rPr>
        <w:t>se anexarán debidamente firmadas en los Expedientes</w:t>
      </w:r>
      <w:r>
        <w:rPr>
          <w:rFonts w:ascii="Arial" w:eastAsia="TimesNewRomanPSMT" w:hAnsi="Arial" w:cs="Arial"/>
          <w:lang w:val="es-ES"/>
        </w:rPr>
        <w:t xml:space="preserve"> de los proyectos. </w:t>
      </w:r>
    </w:p>
    <w:p w:rsidR="00983D0E" w:rsidRDefault="00983D0E" w:rsidP="00E37D56">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 </w:t>
      </w:r>
      <w:r w:rsidRPr="00DC0395">
        <w:rPr>
          <w:rFonts w:ascii="Arial" w:eastAsia="TimesNewRomanPSMT" w:hAnsi="Arial" w:cs="Arial"/>
          <w:b/>
          <w:lang w:val="es-ES"/>
        </w:rPr>
        <w:t>Dirección de los Programas</w:t>
      </w:r>
      <w:r>
        <w:rPr>
          <w:rFonts w:ascii="Arial" w:eastAsia="TimesNewRomanPSMT" w:hAnsi="Arial" w:cs="Arial"/>
          <w:lang w:val="es-ES"/>
        </w:rPr>
        <w:t xml:space="preserve"> será la responsable de </w:t>
      </w:r>
      <w:r w:rsidRPr="00DC0395">
        <w:rPr>
          <w:rFonts w:ascii="Arial" w:eastAsia="TimesNewRomanPSMT" w:hAnsi="Arial" w:cs="Arial"/>
          <w:b/>
          <w:lang w:val="es-ES"/>
        </w:rPr>
        <w:t>revisar y garantizar la adecuada confección de la documentación</w:t>
      </w:r>
      <w:r>
        <w:rPr>
          <w:rFonts w:ascii="Arial" w:eastAsia="TimesNewRomanPSMT" w:hAnsi="Arial" w:cs="Arial"/>
          <w:lang w:val="es-ES"/>
        </w:rPr>
        <w:t xml:space="preserve"> entregada por los jefes de proyectos</w:t>
      </w:r>
      <w:r w:rsidR="00636E9E">
        <w:rPr>
          <w:rFonts w:ascii="Arial" w:eastAsia="TimesNewRomanPSMT" w:hAnsi="Arial" w:cs="Arial"/>
          <w:lang w:val="es-ES"/>
        </w:rPr>
        <w:t xml:space="preserve">, </w:t>
      </w:r>
      <w:r w:rsidR="00636E9E" w:rsidRPr="00DC0395">
        <w:rPr>
          <w:rFonts w:ascii="Arial" w:eastAsia="TimesNewRomanPSMT" w:hAnsi="Arial" w:cs="Arial"/>
          <w:b/>
          <w:lang w:val="es-ES"/>
        </w:rPr>
        <w:t>tanto desde el punto de vista científico técnico como económico</w:t>
      </w:r>
      <w:r w:rsidR="00636E9E">
        <w:rPr>
          <w:rFonts w:ascii="Arial" w:eastAsia="TimesNewRomanPSMT" w:hAnsi="Arial" w:cs="Arial"/>
          <w:lang w:val="es-ES"/>
        </w:rPr>
        <w:t>.</w:t>
      </w:r>
      <w:r>
        <w:rPr>
          <w:rFonts w:ascii="Arial" w:eastAsia="TimesNewRomanPSMT" w:hAnsi="Arial" w:cs="Arial"/>
          <w:lang w:val="es-ES"/>
        </w:rPr>
        <w:t xml:space="preserve"> </w:t>
      </w:r>
    </w:p>
    <w:p w:rsidR="00D7132F" w:rsidRPr="00EB048A" w:rsidRDefault="00D7132F" w:rsidP="00E37D56">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 </w:t>
      </w:r>
      <w:r w:rsidRPr="00DC0395">
        <w:rPr>
          <w:rFonts w:ascii="Arial" w:eastAsia="TimesNewRomanPSMT" w:hAnsi="Arial" w:cs="Arial"/>
          <w:b/>
          <w:lang w:val="es-ES"/>
        </w:rPr>
        <w:t>Dirección de los Programas</w:t>
      </w:r>
      <w:r>
        <w:rPr>
          <w:rFonts w:ascii="Arial" w:eastAsia="TimesNewRomanPSMT" w:hAnsi="Arial" w:cs="Arial"/>
          <w:lang w:val="es-ES"/>
        </w:rPr>
        <w:t xml:space="preserve"> solamente </w:t>
      </w:r>
      <w:r w:rsidRPr="00DC0395">
        <w:rPr>
          <w:rFonts w:ascii="Arial" w:eastAsia="TimesNewRomanPSMT" w:hAnsi="Arial" w:cs="Arial"/>
          <w:b/>
          <w:lang w:val="es-ES"/>
        </w:rPr>
        <w:t>entregará al financista</w:t>
      </w:r>
      <w:r w:rsidRPr="00EB048A">
        <w:rPr>
          <w:rFonts w:ascii="Arial" w:eastAsia="TimesNewRomanPSMT" w:hAnsi="Arial" w:cs="Arial"/>
          <w:lang w:val="es-ES"/>
        </w:rPr>
        <w:t>:</w:t>
      </w:r>
    </w:p>
    <w:p w:rsidR="00D7132F"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DC0395">
        <w:rPr>
          <w:rFonts w:ascii="Arial" w:eastAsia="TimesNewRomanPSMT" w:hAnsi="Arial" w:cs="Arial"/>
          <w:b/>
          <w:lang w:val="es-ES"/>
        </w:rPr>
        <w:t>Solicitudes de Anticipo</w:t>
      </w:r>
      <w:r>
        <w:rPr>
          <w:rFonts w:ascii="Arial" w:eastAsia="TimesNewRomanPSMT" w:hAnsi="Arial" w:cs="Arial"/>
          <w:lang w:val="es-ES"/>
        </w:rPr>
        <w:t xml:space="preserve"> de los proyectos asociados que los necesiten</w:t>
      </w:r>
      <w:r w:rsidR="00B5434B">
        <w:rPr>
          <w:rFonts w:ascii="Arial" w:eastAsia="TimesNewRomanPSMT" w:hAnsi="Arial" w:cs="Arial"/>
          <w:lang w:val="es-ES"/>
        </w:rPr>
        <w:t xml:space="preserve"> (</w:t>
      </w:r>
      <w:r w:rsidR="00B5434B" w:rsidRPr="00DC0395">
        <w:rPr>
          <w:rFonts w:ascii="Arial" w:eastAsia="TimesNewRomanPSMT" w:hAnsi="Arial" w:cs="Arial"/>
          <w:b/>
          <w:lang w:val="es-ES"/>
        </w:rPr>
        <w:t>Anexos 14</w:t>
      </w:r>
      <w:r w:rsidR="00B5434B">
        <w:rPr>
          <w:rFonts w:ascii="Arial" w:eastAsia="TimesNewRomanPSMT" w:hAnsi="Arial" w:cs="Arial"/>
          <w:lang w:val="es-ES"/>
        </w:rPr>
        <w:t>)</w:t>
      </w:r>
      <w:r w:rsidRPr="00EB048A">
        <w:rPr>
          <w:rFonts w:ascii="Arial" w:eastAsia="TimesNewRomanPSMT" w:hAnsi="Arial" w:cs="Arial"/>
          <w:lang w:val="es-ES"/>
        </w:rPr>
        <w:t>.</w:t>
      </w:r>
    </w:p>
    <w:p w:rsidR="00D7132F" w:rsidRDefault="00B5434B"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DC0395">
        <w:rPr>
          <w:rFonts w:ascii="Arial" w:eastAsia="TimesNewRomanPSMT" w:hAnsi="Arial" w:cs="Arial"/>
          <w:b/>
          <w:lang w:val="es-ES"/>
        </w:rPr>
        <w:t xml:space="preserve">Modelos de Informe Semestral </w:t>
      </w:r>
      <w:r w:rsidRPr="00E37D56">
        <w:rPr>
          <w:rFonts w:ascii="Arial" w:eastAsia="TimesNewRomanPSMT" w:hAnsi="Arial" w:cs="Arial"/>
          <w:lang w:val="es-ES"/>
        </w:rPr>
        <w:t>del Proyecto</w:t>
      </w:r>
      <w:r>
        <w:rPr>
          <w:rFonts w:ascii="Arial" w:eastAsia="TimesNewRomanPSMT" w:hAnsi="Arial" w:cs="Arial"/>
          <w:lang w:val="es-ES"/>
        </w:rPr>
        <w:t xml:space="preserve"> (</w:t>
      </w:r>
      <w:r w:rsidRPr="00DC0395">
        <w:rPr>
          <w:rFonts w:ascii="Arial" w:eastAsia="TimesNewRomanPSMT" w:hAnsi="Arial" w:cs="Arial"/>
          <w:b/>
          <w:lang w:val="es-ES"/>
        </w:rPr>
        <w:t>Anexos 13</w:t>
      </w:r>
      <w:r>
        <w:rPr>
          <w:rFonts w:ascii="Arial" w:eastAsia="TimesNewRomanPSMT" w:hAnsi="Arial" w:cs="Arial"/>
          <w:lang w:val="es-ES"/>
        </w:rPr>
        <w:t>)</w:t>
      </w:r>
      <w:r w:rsidR="00EB28A3">
        <w:rPr>
          <w:rFonts w:ascii="Arial" w:eastAsia="TimesNewRomanPSMT" w:hAnsi="Arial" w:cs="Arial"/>
          <w:lang w:val="es-ES"/>
        </w:rPr>
        <w:t>.</w:t>
      </w:r>
    </w:p>
    <w:p w:rsidR="00D7132F" w:rsidRDefault="00B5434B"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DC0395">
        <w:rPr>
          <w:rFonts w:ascii="Arial" w:eastAsia="TimesNewRomanPSMT" w:hAnsi="Arial" w:cs="Arial"/>
          <w:b/>
          <w:lang w:val="es-ES"/>
        </w:rPr>
        <w:t>Modelo de Certificación de Actividades/Resultados</w:t>
      </w:r>
      <w:r w:rsidRPr="00E37D56">
        <w:rPr>
          <w:rFonts w:ascii="Arial" w:eastAsia="TimesNewRomanPSMT" w:hAnsi="Arial" w:cs="Arial"/>
          <w:lang w:val="es-ES"/>
        </w:rPr>
        <w:t xml:space="preserve"> (</w:t>
      </w:r>
      <w:r w:rsidRPr="00DC0395">
        <w:rPr>
          <w:rFonts w:ascii="Arial" w:eastAsia="TimesNewRomanPSMT" w:hAnsi="Arial" w:cs="Arial"/>
          <w:b/>
          <w:lang w:val="es-ES"/>
        </w:rPr>
        <w:t>Anexos 15</w:t>
      </w:r>
      <w:r>
        <w:rPr>
          <w:rFonts w:ascii="Arial" w:eastAsia="TimesNewRomanPSMT" w:hAnsi="Arial" w:cs="Arial"/>
          <w:lang w:val="es-ES"/>
        </w:rPr>
        <w:t>), trimestral o semestralmente, según se declare en el contrato o suplemento.</w:t>
      </w:r>
    </w:p>
    <w:p w:rsidR="00D7132F" w:rsidRDefault="00B5434B"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DC0395">
        <w:rPr>
          <w:rFonts w:ascii="Arial" w:eastAsia="TimesNewRomanPSMT" w:hAnsi="Arial" w:cs="Arial"/>
          <w:b/>
          <w:lang w:val="es-ES"/>
        </w:rPr>
        <w:t>Notificación de Ingresos y Gastos</w:t>
      </w:r>
      <w:r>
        <w:rPr>
          <w:rFonts w:ascii="Arial" w:eastAsia="TimesNewRomanPSMT" w:hAnsi="Arial" w:cs="Arial"/>
          <w:lang w:val="es-ES"/>
        </w:rPr>
        <w:t xml:space="preserve"> (</w:t>
      </w:r>
      <w:r w:rsidR="00D7132F" w:rsidRPr="00DC0395">
        <w:rPr>
          <w:rFonts w:ascii="Arial" w:eastAsia="TimesNewRomanPSMT" w:hAnsi="Arial" w:cs="Arial"/>
          <w:b/>
          <w:lang w:val="es-ES"/>
        </w:rPr>
        <w:t>Anexo 16</w:t>
      </w:r>
      <w:r>
        <w:rPr>
          <w:rFonts w:ascii="Arial" w:eastAsia="TimesNewRomanPSMT" w:hAnsi="Arial" w:cs="Arial"/>
          <w:lang w:val="es-ES"/>
        </w:rPr>
        <w:t>)</w:t>
      </w:r>
      <w:r w:rsidR="00EB28A3">
        <w:rPr>
          <w:rFonts w:ascii="Arial" w:eastAsia="TimesNewRomanPSMT" w:hAnsi="Arial" w:cs="Arial"/>
          <w:lang w:val="es-ES"/>
        </w:rPr>
        <w:t>, confeccionada por el programa.</w:t>
      </w:r>
    </w:p>
    <w:p w:rsidR="00D7132F" w:rsidRPr="00EB048A"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sidRPr="00DC0395">
        <w:rPr>
          <w:rFonts w:ascii="Arial" w:eastAsia="TimesNewRomanPSMT" w:hAnsi="Arial" w:cs="Arial"/>
          <w:b/>
          <w:lang w:val="es-ES"/>
        </w:rPr>
        <w:t>Certificos de gastos de las EEP</w:t>
      </w:r>
      <w:r w:rsidR="00EB28A3">
        <w:rPr>
          <w:rFonts w:ascii="Arial" w:eastAsia="TimesNewRomanPSMT" w:hAnsi="Arial" w:cs="Arial"/>
          <w:lang w:val="es-ES"/>
        </w:rPr>
        <w:t>, para garantizar la trazabilidad de los pagos a efectuar.</w:t>
      </w:r>
    </w:p>
    <w:p w:rsidR="00636E9E" w:rsidRDefault="00D7132F" w:rsidP="00E37D56">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 </w:t>
      </w:r>
      <w:r w:rsidRPr="00DC0395">
        <w:rPr>
          <w:rFonts w:ascii="Arial" w:eastAsia="TimesNewRomanPSMT" w:hAnsi="Arial" w:cs="Arial"/>
          <w:b/>
          <w:lang w:val="es-ES"/>
        </w:rPr>
        <w:t xml:space="preserve">Dirección de los </w:t>
      </w:r>
      <w:r w:rsidR="00983D0E" w:rsidRPr="00DC0395">
        <w:rPr>
          <w:rFonts w:ascii="Arial" w:eastAsia="TimesNewRomanPSMT" w:hAnsi="Arial" w:cs="Arial"/>
          <w:b/>
          <w:lang w:val="es-ES"/>
        </w:rPr>
        <w:t>Programas</w:t>
      </w:r>
      <w:r w:rsidR="00983D0E">
        <w:rPr>
          <w:rFonts w:ascii="Arial" w:eastAsia="TimesNewRomanPSMT" w:hAnsi="Arial" w:cs="Arial"/>
          <w:lang w:val="es-ES"/>
        </w:rPr>
        <w:t xml:space="preserve"> </w:t>
      </w:r>
      <w:r>
        <w:rPr>
          <w:rFonts w:ascii="Arial" w:eastAsia="TimesNewRomanPSMT" w:hAnsi="Arial" w:cs="Arial"/>
          <w:lang w:val="es-ES"/>
        </w:rPr>
        <w:t xml:space="preserve">deberán </w:t>
      </w:r>
      <w:r w:rsidRPr="00DC0395">
        <w:rPr>
          <w:rFonts w:ascii="Arial" w:eastAsia="TimesNewRomanPSMT" w:hAnsi="Arial" w:cs="Arial"/>
          <w:b/>
          <w:lang w:val="es-ES"/>
        </w:rPr>
        <w:t>continuar confeccionado</w:t>
      </w:r>
      <w:r w:rsidR="00636E9E">
        <w:rPr>
          <w:rFonts w:ascii="Arial" w:eastAsia="TimesNewRomanPSMT" w:hAnsi="Arial" w:cs="Arial"/>
          <w:lang w:val="es-ES"/>
        </w:rPr>
        <w:t>:</w:t>
      </w:r>
    </w:p>
    <w:p w:rsidR="00636E9E" w:rsidRDefault="00D7132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l</w:t>
      </w:r>
      <w:r w:rsidR="005474B7">
        <w:rPr>
          <w:rFonts w:ascii="Arial" w:eastAsia="TimesNewRomanPSMT" w:hAnsi="Arial" w:cs="Arial"/>
          <w:lang w:val="es-ES"/>
        </w:rPr>
        <w:t>a</w:t>
      </w:r>
      <w:r>
        <w:rPr>
          <w:rFonts w:ascii="Arial" w:eastAsia="TimesNewRomanPSMT" w:hAnsi="Arial" w:cs="Arial"/>
          <w:lang w:val="es-ES"/>
        </w:rPr>
        <w:t xml:space="preserve">s </w:t>
      </w:r>
      <w:r w:rsidR="005474B7" w:rsidRPr="00DC0395">
        <w:rPr>
          <w:rFonts w:ascii="Arial" w:eastAsia="TimesNewRomanPSMT" w:hAnsi="Arial" w:cs="Arial"/>
          <w:b/>
          <w:lang w:val="es-ES"/>
        </w:rPr>
        <w:t>oponencias a Informe de Etapa</w:t>
      </w:r>
      <w:r w:rsidR="005474B7" w:rsidRPr="00E37D56">
        <w:rPr>
          <w:rFonts w:ascii="Arial" w:eastAsia="TimesNewRomanPSMT" w:hAnsi="Arial" w:cs="Arial"/>
          <w:lang w:val="es-ES"/>
        </w:rPr>
        <w:t xml:space="preserve"> de Proyecto</w:t>
      </w:r>
      <w:r w:rsidR="005474B7">
        <w:rPr>
          <w:rFonts w:ascii="Arial" w:eastAsia="TimesNewRomanPSMT" w:hAnsi="Arial" w:cs="Arial"/>
          <w:lang w:val="es-ES"/>
        </w:rPr>
        <w:t xml:space="preserve"> (</w:t>
      </w:r>
      <w:r w:rsidR="005474B7" w:rsidRPr="00DC0395">
        <w:rPr>
          <w:rFonts w:ascii="Arial" w:eastAsia="TimesNewRomanPSMT" w:hAnsi="Arial" w:cs="Arial"/>
          <w:b/>
          <w:lang w:val="es-ES"/>
        </w:rPr>
        <w:t>A</w:t>
      </w:r>
      <w:r w:rsidRPr="00DC0395">
        <w:rPr>
          <w:rFonts w:ascii="Arial" w:eastAsia="TimesNewRomanPSMT" w:hAnsi="Arial" w:cs="Arial"/>
          <w:b/>
          <w:lang w:val="es-ES"/>
        </w:rPr>
        <w:t>nexos 18</w:t>
      </w:r>
      <w:r w:rsidR="005474B7">
        <w:rPr>
          <w:rFonts w:ascii="Arial" w:eastAsia="TimesNewRomanPSMT" w:hAnsi="Arial" w:cs="Arial"/>
          <w:lang w:val="es-ES"/>
        </w:rPr>
        <w:t>)</w:t>
      </w:r>
      <w:r w:rsidR="00636E9E">
        <w:rPr>
          <w:rFonts w:ascii="Arial" w:eastAsia="TimesNewRomanPSMT" w:hAnsi="Arial" w:cs="Arial"/>
          <w:lang w:val="es-ES"/>
        </w:rPr>
        <w:t xml:space="preserve">, </w:t>
      </w:r>
    </w:p>
    <w:p w:rsidR="00636E9E" w:rsidRDefault="00726C0F"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 xml:space="preserve">los </w:t>
      </w:r>
      <w:r w:rsidRPr="00DC0395">
        <w:rPr>
          <w:rFonts w:ascii="Arial" w:eastAsia="TimesNewRomanPSMT" w:hAnsi="Arial" w:cs="Arial"/>
          <w:b/>
          <w:lang w:val="es-ES"/>
        </w:rPr>
        <w:t xml:space="preserve">Dictámenes del Grupo de Expertos sobre </w:t>
      </w:r>
      <w:r w:rsidR="00A2198F" w:rsidRPr="00DC0395">
        <w:rPr>
          <w:rFonts w:ascii="Arial" w:eastAsia="TimesNewRomanPSMT" w:hAnsi="Arial" w:cs="Arial"/>
          <w:b/>
          <w:lang w:val="es-ES"/>
        </w:rPr>
        <w:t>Informe</w:t>
      </w:r>
      <w:r w:rsidR="00A2198F" w:rsidRPr="00E37D56">
        <w:rPr>
          <w:rFonts w:ascii="Arial" w:eastAsia="TimesNewRomanPSMT" w:hAnsi="Arial" w:cs="Arial"/>
          <w:lang w:val="es-ES"/>
        </w:rPr>
        <w:t xml:space="preserve"> </w:t>
      </w:r>
      <w:r w:rsidRPr="00E37D56">
        <w:rPr>
          <w:rFonts w:ascii="Arial" w:eastAsia="TimesNewRomanPSMT" w:hAnsi="Arial" w:cs="Arial"/>
          <w:lang w:val="es-ES"/>
        </w:rPr>
        <w:t>de etapa</w:t>
      </w:r>
      <w:r>
        <w:rPr>
          <w:rFonts w:ascii="Arial" w:eastAsia="TimesNewRomanPSMT" w:hAnsi="Arial" w:cs="Arial"/>
          <w:lang w:val="es-ES"/>
        </w:rPr>
        <w:t xml:space="preserve"> (</w:t>
      </w:r>
      <w:r w:rsidRPr="00DC0395">
        <w:rPr>
          <w:rFonts w:ascii="Arial" w:eastAsia="TimesNewRomanPSMT" w:hAnsi="Arial" w:cs="Arial"/>
          <w:b/>
          <w:lang w:val="es-ES"/>
        </w:rPr>
        <w:t xml:space="preserve">Anexos </w:t>
      </w:r>
      <w:r w:rsidR="00D7132F" w:rsidRPr="00DC0395">
        <w:rPr>
          <w:rFonts w:ascii="Arial" w:eastAsia="TimesNewRomanPSMT" w:hAnsi="Arial" w:cs="Arial"/>
          <w:b/>
          <w:lang w:val="es-ES"/>
        </w:rPr>
        <w:t>19</w:t>
      </w:r>
      <w:r>
        <w:rPr>
          <w:rFonts w:ascii="Arial" w:eastAsia="TimesNewRomanPSMT" w:hAnsi="Arial" w:cs="Arial"/>
          <w:lang w:val="es-ES"/>
        </w:rPr>
        <w:t>)</w:t>
      </w:r>
      <w:r w:rsidR="00D7132F">
        <w:rPr>
          <w:rFonts w:ascii="Arial" w:eastAsia="TimesNewRomanPSMT" w:hAnsi="Arial" w:cs="Arial"/>
          <w:lang w:val="es-ES"/>
        </w:rPr>
        <w:t xml:space="preserve"> de los proyectos</w:t>
      </w:r>
      <w:r w:rsidR="00636E9E">
        <w:rPr>
          <w:rFonts w:ascii="Arial" w:eastAsia="TimesNewRomanPSMT" w:hAnsi="Arial" w:cs="Arial"/>
          <w:lang w:val="es-ES"/>
        </w:rPr>
        <w:t xml:space="preserve">, </w:t>
      </w:r>
    </w:p>
    <w:p w:rsidR="00636E9E" w:rsidRPr="00636E9E" w:rsidRDefault="00833CDD"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 xml:space="preserve">los </w:t>
      </w:r>
      <w:r w:rsidRPr="00DC0395">
        <w:rPr>
          <w:rFonts w:ascii="Arial" w:eastAsia="TimesNewRomanPSMT" w:hAnsi="Arial" w:cs="Arial"/>
          <w:b/>
          <w:lang w:val="es-ES"/>
        </w:rPr>
        <w:t>Modelos</w:t>
      </w:r>
      <w:r w:rsidRPr="00DC0395">
        <w:rPr>
          <w:rFonts w:ascii="Arial" w:hAnsi="Arial" w:cs="Arial"/>
          <w:b/>
          <w:color w:val="000000" w:themeColor="text1"/>
          <w:lang w:val="es-ES_tradnl"/>
        </w:rPr>
        <w:t xml:space="preserve"> de Dictamen Final del Grupo de Expertos sobre el proyecto</w:t>
      </w:r>
      <w:r>
        <w:rPr>
          <w:rFonts w:ascii="Arial" w:hAnsi="Arial" w:cs="Arial"/>
          <w:color w:val="000000" w:themeColor="text1"/>
          <w:lang w:val="es-ES_tradnl"/>
        </w:rPr>
        <w:t xml:space="preserve"> (</w:t>
      </w:r>
      <w:r w:rsidRPr="00DC0395">
        <w:rPr>
          <w:rFonts w:ascii="Arial" w:hAnsi="Arial" w:cs="Arial"/>
          <w:b/>
          <w:color w:val="000000" w:themeColor="text1"/>
          <w:lang w:val="es-ES_tradnl"/>
        </w:rPr>
        <w:t>Anexos 23</w:t>
      </w:r>
      <w:r>
        <w:rPr>
          <w:rFonts w:ascii="Arial" w:hAnsi="Arial" w:cs="Arial"/>
          <w:color w:val="000000" w:themeColor="text1"/>
          <w:lang w:val="es-ES_tradnl"/>
        </w:rPr>
        <w:t xml:space="preserve">), en los casos de los </w:t>
      </w:r>
      <w:r w:rsidRPr="00DC0395">
        <w:rPr>
          <w:rFonts w:ascii="Arial" w:hAnsi="Arial" w:cs="Arial"/>
          <w:b/>
          <w:color w:val="000000" w:themeColor="text1"/>
          <w:lang w:val="es-ES_tradnl"/>
        </w:rPr>
        <w:t>proyectos que culminan</w:t>
      </w:r>
      <w:r>
        <w:rPr>
          <w:rFonts w:ascii="Arial" w:hAnsi="Arial" w:cs="Arial"/>
          <w:color w:val="000000" w:themeColor="text1"/>
          <w:lang w:val="es-ES_tradnl"/>
        </w:rPr>
        <w:t xml:space="preserve"> este año</w:t>
      </w:r>
      <w:r w:rsidR="00636E9E">
        <w:rPr>
          <w:rFonts w:ascii="Arial" w:hAnsi="Arial" w:cs="Arial"/>
          <w:color w:val="000000" w:themeColor="text1"/>
          <w:lang w:val="es-ES_tradnl"/>
        </w:rPr>
        <w:t xml:space="preserve">, </w:t>
      </w:r>
    </w:p>
    <w:p w:rsidR="00636E9E" w:rsidRDefault="00636E9E"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l</w:t>
      </w:r>
      <w:r w:rsidR="001472E4">
        <w:rPr>
          <w:rFonts w:ascii="Arial" w:eastAsia="TimesNewRomanPSMT" w:hAnsi="Arial" w:cs="Arial"/>
          <w:lang w:val="es-ES"/>
        </w:rPr>
        <w:t xml:space="preserve">as </w:t>
      </w:r>
      <w:r w:rsidR="001472E4" w:rsidRPr="00DC0395">
        <w:rPr>
          <w:rFonts w:ascii="Arial" w:eastAsia="TimesNewRomanPSMT" w:hAnsi="Arial" w:cs="Arial"/>
          <w:b/>
          <w:lang w:val="es-ES"/>
        </w:rPr>
        <w:t xml:space="preserve">evaluaciones para la remuneración </w:t>
      </w:r>
      <w:r w:rsidRPr="00DC0395">
        <w:rPr>
          <w:rFonts w:ascii="Arial" w:eastAsia="TimesNewRomanPSMT" w:hAnsi="Arial" w:cs="Arial"/>
          <w:b/>
          <w:lang w:val="es-ES"/>
        </w:rPr>
        <w:t>de los expertos, jefe y secretario ejecutivo</w:t>
      </w:r>
      <w:r>
        <w:rPr>
          <w:rFonts w:ascii="Arial" w:eastAsia="TimesNewRomanPSMT" w:hAnsi="Arial" w:cs="Arial"/>
          <w:lang w:val="es-ES"/>
        </w:rPr>
        <w:t xml:space="preserve"> (</w:t>
      </w:r>
      <w:r w:rsidRPr="00DC0395">
        <w:rPr>
          <w:rFonts w:ascii="Arial" w:eastAsia="TimesNewRomanPSMT" w:hAnsi="Arial" w:cs="Arial"/>
          <w:b/>
          <w:lang w:val="es-ES"/>
        </w:rPr>
        <w:t>Anexos 26</w:t>
      </w:r>
      <w:r>
        <w:rPr>
          <w:rFonts w:ascii="Arial" w:eastAsia="TimesNewRomanPSMT" w:hAnsi="Arial" w:cs="Arial"/>
          <w:lang w:val="es-ES"/>
        </w:rPr>
        <w:t xml:space="preserve">) </w:t>
      </w:r>
      <w:r w:rsidR="001472E4">
        <w:rPr>
          <w:rFonts w:ascii="Arial" w:eastAsia="TimesNewRomanPSMT" w:hAnsi="Arial" w:cs="Arial"/>
          <w:lang w:val="es-ES"/>
        </w:rPr>
        <w:t xml:space="preserve">y </w:t>
      </w:r>
    </w:p>
    <w:p w:rsidR="00636E9E" w:rsidRDefault="00636E9E" w:rsidP="00E37D56">
      <w:pPr>
        <w:numPr>
          <w:ilvl w:val="0"/>
          <w:numId w:val="34"/>
        </w:numPr>
        <w:autoSpaceDE w:val="0"/>
        <w:autoSpaceDN w:val="0"/>
        <w:adjustRightInd w:val="0"/>
        <w:spacing w:after="120" w:line="240" w:lineRule="auto"/>
        <w:ind w:left="993" w:hanging="219"/>
        <w:jc w:val="both"/>
        <w:rPr>
          <w:rFonts w:ascii="Arial" w:eastAsia="TimesNewRomanPSMT" w:hAnsi="Arial" w:cs="Arial"/>
          <w:lang w:val="es-ES"/>
        </w:rPr>
      </w:pPr>
      <w:r>
        <w:rPr>
          <w:rFonts w:ascii="Arial" w:eastAsia="TimesNewRomanPSMT" w:hAnsi="Arial" w:cs="Arial"/>
          <w:lang w:val="es-ES"/>
        </w:rPr>
        <w:t xml:space="preserve">las </w:t>
      </w:r>
      <w:r w:rsidR="001472E4" w:rsidRPr="00DC0395">
        <w:rPr>
          <w:rFonts w:ascii="Arial" w:eastAsia="TimesNewRomanPSMT" w:hAnsi="Arial" w:cs="Arial"/>
          <w:b/>
          <w:lang w:val="es-ES"/>
        </w:rPr>
        <w:t>actas de conformidad</w:t>
      </w:r>
      <w:r>
        <w:rPr>
          <w:rFonts w:ascii="Arial" w:eastAsia="TimesNewRomanPSMT" w:hAnsi="Arial" w:cs="Arial"/>
          <w:lang w:val="es-ES"/>
        </w:rPr>
        <w:t xml:space="preserve"> (</w:t>
      </w:r>
      <w:r w:rsidRPr="00DC0395">
        <w:rPr>
          <w:rFonts w:ascii="Arial" w:eastAsia="TimesNewRomanPSMT" w:hAnsi="Arial" w:cs="Arial"/>
          <w:b/>
          <w:lang w:val="es-ES"/>
        </w:rPr>
        <w:t>Anexos 26</w:t>
      </w:r>
      <w:r>
        <w:rPr>
          <w:rFonts w:ascii="Arial" w:eastAsia="TimesNewRomanPSMT" w:hAnsi="Arial" w:cs="Arial"/>
          <w:lang w:val="es-ES"/>
        </w:rPr>
        <w:t>)</w:t>
      </w:r>
      <w:r w:rsidR="001472E4">
        <w:rPr>
          <w:rFonts w:ascii="Arial" w:eastAsia="TimesNewRomanPSMT" w:hAnsi="Arial" w:cs="Arial"/>
          <w:lang w:val="es-ES"/>
        </w:rPr>
        <w:t xml:space="preserve">, </w:t>
      </w:r>
    </w:p>
    <w:p w:rsidR="00D7132F" w:rsidRPr="00EB048A" w:rsidRDefault="001472E4" w:rsidP="00E37D56">
      <w:pPr>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las cuales </w:t>
      </w:r>
      <w:r w:rsidRPr="00DC0395">
        <w:rPr>
          <w:rFonts w:ascii="Arial" w:eastAsia="TimesNewRomanPSMT" w:hAnsi="Arial" w:cs="Arial"/>
          <w:b/>
          <w:lang w:val="es-ES"/>
        </w:rPr>
        <w:t xml:space="preserve">deberán </w:t>
      </w:r>
      <w:r w:rsidR="00636E9E" w:rsidRPr="00DC0395">
        <w:rPr>
          <w:rFonts w:ascii="Arial" w:eastAsia="TimesNewRomanPSMT" w:hAnsi="Arial" w:cs="Arial"/>
          <w:b/>
          <w:lang w:val="es-ES"/>
        </w:rPr>
        <w:t>anexarlos</w:t>
      </w:r>
      <w:r w:rsidR="00381A9C" w:rsidRPr="00DC0395">
        <w:rPr>
          <w:rFonts w:ascii="Arial" w:eastAsia="TimesNewRomanPSMT" w:hAnsi="Arial" w:cs="Arial"/>
          <w:b/>
          <w:lang w:val="es-ES"/>
        </w:rPr>
        <w:t xml:space="preserve"> debidamente firmados en el Expediente Único</w:t>
      </w:r>
      <w:r w:rsidR="00381A9C">
        <w:rPr>
          <w:rFonts w:ascii="Arial" w:eastAsia="TimesNewRomanPSMT" w:hAnsi="Arial" w:cs="Arial"/>
          <w:lang w:val="es-ES"/>
        </w:rPr>
        <w:t xml:space="preserve"> de los programas</w:t>
      </w:r>
      <w:r w:rsidR="00D7132F">
        <w:rPr>
          <w:rFonts w:ascii="Arial" w:eastAsia="TimesNewRomanPSMT" w:hAnsi="Arial" w:cs="Arial"/>
          <w:lang w:val="es-ES"/>
        </w:rPr>
        <w:t>.</w:t>
      </w:r>
    </w:p>
    <w:p w:rsidR="00C362AD" w:rsidRPr="00EB048A" w:rsidRDefault="00CD6344" w:rsidP="00E37D56">
      <w:pPr>
        <w:numPr>
          <w:ilvl w:val="0"/>
          <w:numId w:val="30"/>
        </w:numPr>
        <w:tabs>
          <w:tab w:val="clear" w:pos="720"/>
        </w:tabs>
        <w:autoSpaceDE w:val="0"/>
        <w:autoSpaceDN w:val="0"/>
        <w:adjustRightInd w:val="0"/>
        <w:spacing w:after="120" w:line="240" w:lineRule="auto"/>
        <w:ind w:left="567"/>
        <w:jc w:val="both"/>
        <w:rPr>
          <w:rFonts w:ascii="Arial" w:eastAsia="TimesNewRomanPSMT" w:hAnsi="Arial" w:cs="Arial"/>
          <w:lang w:val="es-ES"/>
        </w:rPr>
      </w:pPr>
      <w:r>
        <w:rPr>
          <w:rFonts w:ascii="Arial" w:eastAsia="TimesNewRomanPSMT" w:hAnsi="Arial" w:cs="Arial"/>
          <w:lang w:val="es-ES"/>
        </w:rPr>
        <w:t xml:space="preserve">La </w:t>
      </w:r>
      <w:r w:rsidRPr="00DC0395">
        <w:rPr>
          <w:rFonts w:ascii="Arial" w:eastAsia="TimesNewRomanPSMT" w:hAnsi="Arial" w:cs="Arial"/>
          <w:b/>
          <w:lang w:val="es-ES"/>
        </w:rPr>
        <w:t>existencia y adecuada confección</w:t>
      </w:r>
      <w:r>
        <w:rPr>
          <w:rFonts w:ascii="Arial" w:eastAsia="TimesNewRomanPSMT" w:hAnsi="Arial" w:cs="Arial"/>
          <w:lang w:val="es-ES"/>
        </w:rPr>
        <w:t xml:space="preserve"> de toda la </w:t>
      </w:r>
      <w:r w:rsidRPr="00DC0395">
        <w:rPr>
          <w:rFonts w:ascii="Arial" w:eastAsia="TimesNewRomanPSMT" w:hAnsi="Arial" w:cs="Arial"/>
          <w:b/>
          <w:lang w:val="es-ES"/>
        </w:rPr>
        <w:t>documentación</w:t>
      </w:r>
      <w:r>
        <w:rPr>
          <w:rFonts w:ascii="Arial" w:eastAsia="TimesNewRomanPSMT" w:hAnsi="Arial" w:cs="Arial"/>
          <w:lang w:val="es-ES"/>
        </w:rPr>
        <w:t xml:space="preserve"> antes mencionada, será debidamente </w:t>
      </w:r>
      <w:r w:rsidRPr="00DC0395">
        <w:rPr>
          <w:rFonts w:ascii="Arial" w:eastAsia="TimesNewRomanPSMT" w:hAnsi="Arial" w:cs="Arial"/>
          <w:b/>
          <w:lang w:val="es-ES"/>
        </w:rPr>
        <w:t>revisada</w:t>
      </w:r>
      <w:r>
        <w:rPr>
          <w:rFonts w:ascii="Arial" w:eastAsia="TimesNewRomanPSMT" w:hAnsi="Arial" w:cs="Arial"/>
          <w:lang w:val="es-ES"/>
        </w:rPr>
        <w:t xml:space="preserve"> en los </w:t>
      </w:r>
      <w:r w:rsidRPr="00DC0395">
        <w:rPr>
          <w:rFonts w:ascii="Arial" w:eastAsia="TimesNewRomanPSMT" w:hAnsi="Arial" w:cs="Arial"/>
          <w:b/>
          <w:lang w:val="es-ES"/>
        </w:rPr>
        <w:t>controles metodológicos</w:t>
      </w:r>
      <w:r>
        <w:rPr>
          <w:rFonts w:ascii="Arial" w:eastAsia="TimesNewRomanPSMT" w:hAnsi="Arial" w:cs="Arial"/>
          <w:lang w:val="es-ES"/>
        </w:rPr>
        <w:t xml:space="preserve"> que se realicen a las Entidades Gestoras de los Programas y a las EEP.</w:t>
      </w:r>
    </w:p>
    <w:p w:rsidR="001E00A1" w:rsidRPr="00EB048A" w:rsidRDefault="001E00A1" w:rsidP="001E00A1">
      <w:pPr>
        <w:autoSpaceDE w:val="0"/>
        <w:autoSpaceDN w:val="0"/>
        <w:adjustRightInd w:val="0"/>
        <w:spacing w:after="120" w:line="240" w:lineRule="auto"/>
        <w:jc w:val="both"/>
        <w:rPr>
          <w:rFonts w:ascii="Arial" w:eastAsia="TimesNewRomanPSMT" w:hAnsi="Arial" w:cs="Arial"/>
          <w:lang w:val="es-ES"/>
        </w:rPr>
      </w:pPr>
    </w:p>
    <w:p w:rsidR="00B133E2" w:rsidRPr="00EB048A" w:rsidRDefault="00B133E2" w:rsidP="00AB5F08">
      <w:pPr>
        <w:pStyle w:val="Prrafodelista"/>
        <w:numPr>
          <w:ilvl w:val="0"/>
          <w:numId w:val="7"/>
        </w:numPr>
        <w:autoSpaceDE w:val="0"/>
        <w:autoSpaceDN w:val="0"/>
        <w:adjustRightInd w:val="0"/>
        <w:spacing w:after="120" w:line="240" w:lineRule="auto"/>
        <w:ind w:left="284" w:hanging="284"/>
        <w:jc w:val="both"/>
        <w:rPr>
          <w:rFonts w:ascii="Arial" w:eastAsia="TimesNewRomanPSMT" w:hAnsi="Arial" w:cs="Arial"/>
          <w:b/>
        </w:rPr>
      </w:pPr>
      <w:r w:rsidRPr="00EB048A">
        <w:rPr>
          <w:rFonts w:ascii="Arial" w:eastAsia="TimesNewRomanPSMT" w:hAnsi="Arial" w:cs="Arial"/>
          <w:b/>
        </w:rPr>
        <w:t xml:space="preserve">Sobre la </w:t>
      </w:r>
      <w:r w:rsidR="00E63B59">
        <w:rPr>
          <w:rFonts w:ascii="Arial" w:eastAsia="TimesNewRomanPSMT" w:hAnsi="Arial" w:cs="Arial"/>
          <w:b/>
        </w:rPr>
        <w:t>Convocatoria 2024</w:t>
      </w:r>
      <w:r w:rsidRPr="00EB048A">
        <w:rPr>
          <w:rFonts w:ascii="Arial" w:eastAsia="TimesNewRomanPSMT" w:hAnsi="Arial" w:cs="Arial"/>
          <w:b/>
        </w:rPr>
        <w:t>.</w:t>
      </w:r>
    </w:p>
    <w:p w:rsidR="00B133E2" w:rsidRDefault="00770592" w:rsidP="008525DB">
      <w:pPr>
        <w:autoSpaceDE w:val="0"/>
        <w:autoSpaceDN w:val="0"/>
        <w:adjustRightInd w:val="0"/>
        <w:spacing w:after="120" w:line="240" w:lineRule="auto"/>
        <w:jc w:val="both"/>
        <w:rPr>
          <w:rFonts w:ascii="Arial" w:eastAsia="TimesNewRomanPSMT" w:hAnsi="Arial" w:cs="Arial"/>
          <w:lang w:val="es-ES"/>
        </w:rPr>
      </w:pPr>
      <w:r w:rsidRPr="00770592">
        <w:rPr>
          <w:rFonts w:ascii="Arial" w:eastAsia="TimesNewRomanPSMT" w:hAnsi="Arial" w:cs="Arial"/>
          <w:lang w:val="es-ES"/>
        </w:rPr>
        <w:t xml:space="preserve">El </w:t>
      </w:r>
      <w:r w:rsidRPr="0039548F">
        <w:rPr>
          <w:rFonts w:ascii="Arial" w:eastAsia="TimesNewRomanPSMT" w:hAnsi="Arial" w:cs="Arial"/>
          <w:b/>
          <w:lang w:val="es-ES"/>
        </w:rPr>
        <w:t>objetivo</w:t>
      </w:r>
      <w:r w:rsidRPr="00770592">
        <w:rPr>
          <w:rFonts w:ascii="Arial" w:eastAsia="TimesNewRomanPSMT" w:hAnsi="Arial" w:cs="Arial"/>
          <w:lang w:val="es-ES"/>
        </w:rPr>
        <w:t xml:space="preserve"> de esta convocatoria, </w:t>
      </w:r>
      <w:r w:rsidRPr="0039548F">
        <w:rPr>
          <w:rFonts w:ascii="Arial" w:eastAsia="TimesNewRomanPSMT" w:hAnsi="Arial" w:cs="Arial"/>
          <w:b/>
          <w:lang w:val="es-ES"/>
        </w:rPr>
        <w:t>es divulgar los objetivos específicos</w:t>
      </w:r>
      <w:r w:rsidRPr="00770592">
        <w:rPr>
          <w:rFonts w:ascii="Arial" w:eastAsia="TimesNewRomanPSMT" w:hAnsi="Arial" w:cs="Arial"/>
          <w:lang w:val="es-ES"/>
        </w:rPr>
        <w:t xml:space="preserve"> de los </w:t>
      </w:r>
      <w:r>
        <w:rPr>
          <w:rFonts w:ascii="Arial" w:eastAsia="TimesNewRomanPSMT" w:hAnsi="Arial" w:cs="Arial"/>
          <w:lang w:val="es-ES"/>
        </w:rPr>
        <w:t>Programas (Nacionales, Sectoriales y Territoriales) de Ciencia, Tecnología e Innovación (</w:t>
      </w:r>
      <w:r w:rsidRPr="00770592">
        <w:rPr>
          <w:rFonts w:ascii="Arial" w:eastAsia="TimesNewRomanPSMT" w:hAnsi="Arial" w:cs="Arial"/>
          <w:lang w:val="es-ES"/>
        </w:rPr>
        <w:t>PNCTI</w:t>
      </w:r>
      <w:r>
        <w:rPr>
          <w:rFonts w:ascii="Arial" w:eastAsia="TimesNewRomanPSMT" w:hAnsi="Arial" w:cs="Arial"/>
          <w:lang w:val="es-ES"/>
        </w:rPr>
        <w:t>, PSCTI, PTCTI)</w:t>
      </w:r>
      <w:r w:rsidRPr="00770592">
        <w:rPr>
          <w:rFonts w:ascii="Arial" w:eastAsia="TimesNewRomanPSMT" w:hAnsi="Arial" w:cs="Arial"/>
          <w:lang w:val="es-ES"/>
        </w:rPr>
        <w:t xml:space="preserve"> </w:t>
      </w:r>
      <w:r>
        <w:rPr>
          <w:rFonts w:ascii="Arial" w:eastAsia="TimesNewRomanPSMT" w:hAnsi="Arial" w:cs="Arial"/>
          <w:lang w:val="es-ES"/>
        </w:rPr>
        <w:t xml:space="preserve">en ejecución </w:t>
      </w:r>
      <w:r w:rsidRPr="0039548F">
        <w:rPr>
          <w:rFonts w:ascii="Arial" w:eastAsia="TimesNewRomanPSMT" w:hAnsi="Arial" w:cs="Arial"/>
          <w:b/>
          <w:lang w:val="es-ES"/>
        </w:rPr>
        <w:t>que aún no cuentan con proyectos que le den respuesta</w:t>
      </w:r>
      <w:r w:rsidRPr="00770592">
        <w:rPr>
          <w:rFonts w:ascii="Arial" w:eastAsia="TimesNewRomanPSMT" w:hAnsi="Arial" w:cs="Arial"/>
          <w:lang w:val="es-ES"/>
        </w:rPr>
        <w:t xml:space="preserve"> a los mismos </w:t>
      </w:r>
      <w:r w:rsidRPr="0039548F">
        <w:rPr>
          <w:rFonts w:ascii="Arial" w:eastAsia="TimesNewRomanPSMT" w:hAnsi="Arial" w:cs="Arial"/>
          <w:b/>
          <w:lang w:val="es-ES"/>
        </w:rPr>
        <w:t>o a determinadas demandas</w:t>
      </w:r>
      <w:r w:rsidRPr="00770592">
        <w:rPr>
          <w:rFonts w:ascii="Arial" w:eastAsia="TimesNewRomanPSMT" w:hAnsi="Arial" w:cs="Arial"/>
          <w:lang w:val="es-ES"/>
        </w:rPr>
        <w:t xml:space="preserve">, y </w:t>
      </w:r>
      <w:r w:rsidRPr="0039548F">
        <w:rPr>
          <w:rFonts w:ascii="Arial" w:eastAsia="TimesNewRomanPSMT" w:hAnsi="Arial" w:cs="Arial"/>
          <w:b/>
          <w:lang w:val="es-ES"/>
        </w:rPr>
        <w:t>establecer los requisitos y plazos</w:t>
      </w:r>
      <w:r w:rsidRPr="00770592">
        <w:rPr>
          <w:rFonts w:ascii="Arial" w:eastAsia="TimesNewRomanPSMT" w:hAnsi="Arial" w:cs="Arial"/>
          <w:lang w:val="es-ES"/>
        </w:rPr>
        <w:t xml:space="preserve"> para la recepción de las propuestas</w:t>
      </w:r>
      <w:r w:rsidR="00B133E2" w:rsidRPr="00EB048A">
        <w:rPr>
          <w:rFonts w:ascii="Arial" w:eastAsia="TimesNewRomanPSMT" w:hAnsi="Arial" w:cs="Arial"/>
          <w:lang w:val="es-ES"/>
        </w:rPr>
        <w:t>.</w:t>
      </w:r>
      <w:r>
        <w:rPr>
          <w:rFonts w:ascii="Arial" w:eastAsia="TimesNewRomanPSMT" w:hAnsi="Arial" w:cs="Arial"/>
          <w:lang w:val="es-ES"/>
        </w:rPr>
        <w:t xml:space="preserve"> También se abrieron convocatorias para los </w:t>
      </w:r>
      <w:r w:rsidRPr="00770592">
        <w:rPr>
          <w:rFonts w:ascii="Arial" w:eastAsia="TimesNewRomanPSMT" w:hAnsi="Arial" w:cs="Arial"/>
          <w:lang w:val="es-ES"/>
        </w:rPr>
        <w:t>PNCTI</w:t>
      </w:r>
      <w:r>
        <w:rPr>
          <w:rFonts w:ascii="Arial" w:eastAsia="TimesNewRomanPSMT" w:hAnsi="Arial" w:cs="Arial"/>
          <w:lang w:val="es-ES"/>
        </w:rPr>
        <w:t>, PSCTI, PTCTI de nueva creación, en aras de conformar sus respectivas carteras de proyectos.</w:t>
      </w:r>
    </w:p>
    <w:p w:rsidR="00770592" w:rsidRDefault="00770592" w:rsidP="0016710C">
      <w:pPr>
        <w:autoSpaceDE w:val="0"/>
        <w:autoSpaceDN w:val="0"/>
        <w:adjustRightInd w:val="0"/>
        <w:spacing w:after="120" w:line="240" w:lineRule="auto"/>
        <w:jc w:val="both"/>
        <w:rPr>
          <w:rFonts w:ascii="Arial" w:eastAsia="TimesNewRomanPSMT" w:hAnsi="Arial" w:cs="Arial"/>
          <w:lang w:val="es-ES"/>
        </w:rPr>
      </w:pPr>
      <w:r>
        <w:rPr>
          <w:rFonts w:ascii="Arial" w:eastAsia="TimesNewRomanPSMT" w:hAnsi="Arial" w:cs="Arial"/>
          <w:lang w:val="es-ES"/>
        </w:rPr>
        <w:lastRenderedPageBreak/>
        <w:t xml:space="preserve">Este proceso </w:t>
      </w:r>
      <w:r w:rsidRPr="0039548F">
        <w:rPr>
          <w:rFonts w:ascii="Arial" w:eastAsia="TimesNewRomanPSMT" w:hAnsi="Arial" w:cs="Arial"/>
          <w:b/>
          <w:lang w:val="es-ES"/>
        </w:rPr>
        <w:t xml:space="preserve">se regirá </w:t>
      </w:r>
      <w:r w:rsidR="0016710C" w:rsidRPr="0039548F">
        <w:rPr>
          <w:rFonts w:ascii="Arial" w:eastAsia="TimesNewRomanPSMT" w:hAnsi="Arial" w:cs="Arial"/>
          <w:b/>
          <w:lang w:val="es-ES"/>
        </w:rPr>
        <w:t>siguiendo</w:t>
      </w:r>
      <w:r w:rsidRPr="0039548F">
        <w:rPr>
          <w:rFonts w:ascii="Arial" w:eastAsia="TimesNewRomanPSMT" w:hAnsi="Arial" w:cs="Arial"/>
          <w:b/>
          <w:lang w:val="es-ES"/>
        </w:rPr>
        <w:t xml:space="preserve"> las bases emitidas por la Dirección de Programas y Proyectos Estratégicos (DPPE)</w:t>
      </w:r>
      <w:r>
        <w:rPr>
          <w:rFonts w:ascii="Arial" w:eastAsia="TimesNewRomanPSMT" w:hAnsi="Arial" w:cs="Arial"/>
          <w:lang w:val="es-ES"/>
        </w:rPr>
        <w:t>, de la</w:t>
      </w:r>
      <w:r w:rsidR="0016710C">
        <w:rPr>
          <w:rFonts w:ascii="Arial" w:eastAsia="TimesNewRomanPSMT" w:hAnsi="Arial" w:cs="Arial"/>
          <w:lang w:val="es-ES"/>
        </w:rPr>
        <w:t xml:space="preserve"> Dirección General de Ciencia, Tecnología e Innovación (DGCTI)</w:t>
      </w:r>
      <w:r w:rsidR="00014F5E">
        <w:rPr>
          <w:rFonts w:ascii="Arial" w:eastAsia="TimesNewRomanPSMT" w:hAnsi="Arial" w:cs="Arial"/>
          <w:lang w:val="es-ES"/>
        </w:rPr>
        <w:t xml:space="preserve"> del CITMA en </w:t>
      </w:r>
      <w:r w:rsidR="00014F5E" w:rsidRPr="0039548F">
        <w:rPr>
          <w:rFonts w:ascii="Arial" w:eastAsia="TimesNewRomanPSMT" w:hAnsi="Arial" w:cs="Arial"/>
          <w:b/>
          <w:lang w:val="es-ES"/>
        </w:rPr>
        <w:t>octubre de 2022</w:t>
      </w:r>
      <w:r w:rsidR="00014F5E">
        <w:rPr>
          <w:rFonts w:ascii="Arial" w:eastAsia="TimesNewRomanPSMT" w:hAnsi="Arial" w:cs="Arial"/>
          <w:lang w:val="es-ES"/>
        </w:rPr>
        <w:t>.</w:t>
      </w:r>
    </w:p>
    <w:p w:rsidR="00B1143F" w:rsidRPr="00EB048A" w:rsidRDefault="00B1143F" w:rsidP="00B1143F">
      <w:pPr>
        <w:autoSpaceDE w:val="0"/>
        <w:autoSpaceDN w:val="0"/>
        <w:adjustRightInd w:val="0"/>
        <w:spacing w:after="120" w:line="240" w:lineRule="auto"/>
        <w:jc w:val="both"/>
        <w:rPr>
          <w:rFonts w:ascii="Arial" w:eastAsia="TimesNewRomanPSMT" w:hAnsi="Arial" w:cs="Arial"/>
          <w:bCs/>
          <w:lang w:val="es-ES"/>
        </w:rPr>
      </w:pPr>
      <w:r w:rsidRPr="0039548F">
        <w:rPr>
          <w:rFonts w:ascii="Arial" w:eastAsia="TimesNewRomanPSMT" w:hAnsi="Arial" w:cs="Arial"/>
          <w:b/>
          <w:bCs/>
          <w:lang w:val="es-ES"/>
        </w:rPr>
        <w:t>Toda entidad y/o formas de producción y de prestación de servicios o persona natural con capacidad para ejecutar actividades de ciencia, tecnología e innovación, podrán presentar propuestas de proyectos,</w:t>
      </w:r>
      <w:r w:rsidRPr="00EB048A">
        <w:rPr>
          <w:rFonts w:ascii="Arial" w:eastAsia="TimesNewRomanPSMT" w:hAnsi="Arial" w:cs="Arial"/>
          <w:bCs/>
          <w:lang w:val="es-ES"/>
        </w:rPr>
        <w:t xml:space="preserve"> por interés propio o por encargo expreso que se le realice. Esto incluye a cualquier entidad o forma de gestión estatal o no estatal; así como, cualquier persona natural independientemente de su condición, ya sea, dirigentes, investigadores, profesores, especialistas, tecnólogos, estudiantes, trabajadores en sentido general, jubilados, trabajadores por cuenta propia o personas desvinculadas laboralmente. Las </w:t>
      </w:r>
      <w:r w:rsidRPr="00CB53B6">
        <w:rPr>
          <w:rFonts w:ascii="Arial" w:eastAsia="TimesNewRomanPSMT" w:hAnsi="Arial" w:cs="Arial"/>
          <w:b/>
          <w:bCs/>
          <w:lang w:val="es-ES"/>
        </w:rPr>
        <w:t>convocatorias</w:t>
      </w:r>
      <w:r w:rsidRPr="00EB048A">
        <w:rPr>
          <w:rFonts w:ascii="Arial" w:eastAsia="TimesNewRomanPSMT" w:hAnsi="Arial" w:cs="Arial"/>
          <w:bCs/>
          <w:lang w:val="es-ES"/>
        </w:rPr>
        <w:t xml:space="preserve"> para la presentación de propuestas de proyectos a los programas nacionales, sectoriales o territoriales, son </w:t>
      </w:r>
      <w:r w:rsidRPr="00CB53B6">
        <w:rPr>
          <w:rFonts w:ascii="Arial" w:eastAsia="TimesNewRomanPSMT" w:hAnsi="Arial" w:cs="Arial"/>
          <w:b/>
          <w:bCs/>
          <w:lang w:val="es-ES"/>
        </w:rPr>
        <w:t>públicas</w:t>
      </w:r>
      <w:r w:rsidRPr="00EB048A">
        <w:rPr>
          <w:rFonts w:ascii="Arial" w:eastAsia="TimesNewRomanPSMT" w:hAnsi="Arial" w:cs="Arial"/>
          <w:bCs/>
          <w:lang w:val="es-ES"/>
        </w:rPr>
        <w:t>.</w:t>
      </w:r>
    </w:p>
    <w:p w:rsidR="00B1143F" w:rsidRPr="00EB048A" w:rsidRDefault="00B1143F" w:rsidP="00B1143F">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bCs/>
          <w:lang w:val="es-ES"/>
        </w:rPr>
        <w:t xml:space="preserve">Las </w:t>
      </w:r>
      <w:r w:rsidRPr="00CB53B6">
        <w:rPr>
          <w:rFonts w:ascii="Arial" w:eastAsia="TimesNewRomanPSMT" w:hAnsi="Arial" w:cs="Arial"/>
          <w:b/>
          <w:bCs/>
          <w:lang w:val="es-ES"/>
        </w:rPr>
        <w:t>propuestas presentadas se someten al arbitraje de expertos y deben cumplir las normas establecidas</w:t>
      </w:r>
      <w:r w:rsidRPr="00EB048A">
        <w:rPr>
          <w:rFonts w:ascii="Arial" w:eastAsia="TimesNewRomanPSMT" w:hAnsi="Arial" w:cs="Arial"/>
          <w:bCs/>
          <w:lang w:val="es-ES"/>
        </w:rPr>
        <w:t>. La persona que desconozca el proceso para presentar su propuesta, debe dirigirse a la delegación territorial del CITMA de su demarcación, la cual le orientará los pasos a seguir. Las propuestas deberán dar respuesta a las necesidades y problemas identificados a los diferentes niveles, su análisis y aprobación estarán condicionados a las prioridades. Las propuestas serán remitidas para su atención al organismo, la entidad o el programa de mayor afinidad con el tema; de ser aprobadas, se vincularán a los programas existentes o serán respaldadas por la propia entidad.</w:t>
      </w:r>
    </w:p>
    <w:p w:rsidR="00C27E45" w:rsidRDefault="00C27E45" w:rsidP="0016710C">
      <w:pPr>
        <w:autoSpaceDE w:val="0"/>
        <w:autoSpaceDN w:val="0"/>
        <w:adjustRightInd w:val="0"/>
        <w:spacing w:after="120" w:line="240" w:lineRule="auto"/>
        <w:jc w:val="both"/>
        <w:rPr>
          <w:rFonts w:ascii="Arial" w:eastAsia="TimesNewRomanPSMT" w:hAnsi="Arial" w:cs="Arial"/>
          <w:lang w:val="es-ES"/>
        </w:rPr>
      </w:pPr>
      <w:r w:rsidRPr="00CB53B6">
        <w:rPr>
          <w:rFonts w:ascii="Arial" w:eastAsia="TimesNewRomanPSMT" w:hAnsi="Arial" w:cs="Arial"/>
          <w:b/>
          <w:lang w:val="es-ES"/>
        </w:rPr>
        <w:t>Las fechas de lanzamiento; así como los plazos de recepción, evaluación y aprobación de las propuestas de proyectos</w:t>
      </w:r>
      <w:r>
        <w:rPr>
          <w:rFonts w:ascii="Arial" w:eastAsia="TimesNewRomanPSMT" w:hAnsi="Arial" w:cs="Arial"/>
          <w:lang w:val="es-ES"/>
        </w:rPr>
        <w:t xml:space="preserve"> que se reciban, deberán </w:t>
      </w:r>
      <w:r w:rsidRPr="00CB53B6">
        <w:rPr>
          <w:rFonts w:ascii="Arial" w:eastAsia="TimesNewRomanPSMT" w:hAnsi="Arial" w:cs="Arial"/>
          <w:b/>
          <w:lang w:val="es-ES"/>
        </w:rPr>
        <w:t>garantizar la culminación de este proceso antes del inicio del proceso de Planificación de la CTI</w:t>
      </w:r>
      <w:r>
        <w:rPr>
          <w:rFonts w:ascii="Arial" w:eastAsia="TimesNewRomanPSMT" w:hAnsi="Arial" w:cs="Arial"/>
          <w:lang w:val="es-ES"/>
        </w:rPr>
        <w:t xml:space="preserve"> correspondiente al año </w:t>
      </w:r>
      <w:r w:rsidRPr="00CB53B6">
        <w:rPr>
          <w:rFonts w:ascii="Arial" w:eastAsia="TimesNewRomanPSMT" w:hAnsi="Arial" w:cs="Arial"/>
          <w:b/>
          <w:lang w:val="es-ES"/>
        </w:rPr>
        <w:t>2024</w:t>
      </w:r>
      <w:r>
        <w:rPr>
          <w:rFonts w:ascii="Arial" w:eastAsia="TimesNewRomanPSMT" w:hAnsi="Arial" w:cs="Arial"/>
          <w:lang w:val="es-ES"/>
        </w:rPr>
        <w:t xml:space="preserve">.  Esto garantizará que </w:t>
      </w:r>
      <w:r w:rsidRPr="00CB53B6">
        <w:rPr>
          <w:rFonts w:ascii="Arial" w:eastAsia="TimesNewRomanPSMT" w:hAnsi="Arial" w:cs="Arial"/>
          <w:b/>
          <w:lang w:val="es-ES"/>
        </w:rPr>
        <w:t>los proyectos que se aprueben</w:t>
      </w:r>
      <w:r>
        <w:rPr>
          <w:rFonts w:ascii="Arial" w:eastAsia="TimesNewRomanPSMT" w:hAnsi="Arial" w:cs="Arial"/>
          <w:lang w:val="es-ES"/>
        </w:rPr>
        <w:t xml:space="preserve"> y sus correspondientes presupuestos, puedan ser </w:t>
      </w:r>
      <w:r w:rsidRPr="00CB53B6">
        <w:rPr>
          <w:rFonts w:ascii="Arial" w:eastAsia="TimesNewRomanPSMT" w:hAnsi="Arial" w:cs="Arial"/>
          <w:b/>
          <w:lang w:val="es-ES"/>
        </w:rPr>
        <w:t>incluidos tanto en el Plan CTI del Programa</w:t>
      </w:r>
      <w:r>
        <w:rPr>
          <w:rFonts w:ascii="Arial" w:eastAsia="TimesNewRomanPSMT" w:hAnsi="Arial" w:cs="Arial"/>
          <w:lang w:val="es-ES"/>
        </w:rPr>
        <w:t xml:space="preserve"> que los aprobó, como en los </w:t>
      </w:r>
      <w:r w:rsidRPr="00CB53B6">
        <w:rPr>
          <w:rFonts w:ascii="Arial" w:eastAsia="TimesNewRomanPSMT" w:hAnsi="Arial" w:cs="Arial"/>
          <w:b/>
          <w:lang w:val="es-ES"/>
        </w:rPr>
        <w:t>planes de las EEP</w:t>
      </w:r>
      <w:r>
        <w:rPr>
          <w:rFonts w:ascii="Arial" w:eastAsia="TimesNewRomanPSMT" w:hAnsi="Arial" w:cs="Arial"/>
          <w:lang w:val="es-ES"/>
        </w:rPr>
        <w:t xml:space="preserve"> y de los </w:t>
      </w:r>
      <w:r w:rsidRPr="00CB53B6">
        <w:rPr>
          <w:rFonts w:ascii="Arial" w:eastAsia="TimesNewRomanPSMT" w:hAnsi="Arial" w:cs="Arial"/>
          <w:b/>
          <w:lang w:val="es-ES"/>
        </w:rPr>
        <w:t xml:space="preserve">respectivos </w:t>
      </w:r>
      <w:r w:rsidRPr="00CB53B6">
        <w:rPr>
          <w:rFonts w:ascii="Arial" w:eastAsia="TimesNewRomanPSMT" w:hAnsi="Arial" w:cs="Arial"/>
          <w:lang w:val="es-ES"/>
        </w:rPr>
        <w:t>OACE</w:t>
      </w:r>
      <w:r w:rsidR="00CB53B6" w:rsidRPr="00CB53B6">
        <w:rPr>
          <w:rFonts w:ascii="Arial" w:eastAsia="TimesNewRomanPSMT" w:hAnsi="Arial" w:cs="Arial"/>
          <w:lang w:val="es-ES"/>
        </w:rPr>
        <w:t>, OSDE o EN</w:t>
      </w:r>
      <w:r>
        <w:rPr>
          <w:rFonts w:ascii="Arial" w:eastAsia="TimesNewRomanPSMT" w:hAnsi="Arial" w:cs="Arial"/>
          <w:lang w:val="es-ES"/>
        </w:rPr>
        <w:t xml:space="preserve"> </w:t>
      </w:r>
      <w:r w:rsidRPr="00C27E45">
        <w:rPr>
          <w:rFonts w:ascii="Arial" w:eastAsia="TimesNewRomanPSMT" w:hAnsi="Arial" w:cs="Arial"/>
          <w:lang w:val="es-ES"/>
        </w:rPr>
        <w:t>al que se subordinan, son aten</w:t>
      </w:r>
      <w:r>
        <w:rPr>
          <w:rFonts w:ascii="Arial" w:eastAsia="TimesNewRomanPSMT" w:hAnsi="Arial" w:cs="Arial"/>
          <w:lang w:val="es-ES"/>
        </w:rPr>
        <w:t>d</w:t>
      </w:r>
      <w:r w:rsidRPr="00C27E45">
        <w:rPr>
          <w:rFonts w:ascii="Arial" w:eastAsia="TimesNewRomanPSMT" w:hAnsi="Arial" w:cs="Arial"/>
          <w:lang w:val="es-ES"/>
        </w:rPr>
        <w:t>idas, están adscriptas o se relacionan las mismas</w:t>
      </w:r>
      <w:r>
        <w:rPr>
          <w:rFonts w:ascii="Arial" w:eastAsia="TimesNewRomanPSMT" w:hAnsi="Arial" w:cs="Arial"/>
          <w:lang w:val="es-ES"/>
        </w:rPr>
        <w:t>.</w:t>
      </w:r>
    </w:p>
    <w:p w:rsidR="00B133E2" w:rsidRPr="00EB048A" w:rsidRDefault="00B133E2" w:rsidP="008525DB">
      <w:pPr>
        <w:autoSpaceDE w:val="0"/>
        <w:autoSpaceDN w:val="0"/>
        <w:adjustRightInd w:val="0"/>
        <w:spacing w:after="120" w:line="240" w:lineRule="auto"/>
        <w:jc w:val="both"/>
        <w:rPr>
          <w:rFonts w:ascii="Arial" w:eastAsia="TimesNewRomanPSMT" w:hAnsi="Arial" w:cs="Arial"/>
          <w:lang w:val="es-ES"/>
        </w:rPr>
      </w:pPr>
    </w:p>
    <w:p w:rsidR="00E63B59" w:rsidRPr="00EB048A" w:rsidRDefault="00E63B59" w:rsidP="00AB5F08">
      <w:pPr>
        <w:pStyle w:val="Prrafodelista"/>
        <w:numPr>
          <w:ilvl w:val="0"/>
          <w:numId w:val="7"/>
        </w:numPr>
        <w:autoSpaceDE w:val="0"/>
        <w:autoSpaceDN w:val="0"/>
        <w:adjustRightInd w:val="0"/>
        <w:spacing w:after="120" w:line="240" w:lineRule="auto"/>
        <w:ind w:left="284" w:hanging="284"/>
        <w:jc w:val="both"/>
        <w:rPr>
          <w:rFonts w:ascii="Arial" w:eastAsia="TimesNewRomanPSMT" w:hAnsi="Arial" w:cs="Arial"/>
          <w:b/>
        </w:rPr>
      </w:pPr>
      <w:r w:rsidRPr="00EB048A">
        <w:rPr>
          <w:rFonts w:ascii="Arial" w:eastAsia="TimesNewRomanPSMT" w:hAnsi="Arial" w:cs="Arial"/>
          <w:b/>
        </w:rPr>
        <w:t xml:space="preserve">Sobre la planificación </w:t>
      </w:r>
      <w:r w:rsidR="00AB5F08">
        <w:rPr>
          <w:rFonts w:ascii="Arial" w:eastAsia="TimesNewRomanPSMT" w:hAnsi="Arial" w:cs="Arial"/>
          <w:b/>
        </w:rPr>
        <w:t xml:space="preserve">CTI </w:t>
      </w:r>
      <w:r w:rsidR="00B1143F">
        <w:rPr>
          <w:rFonts w:ascii="Arial" w:eastAsia="TimesNewRomanPSMT" w:hAnsi="Arial" w:cs="Arial"/>
          <w:b/>
        </w:rPr>
        <w:t>2024</w:t>
      </w:r>
      <w:r w:rsidRPr="00EB048A">
        <w:rPr>
          <w:rFonts w:ascii="Arial" w:eastAsia="TimesNewRomanPSMT" w:hAnsi="Arial" w:cs="Arial"/>
          <w:b/>
        </w:rPr>
        <w:t>.</w:t>
      </w:r>
    </w:p>
    <w:p w:rsidR="00E63B59" w:rsidRPr="00EB048A" w:rsidRDefault="00E63B59" w:rsidP="00E63B59">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La planificación de las actividades de ciencia, tecnología, innovación y medio ambiente, se </w:t>
      </w:r>
      <w:r w:rsidRPr="00CB53B6">
        <w:rPr>
          <w:rFonts w:ascii="Arial" w:eastAsia="TimesNewRomanPSMT" w:hAnsi="Arial" w:cs="Arial"/>
          <w:b/>
          <w:lang w:val="es-ES"/>
        </w:rPr>
        <w:t>realiza sobre la base de las Indicaciones Metodológicas</w:t>
      </w:r>
      <w:r w:rsidRPr="00EB048A">
        <w:rPr>
          <w:rFonts w:ascii="Arial" w:eastAsia="TimesNewRomanPSMT" w:hAnsi="Arial" w:cs="Arial"/>
          <w:lang w:val="es-ES"/>
        </w:rPr>
        <w:t xml:space="preserve"> para la planificación que se emiten anualmente por el </w:t>
      </w:r>
      <w:r w:rsidRPr="00CB53B6">
        <w:rPr>
          <w:rFonts w:ascii="Arial" w:eastAsia="TimesNewRomanPSMT" w:hAnsi="Arial" w:cs="Arial"/>
          <w:b/>
          <w:lang w:val="es-ES"/>
        </w:rPr>
        <w:t>MEP</w:t>
      </w:r>
      <w:r w:rsidRPr="00EB048A">
        <w:rPr>
          <w:rFonts w:ascii="Arial" w:eastAsia="TimesNewRomanPSMT" w:hAnsi="Arial" w:cs="Arial"/>
          <w:lang w:val="es-ES"/>
        </w:rPr>
        <w:t xml:space="preserve"> y el </w:t>
      </w:r>
      <w:r w:rsidRPr="00CB53B6">
        <w:rPr>
          <w:rFonts w:ascii="Arial" w:eastAsia="TimesNewRomanPSMT" w:hAnsi="Arial" w:cs="Arial"/>
          <w:b/>
          <w:lang w:val="es-ES"/>
        </w:rPr>
        <w:t>CITMA</w:t>
      </w:r>
      <w:r w:rsidRPr="00EB048A">
        <w:rPr>
          <w:rFonts w:ascii="Arial" w:eastAsia="TimesNewRomanPSMT" w:hAnsi="Arial" w:cs="Arial"/>
          <w:lang w:val="es-ES"/>
        </w:rPr>
        <w:t>.</w:t>
      </w:r>
    </w:p>
    <w:p w:rsidR="00ED7B4A" w:rsidRPr="00EB048A" w:rsidRDefault="00ED7B4A" w:rsidP="00ED7B4A">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Los presupuestos de los programas y proyectos se calculan según lo establecido en la Resolución 287/2019 y las Indicaciones Metodológicas del CITMA, así como, las Resoluciones 58/2016, 124, 128, 324 y 375/2020 del MFP.</w:t>
      </w:r>
    </w:p>
    <w:p w:rsidR="00B133E2" w:rsidRPr="00EB048A" w:rsidRDefault="00B133E2" w:rsidP="008525DB">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Los </w:t>
      </w:r>
      <w:r w:rsidRPr="00CB53B6">
        <w:rPr>
          <w:rFonts w:ascii="Arial" w:eastAsia="TimesNewRomanPSMT" w:hAnsi="Arial" w:cs="Arial"/>
          <w:b/>
          <w:lang w:val="es-ES"/>
        </w:rPr>
        <w:t xml:space="preserve">montos a planificar para los </w:t>
      </w:r>
      <w:r w:rsidR="00CB53B6" w:rsidRPr="00CB53B6">
        <w:rPr>
          <w:rFonts w:ascii="Arial" w:eastAsia="TimesNewRomanPSMT" w:hAnsi="Arial" w:cs="Arial"/>
          <w:b/>
          <w:lang w:val="es-ES"/>
        </w:rPr>
        <w:t>Programas</w:t>
      </w:r>
      <w:r w:rsidRPr="00EB048A">
        <w:rPr>
          <w:rFonts w:ascii="Arial" w:eastAsia="TimesNewRomanPSMT" w:hAnsi="Arial" w:cs="Arial"/>
          <w:lang w:val="es-ES"/>
        </w:rPr>
        <w:t xml:space="preserve">, se forman a partir de la </w:t>
      </w:r>
      <w:r w:rsidRPr="00CB53B6">
        <w:rPr>
          <w:rFonts w:ascii="Arial" w:eastAsia="TimesNewRomanPSMT" w:hAnsi="Arial" w:cs="Arial"/>
          <w:b/>
          <w:lang w:val="es-ES"/>
        </w:rPr>
        <w:t>suma de los presupuestos de los proyectos</w:t>
      </w:r>
      <w:r w:rsidRPr="00EB048A">
        <w:rPr>
          <w:rFonts w:ascii="Arial" w:eastAsia="TimesNewRomanPSMT" w:hAnsi="Arial" w:cs="Arial"/>
          <w:lang w:val="es-ES"/>
        </w:rPr>
        <w:t xml:space="preserve"> que lo conforman y el financiamiento </w:t>
      </w:r>
      <w:r w:rsidRPr="00CB53B6">
        <w:rPr>
          <w:rFonts w:ascii="Arial" w:eastAsia="TimesNewRomanPSMT" w:hAnsi="Arial" w:cs="Arial"/>
          <w:b/>
          <w:lang w:val="es-ES"/>
        </w:rPr>
        <w:t>requerido para la gestión del programa</w:t>
      </w:r>
      <w:r w:rsidRPr="00EB048A">
        <w:rPr>
          <w:rFonts w:ascii="Arial" w:eastAsia="TimesNewRomanPSMT" w:hAnsi="Arial" w:cs="Arial"/>
          <w:lang w:val="es-ES"/>
        </w:rPr>
        <w:t xml:space="preserve">, que incluye entre otras actividades, las </w:t>
      </w:r>
      <w:r w:rsidRPr="00CB53B6">
        <w:rPr>
          <w:rFonts w:ascii="Arial" w:eastAsia="TimesNewRomanPSMT" w:hAnsi="Arial" w:cs="Arial"/>
          <w:u w:val="single"/>
          <w:lang w:val="es-ES"/>
        </w:rPr>
        <w:t>evaluaciones de proyectos</w:t>
      </w:r>
      <w:r w:rsidRPr="00EB048A">
        <w:rPr>
          <w:rFonts w:ascii="Arial" w:eastAsia="TimesNewRomanPSMT" w:hAnsi="Arial" w:cs="Arial"/>
          <w:lang w:val="es-ES"/>
        </w:rPr>
        <w:t xml:space="preserve"> en todas sus etapas, los </w:t>
      </w:r>
      <w:r w:rsidRPr="00CB53B6">
        <w:rPr>
          <w:rFonts w:ascii="Arial" w:eastAsia="TimesNewRomanPSMT" w:hAnsi="Arial" w:cs="Arial"/>
          <w:u w:val="single"/>
          <w:lang w:val="es-ES"/>
        </w:rPr>
        <w:t>talleres y reuniones del Grupo de Expertos</w:t>
      </w:r>
      <w:r w:rsidRPr="00EB048A">
        <w:rPr>
          <w:rFonts w:ascii="Arial" w:eastAsia="TimesNewRomanPSMT" w:hAnsi="Arial" w:cs="Arial"/>
          <w:lang w:val="es-ES"/>
        </w:rPr>
        <w:t xml:space="preserve"> y las cuantías a pagar por concepto de </w:t>
      </w:r>
      <w:r w:rsidRPr="00CB53B6">
        <w:rPr>
          <w:rFonts w:ascii="Arial" w:eastAsia="TimesNewRomanPSMT" w:hAnsi="Arial" w:cs="Arial"/>
          <w:u w:val="single"/>
          <w:lang w:val="es-ES"/>
        </w:rPr>
        <w:t>remuneración a los expertos, el secretario ejecutivo y el jefe de programa</w:t>
      </w:r>
      <w:r w:rsidRPr="00EB048A">
        <w:rPr>
          <w:rFonts w:ascii="Arial" w:eastAsia="TimesNewRomanPSMT" w:hAnsi="Arial" w:cs="Arial"/>
          <w:lang w:val="es-ES"/>
        </w:rPr>
        <w:t>.</w:t>
      </w:r>
      <w:r w:rsidR="00AB5F08">
        <w:rPr>
          <w:rFonts w:ascii="Arial" w:eastAsia="TimesNewRomanPSMT" w:hAnsi="Arial" w:cs="Arial"/>
          <w:lang w:val="es-ES"/>
        </w:rPr>
        <w:t xml:space="preserve"> Se deberán </w:t>
      </w:r>
      <w:r w:rsidR="00AB5F08" w:rsidRPr="00CB53B6">
        <w:rPr>
          <w:rFonts w:ascii="Arial" w:eastAsia="TimesNewRomanPSMT" w:hAnsi="Arial" w:cs="Arial"/>
          <w:b/>
          <w:lang w:val="es-ES"/>
        </w:rPr>
        <w:t>tener en cuenta los proyectos que tienen planificada su terminación en 2023</w:t>
      </w:r>
      <w:r w:rsidR="00AB5F08">
        <w:rPr>
          <w:rFonts w:ascii="Arial" w:eastAsia="TimesNewRomanPSMT" w:hAnsi="Arial" w:cs="Arial"/>
          <w:lang w:val="es-ES"/>
        </w:rPr>
        <w:t xml:space="preserve"> (</w:t>
      </w:r>
      <w:r w:rsidR="00AB5F08" w:rsidRPr="00CB53B6">
        <w:rPr>
          <w:rFonts w:ascii="Arial" w:eastAsia="TimesNewRomanPSMT" w:hAnsi="Arial" w:cs="Arial"/>
          <w:b/>
          <w:lang w:val="es-ES"/>
        </w:rPr>
        <w:t>valorar si necesitarán o no prorrogar su ejecución, con o sin financiamiento del programa</w:t>
      </w:r>
      <w:r w:rsidR="00AB5F08">
        <w:rPr>
          <w:rFonts w:ascii="Arial" w:eastAsia="TimesNewRomanPSMT" w:hAnsi="Arial" w:cs="Arial"/>
          <w:lang w:val="es-ES"/>
        </w:rPr>
        <w:t xml:space="preserve">) y los </w:t>
      </w:r>
      <w:r w:rsidR="00AB5F08" w:rsidRPr="00CB53B6">
        <w:rPr>
          <w:rFonts w:ascii="Arial" w:eastAsia="TimesNewRomanPSMT" w:hAnsi="Arial" w:cs="Arial"/>
          <w:b/>
          <w:lang w:val="es-ES"/>
        </w:rPr>
        <w:t>proyectos que se aprueben en el proceso de convocatoria</w:t>
      </w:r>
      <w:r w:rsidR="00AB5F08">
        <w:rPr>
          <w:rFonts w:ascii="Arial" w:eastAsia="TimesNewRomanPSMT" w:hAnsi="Arial" w:cs="Arial"/>
          <w:lang w:val="es-ES"/>
        </w:rPr>
        <w:t xml:space="preserve">. </w:t>
      </w:r>
    </w:p>
    <w:p w:rsidR="00ED7B4A" w:rsidRDefault="00B133E2" w:rsidP="00ED7B4A">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 xml:space="preserve">Los </w:t>
      </w:r>
      <w:r w:rsidRPr="00CB53B6">
        <w:rPr>
          <w:rFonts w:ascii="Arial" w:eastAsia="TimesNewRomanPSMT" w:hAnsi="Arial" w:cs="Arial"/>
          <w:b/>
          <w:lang w:val="es-ES"/>
        </w:rPr>
        <w:t xml:space="preserve">montos a planificar para los </w:t>
      </w:r>
      <w:r w:rsidR="00CB53B6" w:rsidRPr="00CB53B6">
        <w:rPr>
          <w:rFonts w:ascii="Arial" w:eastAsia="TimesNewRomanPSMT" w:hAnsi="Arial" w:cs="Arial"/>
          <w:b/>
          <w:lang w:val="es-ES"/>
        </w:rPr>
        <w:t>Proyectos</w:t>
      </w:r>
      <w:r w:rsidR="00CB53B6" w:rsidRPr="00EB048A">
        <w:rPr>
          <w:rFonts w:ascii="Arial" w:eastAsia="TimesNewRomanPSMT" w:hAnsi="Arial" w:cs="Arial"/>
          <w:lang w:val="es-ES"/>
        </w:rPr>
        <w:t xml:space="preserve"> </w:t>
      </w:r>
      <w:r w:rsidRPr="00EB048A">
        <w:rPr>
          <w:rFonts w:ascii="Arial" w:eastAsia="TimesNewRomanPSMT" w:hAnsi="Arial" w:cs="Arial"/>
          <w:lang w:val="es-ES"/>
        </w:rPr>
        <w:t>se forman por el método de gastos t</w:t>
      </w:r>
      <w:r w:rsidR="00ED7B4A">
        <w:rPr>
          <w:rFonts w:ascii="Arial" w:eastAsia="TimesNewRomanPSMT" w:hAnsi="Arial" w:cs="Arial"/>
          <w:lang w:val="es-ES"/>
        </w:rPr>
        <w:t>enie</w:t>
      </w:r>
      <w:r w:rsidRPr="00EB048A">
        <w:rPr>
          <w:rFonts w:ascii="Arial" w:eastAsia="TimesNewRomanPSMT" w:hAnsi="Arial" w:cs="Arial"/>
          <w:lang w:val="es-ES"/>
        </w:rPr>
        <w:t xml:space="preserve">ndo en cuenta lo establecido en la </w:t>
      </w:r>
      <w:r w:rsidRPr="00CB53B6">
        <w:rPr>
          <w:rFonts w:ascii="Arial" w:eastAsia="TimesNewRomanPSMT" w:hAnsi="Arial" w:cs="Arial"/>
          <w:b/>
          <w:lang w:val="es-ES"/>
        </w:rPr>
        <w:t>legislación vigente</w:t>
      </w:r>
      <w:r w:rsidRPr="00EB048A">
        <w:rPr>
          <w:rFonts w:ascii="Arial" w:eastAsia="TimesNewRomanPSMT" w:hAnsi="Arial" w:cs="Arial"/>
          <w:lang w:val="es-ES"/>
        </w:rPr>
        <w:t xml:space="preserve">; </w:t>
      </w:r>
      <w:r w:rsidR="00ED7B4A">
        <w:rPr>
          <w:rFonts w:ascii="Arial" w:eastAsia="TimesNewRomanPSMT" w:hAnsi="Arial" w:cs="Arial"/>
          <w:lang w:val="es-ES"/>
        </w:rPr>
        <w:t xml:space="preserve">tomando como </w:t>
      </w:r>
      <w:r w:rsidR="00ED7B4A" w:rsidRPr="00CB53B6">
        <w:rPr>
          <w:rFonts w:ascii="Arial" w:eastAsia="TimesNewRomanPSMT" w:hAnsi="Arial" w:cs="Arial"/>
          <w:b/>
          <w:lang w:val="es-ES"/>
        </w:rPr>
        <w:t>referencia los Diseños Metodológicos de las investigaciones</w:t>
      </w:r>
      <w:r w:rsidR="00ED7B4A" w:rsidRPr="00B1143F">
        <w:rPr>
          <w:rFonts w:ascii="Arial" w:eastAsia="TimesNewRomanPSMT" w:hAnsi="Arial" w:cs="Arial"/>
          <w:lang w:val="es-ES"/>
        </w:rPr>
        <w:t>,</w:t>
      </w:r>
      <w:r w:rsidR="00ED7B4A" w:rsidRPr="00ED7B4A">
        <w:rPr>
          <w:rFonts w:ascii="Arial" w:eastAsia="TimesNewRomanPSMT" w:hAnsi="Arial" w:cs="Arial"/>
          <w:lang w:val="es-ES"/>
        </w:rPr>
        <w:t xml:space="preserve"> </w:t>
      </w:r>
      <w:r w:rsidR="00ED7B4A" w:rsidRPr="00B1143F">
        <w:rPr>
          <w:rFonts w:ascii="Arial" w:eastAsia="TimesNewRomanPSMT" w:hAnsi="Arial" w:cs="Arial"/>
          <w:lang w:val="es-ES"/>
        </w:rPr>
        <w:t xml:space="preserve">analizando que los </w:t>
      </w:r>
      <w:r w:rsidR="008C5A55">
        <w:rPr>
          <w:rFonts w:ascii="Arial" w:eastAsia="TimesNewRomanPSMT" w:hAnsi="Arial" w:cs="Arial"/>
          <w:lang w:val="es-ES"/>
        </w:rPr>
        <w:t>mismos</w:t>
      </w:r>
      <w:r w:rsidR="00ED7B4A" w:rsidRPr="00B1143F">
        <w:rPr>
          <w:rFonts w:ascii="Arial" w:eastAsia="TimesNewRomanPSMT" w:hAnsi="Arial" w:cs="Arial"/>
          <w:lang w:val="es-ES"/>
        </w:rPr>
        <w:t xml:space="preserve"> tengan desagregados cada resultado en etapas, las etapas en tareas y estas en actividades, todo lo cual deberá </w:t>
      </w:r>
      <w:r w:rsidR="00ED7B4A" w:rsidRPr="00B1143F">
        <w:rPr>
          <w:rFonts w:ascii="Arial" w:eastAsia="TimesNewRomanPSMT" w:hAnsi="Arial" w:cs="Arial"/>
          <w:lang w:val="es-ES"/>
        </w:rPr>
        <w:lastRenderedPageBreak/>
        <w:t>estar en correspondencia con los objetivos generales y específicos de cada proyecto (</w:t>
      </w:r>
      <w:r w:rsidR="00ED7B4A" w:rsidRPr="00CB53B6">
        <w:rPr>
          <w:rFonts w:ascii="Arial" w:eastAsia="TimesNewRomanPSMT" w:hAnsi="Arial" w:cs="Arial"/>
          <w:b/>
          <w:lang w:val="es-ES"/>
        </w:rPr>
        <w:t>Anexo 3</w:t>
      </w:r>
      <w:r w:rsidR="00ED7B4A">
        <w:rPr>
          <w:rFonts w:ascii="Arial" w:eastAsia="TimesNewRomanPSMT" w:hAnsi="Arial" w:cs="Arial"/>
          <w:lang w:val="es-ES"/>
        </w:rPr>
        <w:t xml:space="preserve"> de las Indicaciones Metodológicas del 2020</w:t>
      </w:r>
      <w:r w:rsidR="00ED7B4A" w:rsidRPr="00B1143F">
        <w:rPr>
          <w:rFonts w:ascii="Arial" w:hAnsi="Arial" w:cs="Arial"/>
          <w:bCs/>
          <w:color w:val="000000"/>
          <w:sz w:val="20"/>
          <w:szCs w:val="20"/>
          <w:lang w:val="es-ES"/>
        </w:rPr>
        <w:t>)</w:t>
      </w:r>
      <w:r w:rsidR="008C5A55">
        <w:rPr>
          <w:rFonts w:ascii="Arial" w:hAnsi="Arial" w:cs="Arial"/>
          <w:bCs/>
          <w:color w:val="000000"/>
          <w:sz w:val="20"/>
          <w:szCs w:val="20"/>
          <w:lang w:val="es-ES"/>
        </w:rPr>
        <w:t>.</w:t>
      </w:r>
    </w:p>
    <w:p w:rsidR="00B133E2" w:rsidRPr="00EB048A" w:rsidRDefault="00B133E2" w:rsidP="008525DB">
      <w:pPr>
        <w:autoSpaceDE w:val="0"/>
        <w:autoSpaceDN w:val="0"/>
        <w:adjustRightInd w:val="0"/>
        <w:spacing w:after="120" w:line="240" w:lineRule="auto"/>
        <w:jc w:val="both"/>
        <w:rPr>
          <w:rFonts w:ascii="Arial" w:eastAsia="TimesNewRomanPSMT" w:hAnsi="Arial" w:cs="Arial"/>
          <w:lang w:val="es-ES"/>
        </w:rPr>
      </w:pPr>
      <w:r w:rsidRPr="00EB048A">
        <w:rPr>
          <w:rFonts w:ascii="Arial" w:eastAsia="TimesNewRomanPSMT" w:hAnsi="Arial" w:cs="Arial"/>
          <w:lang w:val="es-ES"/>
        </w:rPr>
        <w:t>Todas las entidades del país elaboran su Plan CTI, el cual está conformado por los Modelos CTI. Estos modelos se llenan sobre la base del cálculo de los presupuestos de los programas y proyectos; así como, de las otras actividades de ciencia, tecnología e innovación previstas a ejecutar.</w:t>
      </w:r>
    </w:p>
    <w:p w:rsidR="00B133E2" w:rsidRPr="00B1143F" w:rsidRDefault="00DB5E28" w:rsidP="008525DB">
      <w:pPr>
        <w:autoSpaceDE w:val="0"/>
        <w:autoSpaceDN w:val="0"/>
        <w:adjustRightInd w:val="0"/>
        <w:spacing w:after="120" w:line="240" w:lineRule="auto"/>
        <w:jc w:val="both"/>
        <w:rPr>
          <w:rFonts w:ascii="Arial" w:eastAsia="TimesNewRomanPSMT" w:hAnsi="Arial" w:cs="Arial"/>
          <w:lang w:val="es-ES"/>
        </w:rPr>
      </w:pPr>
      <w:r w:rsidRPr="00B1143F">
        <w:rPr>
          <w:rFonts w:ascii="Arial" w:eastAsia="TimesNewRomanPSMT" w:hAnsi="Arial" w:cs="Arial"/>
          <w:lang w:val="es-ES"/>
        </w:rPr>
        <w:t xml:space="preserve">El </w:t>
      </w:r>
      <w:r w:rsidRPr="00CB53B6">
        <w:rPr>
          <w:rFonts w:ascii="Arial" w:eastAsia="TimesNewRomanPSMT" w:hAnsi="Arial" w:cs="Arial"/>
          <w:b/>
          <w:lang w:val="es-ES"/>
        </w:rPr>
        <w:t>Plan CTI es parte integrante del plan económico de cada entidad</w:t>
      </w:r>
      <w:r w:rsidRPr="00B1143F">
        <w:rPr>
          <w:rFonts w:ascii="Arial" w:eastAsia="TimesNewRomanPSMT" w:hAnsi="Arial" w:cs="Arial"/>
          <w:lang w:val="es-ES"/>
        </w:rPr>
        <w:t xml:space="preserve">. </w:t>
      </w:r>
      <w:r w:rsidR="00B133E2" w:rsidRPr="00EB048A">
        <w:rPr>
          <w:rFonts w:ascii="Arial" w:eastAsia="TimesNewRomanPSMT" w:hAnsi="Arial" w:cs="Arial"/>
          <w:lang w:val="es-ES"/>
        </w:rPr>
        <w:t xml:space="preserve">Cada órgano, organismo, entidad nacional u organización superior de dirección realiza la conciliación </w:t>
      </w:r>
      <w:r w:rsidR="00B133E2" w:rsidRPr="00B1143F">
        <w:rPr>
          <w:rFonts w:ascii="Arial" w:eastAsia="TimesNewRomanPSMT" w:hAnsi="Arial" w:cs="Arial"/>
          <w:lang w:val="es-ES"/>
        </w:rPr>
        <w:t>de los planes CTI de sus entidades subordinadas, adscriptas o de relación, los revisa, evalúa y aprueba; luego elabora el consolidado general del Plan CTI a su nivel y presenta su plan económico al MEP, con el dictamen de aprobación del CITMA sobre las actividades y montos planificados para la ciencia, la tecnología, la innovación y el medio ambiente.</w:t>
      </w:r>
    </w:p>
    <w:p w:rsidR="00B133E2" w:rsidRPr="00EB048A" w:rsidRDefault="00B133E2" w:rsidP="008525DB">
      <w:pPr>
        <w:autoSpaceDE w:val="0"/>
        <w:autoSpaceDN w:val="0"/>
        <w:adjustRightInd w:val="0"/>
        <w:spacing w:after="120" w:line="240" w:lineRule="auto"/>
        <w:jc w:val="both"/>
        <w:rPr>
          <w:rFonts w:ascii="Arial" w:eastAsia="TimesNewRomanPSMT" w:hAnsi="Arial" w:cs="Arial"/>
          <w:lang w:val="es-ES"/>
        </w:rPr>
      </w:pPr>
      <w:r w:rsidRPr="00B1143F">
        <w:rPr>
          <w:rFonts w:ascii="Arial" w:eastAsia="TimesNewRomanPSMT" w:hAnsi="Arial" w:cs="Arial"/>
          <w:lang w:val="es-ES"/>
        </w:rPr>
        <w:t>Luego de la aprobación del plan económico, cada órgano, organismo, entidad nacional y organización superior de dirección deberá cerciorarse de la correspondencia entre los montos planificados y los aprobados, para los programas y proyectos, y otras actividades de ciencia, tecnología e innovación.</w:t>
      </w:r>
      <w:r w:rsidRPr="00EB048A">
        <w:rPr>
          <w:rFonts w:ascii="Arial" w:eastAsia="TimesNewRomanPSMT" w:hAnsi="Arial" w:cs="Arial"/>
          <w:lang w:val="es-ES"/>
        </w:rPr>
        <w:t xml:space="preserve"> </w:t>
      </w:r>
    </w:p>
    <w:p w:rsidR="0003633F" w:rsidRDefault="0003633F" w:rsidP="0003633F">
      <w:pPr>
        <w:autoSpaceDE w:val="0"/>
        <w:autoSpaceDN w:val="0"/>
        <w:adjustRightInd w:val="0"/>
        <w:spacing w:after="120" w:line="240" w:lineRule="auto"/>
        <w:jc w:val="both"/>
        <w:rPr>
          <w:rFonts w:ascii="Arial" w:eastAsia="TimesNewRomanPSMT" w:hAnsi="Arial" w:cs="Arial"/>
          <w:lang w:val="es-ES"/>
        </w:rPr>
      </w:pPr>
    </w:p>
    <w:p w:rsidR="0003633F" w:rsidRPr="00EB048A" w:rsidRDefault="0003633F" w:rsidP="0003633F">
      <w:pPr>
        <w:autoSpaceDE w:val="0"/>
        <w:autoSpaceDN w:val="0"/>
        <w:adjustRightInd w:val="0"/>
        <w:spacing w:after="120" w:line="240" w:lineRule="auto"/>
        <w:jc w:val="both"/>
        <w:rPr>
          <w:rFonts w:ascii="Arial" w:eastAsia="TimesNewRomanPSMT" w:hAnsi="Arial" w:cs="Arial"/>
          <w:lang w:val="es-ES"/>
        </w:rPr>
      </w:pPr>
    </w:p>
    <w:p w:rsidR="0003633F" w:rsidRPr="00EB048A" w:rsidRDefault="00820C5A" w:rsidP="0003633F">
      <w:pPr>
        <w:autoSpaceDE w:val="0"/>
        <w:autoSpaceDN w:val="0"/>
        <w:adjustRightInd w:val="0"/>
        <w:spacing w:after="120" w:line="240" w:lineRule="auto"/>
        <w:jc w:val="both"/>
        <w:rPr>
          <w:rFonts w:ascii="Arial" w:eastAsia="TimesNewRomanPSMT" w:hAnsi="Arial" w:cs="Arial"/>
          <w:lang w:val="es-ES"/>
        </w:rPr>
      </w:pPr>
      <w:r>
        <w:rPr>
          <w:rFonts w:ascii="Arial" w:eastAsia="TimesNewRomanPSMT" w:hAnsi="Arial" w:cs="Arial"/>
          <w:lang w:val="es-ES"/>
        </w:rPr>
        <w:t>Para concluir, se informa que c</w:t>
      </w:r>
      <w:r w:rsidR="0003633F" w:rsidRPr="00EB048A">
        <w:rPr>
          <w:rFonts w:ascii="Arial" w:eastAsia="TimesNewRomanPSMT" w:hAnsi="Arial" w:cs="Arial"/>
          <w:lang w:val="es-ES"/>
        </w:rPr>
        <w:t xml:space="preserve">ontinuamos trabajando en el </w:t>
      </w:r>
      <w:r w:rsidR="0003633F" w:rsidRPr="00CB53B6">
        <w:rPr>
          <w:rFonts w:ascii="Arial" w:eastAsia="TimesNewRomanPSMT" w:hAnsi="Arial" w:cs="Arial"/>
          <w:b/>
          <w:lang w:val="es-ES"/>
        </w:rPr>
        <w:t>perfeccionamiento de las Indicaciones Metodológicas</w:t>
      </w:r>
      <w:r w:rsidR="0003633F" w:rsidRPr="00EB048A">
        <w:rPr>
          <w:rFonts w:ascii="Arial" w:eastAsia="TimesNewRomanPSMT" w:hAnsi="Arial" w:cs="Arial"/>
          <w:lang w:val="es-ES"/>
        </w:rPr>
        <w:t xml:space="preserve"> emitidas en el año </w:t>
      </w:r>
      <w:r w:rsidR="0003633F" w:rsidRPr="00CB53B6">
        <w:rPr>
          <w:rFonts w:ascii="Arial" w:eastAsia="TimesNewRomanPSMT" w:hAnsi="Arial" w:cs="Arial"/>
          <w:b/>
          <w:lang w:val="es-ES"/>
        </w:rPr>
        <w:t>2020</w:t>
      </w:r>
      <w:r w:rsidR="0003633F" w:rsidRPr="00EB048A">
        <w:rPr>
          <w:rFonts w:ascii="Arial" w:eastAsia="TimesNewRomanPSMT" w:hAnsi="Arial" w:cs="Arial"/>
          <w:lang w:val="es-ES"/>
        </w:rPr>
        <w:t xml:space="preserve">. El nuevo documento saldrá como un </w:t>
      </w:r>
      <w:r w:rsidR="0003633F" w:rsidRPr="00CB53B6">
        <w:rPr>
          <w:rFonts w:ascii="Arial" w:eastAsia="TimesNewRomanPSMT" w:hAnsi="Arial" w:cs="Arial"/>
          <w:b/>
          <w:lang w:val="es-ES"/>
        </w:rPr>
        <w:t>Manual para la Gestión del Sistema de Programas y Proyectos de CTI</w:t>
      </w:r>
      <w:r w:rsidR="0003633F" w:rsidRPr="00EB048A">
        <w:rPr>
          <w:rFonts w:ascii="Arial" w:eastAsia="TimesNewRomanPSMT" w:hAnsi="Arial" w:cs="Arial"/>
          <w:lang w:val="es-ES"/>
        </w:rPr>
        <w:t xml:space="preserve">, anexo a un </w:t>
      </w:r>
      <w:r w:rsidR="0003633F" w:rsidRPr="00CB53B6">
        <w:rPr>
          <w:rFonts w:ascii="Arial" w:eastAsia="TimesNewRomanPSMT" w:hAnsi="Arial" w:cs="Arial"/>
          <w:b/>
          <w:lang w:val="es-ES"/>
        </w:rPr>
        <w:t>Resolución firmada por la Ministra del CITMA</w:t>
      </w:r>
      <w:r w:rsidR="0003633F" w:rsidRPr="00EB048A">
        <w:rPr>
          <w:rFonts w:ascii="Arial" w:eastAsia="TimesNewRomanPSMT" w:hAnsi="Arial" w:cs="Arial"/>
          <w:lang w:val="es-ES"/>
        </w:rPr>
        <w:t>.</w:t>
      </w:r>
      <w:r>
        <w:rPr>
          <w:rFonts w:ascii="Arial" w:eastAsia="TimesNewRomanPSMT" w:hAnsi="Arial" w:cs="Arial"/>
          <w:lang w:val="es-ES"/>
        </w:rPr>
        <w:t xml:space="preserve"> </w:t>
      </w:r>
    </w:p>
    <w:p w:rsidR="0003633F" w:rsidRPr="00EB048A" w:rsidRDefault="0003633F" w:rsidP="0003633F">
      <w:pPr>
        <w:autoSpaceDE w:val="0"/>
        <w:autoSpaceDN w:val="0"/>
        <w:adjustRightInd w:val="0"/>
        <w:spacing w:after="120" w:line="240" w:lineRule="auto"/>
        <w:jc w:val="both"/>
        <w:rPr>
          <w:rFonts w:ascii="Arial" w:eastAsia="TimesNewRomanPSMT" w:hAnsi="Arial" w:cs="Arial"/>
          <w:lang w:val="es-ES"/>
        </w:rPr>
      </w:pPr>
    </w:p>
    <w:p w:rsidR="0003633F" w:rsidRPr="00EB048A" w:rsidRDefault="0003633F" w:rsidP="0003633F">
      <w:pPr>
        <w:spacing w:after="120" w:line="240" w:lineRule="auto"/>
        <w:jc w:val="both"/>
        <w:rPr>
          <w:rFonts w:ascii="Arial" w:eastAsia="TimesNewRomanPSMT" w:hAnsi="Arial" w:cs="Arial"/>
          <w:lang w:val="es-ES"/>
        </w:rPr>
      </w:pPr>
    </w:p>
    <w:p w:rsidR="0003633F" w:rsidRPr="00EB048A" w:rsidRDefault="0003633F" w:rsidP="0003633F">
      <w:pPr>
        <w:spacing w:after="0" w:line="240" w:lineRule="auto"/>
        <w:jc w:val="both"/>
        <w:rPr>
          <w:rFonts w:ascii="Arial" w:eastAsia="TimesNewRomanPSMT" w:hAnsi="Arial" w:cs="Arial"/>
          <w:b/>
          <w:lang w:val="es-ES"/>
        </w:rPr>
      </w:pPr>
      <w:r w:rsidRPr="00EB048A">
        <w:rPr>
          <w:rFonts w:ascii="Arial" w:eastAsia="TimesNewRomanPSMT" w:hAnsi="Arial" w:cs="Arial"/>
          <w:b/>
          <w:lang w:val="es-ES"/>
        </w:rPr>
        <w:t>Ceferino Julio Santarén Suárez</w:t>
      </w:r>
    </w:p>
    <w:p w:rsidR="0003633F" w:rsidRPr="00EB048A" w:rsidRDefault="0003633F" w:rsidP="0003633F">
      <w:pPr>
        <w:spacing w:after="0" w:line="240" w:lineRule="auto"/>
        <w:jc w:val="both"/>
        <w:rPr>
          <w:rFonts w:ascii="Arial" w:eastAsia="TimesNewRomanPSMT" w:hAnsi="Arial" w:cs="Arial"/>
          <w:b/>
          <w:lang w:val="es-ES"/>
        </w:rPr>
      </w:pPr>
      <w:r w:rsidRPr="00EB048A">
        <w:rPr>
          <w:rFonts w:ascii="Arial" w:eastAsia="TimesNewRomanPSMT" w:hAnsi="Arial" w:cs="Arial"/>
          <w:b/>
          <w:lang w:val="es-ES"/>
        </w:rPr>
        <w:t>Director de Programas y Proyectos Estratégicos.</w:t>
      </w:r>
    </w:p>
    <w:p w:rsidR="0003633F" w:rsidRPr="00EB048A" w:rsidRDefault="0003633F" w:rsidP="0003633F">
      <w:pPr>
        <w:spacing w:after="0" w:line="240" w:lineRule="auto"/>
        <w:jc w:val="both"/>
        <w:rPr>
          <w:rFonts w:ascii="Arial" w:eastAsia="TimesNewRomanPSMT" w:hAnsi="Arial" w:cs="Arial"/>
          <w:b/>
          <w:lang w:val="es-ES"/>
        </w:rPr>
      </w:pPr>
      <w:r w:rsidRPr="00EB048A">
        <w:rPr>
          <w:rFonts w:ascii="Arial" w:eastAsia="TimesNewRomanPSMT" w:hAnsi="Arial" w:cs="Arial"/>
          <w:b/>
          <w:lang w:val="es-ES"/>
        </w:rPr>
        <w:t>Dirección General de Ciencia, Tecnología e Innovación</w:t>
      </w:r>
    </w:p>
    <w:p w:rsidR="0003633F" w:rsidRPr="00EB048A" w:rsidRDefault="0003633F" w:rsidP="0003633F">
      <w:pPr>
        <w:spacing w:after="0" w:line="240" w:lineRule="auto"/>
        <w:jc w:val="both"/>
        <w:rPr>
          <w:rFonts w:ascii="Arial" w:eastAsia="TimesNewRomanPSMT" w:hAnsi="Arial" w:cs="Arial"/>
          <w:b/>
          <w:lang w:val="es-ES"/>
        </w:rPr>
      </w:pPr>
      <w:r w:rsidRPr="00EB048A">
        <w:rPr>
          <w:rFonts w:ascii="Arial" w:eastAsia="TimesNewRomanPSMT" w:hAnsi="Arial" w:cs="Arial"/>
          <w:b/>
          <w:lang w:val="es-ES"/>
        </w:rPr>
        <w:t xml:space="preserve">CITMA </w:t>
      </w:r>
    </w:p>
    <w:p w:rsidR="0003633F" w:rsidRDefault="0003633F" w:rsidP="008525DB">
      <w:pPr>
        <w:autoSpaceDE w:val="0"/>
        <w:autoSpaceDN w:val="0"/>
        <w:adjustRightInd w:val="0"/>
        <w:spacing w:after="120" w:line="240" w:lineRule="auto"/>
        <w:jc w:val="both"/>
        <w:rPr>
          <w:rFonts w:ascii="Arial" w:eastAsia="TimesNewRomanPSMT" w:hAnsi="Arial" w:cs="Arial"/>
          <w:b/>
          <w:bCs/>
          <w:lang w:val="es-ES"/>
        </w:rPr>
      </w:pPr>
      <w:r>
        <w:rPr>
          <w:rFonts w:ascii="Arial" w:eastAsia="TimesNewRomanPSMT" w:hAnsi="Arial" w:cs="Arial"/>
          <w:b/>
          <w:bCs/>
          <w:lang w:val="es-ES"/>
        </w:rPr>
        <w:br w:type="page"/>
      </w:r>
    </w:p>
    <w:p w:rsidR="009421E9" w:rsidRPr="00EB048A" w:rsidRDefault="009421E9" w:rsidP="00B93B75">
      <w:pPr>
        <w:spacing w:after="0" w:line="240" w:lineRule="auto"/>
        <w:jc w:val="both"/>
        <w:rPr>
          <w:rFonts w:ascii="Arial" w:eastAsia="TimesNewRomanPSMT" w:hAnsi="Arial" w:cs="Arial"/>
          <w:lang w:val="es-ES"/>
        </w:rPr>
      </w:pPr>
    </w:p>
    <w:p w:rsidR="009421E9" w:rsidRPr="00EB048A" w:rsidRDefault="009421E9" w:rsidP="00B93B75">
      <w:pPr>
        <w:spacing w:after="0" w:line="240" w:lineRule="auto"/>
        <w:jc w:val="both"/>
        <w:rPr>
          <w:rFonts w:ascii="Arial" w:eastAsia="TimesNewRomanPSMT" w:hAnsi="Arial" w:cs="Arial"/>
          <w:lang w:val="es-ES"/>
        </w:rPr>
      </w:pPr>
      <w:r w:rsidRPr="00EB048A">
        <w:rPr>
          <w:rFonts w:ascii="Arial" w:eastAsia="TimesNewRomanPSMT" w:hAnsi="Arial" w:cs="Arial"/>
          <w:lang w:val="es-ES"/>
        </w:rPr>
        <w:t>Carta VM Armando Rodríguez Batista</w:t>
      </w:r>
    </w:p>
    <w:p w:rsidR="00D57EDB" w:rsidRPr="00EB048A" w:rsidRDefault="00D57EDB" w:rsidP="00B93B75">
      <w:pPr>
        <w:spacing w:after="0" w:line="240" w:lineRule="auto"/>
        <w:jc w:val="both"/>
        <w:rPr>
          <w:rFonts w:ascii="Arial" w:eastAsia="TimesNewRomanPSMT" w:hAnsi="Arial" w:cs="Arial"/>
          <w:noProof/>
          <w:lang w:val="es-ES" w:eastAsia="es-ES"/>
        </w:rPr>
      </w:pPr>
    </w:p>
    <w:p w:rsidR="009421E9" w:rsidRPr="00EB048A" w:rsidRDefault="009421E9" w:rsidP="00B93B75">
      <w:pPr>
        <w:spacing w:after="120" w:line="240" w:lineRule="auto"/>
        <w:jc w:val="center"/>
        <w:rPr>
          <w:rFonts w:ascii="Arial" w:eastAsia="TimesNewRomanPSMT" w:hAnsi="Arial" w:cs="Arial"/>
          <w:noProof/>
          <w:lang w:val="es-ES" w:eastAsia="es-ES"/>
        </w:rPr>
      </w:pPr>
      <w:r w:rsidRPr="00EB048A">
        <w:rPr>
          <w:rFonts w:ascii="Arial" w:eastAsia="TimesNewRomanPSMT" w:hAnsi="Arial" w:cs="Arial"/>
          <w:noProof/>
          <w:lang w:val="es-ES" w:eastAsia="es-ES"/>
        </w:rPr>
        <w:drawing>
          <wp:inline distT="0" distB="0" distL="0" distR="0" wp14:anchorId="41BAFE29" wp14:editId="3DB53274">
            <wp:extent cx="5073650" cy="7517674"/>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4726" t="2117" r="4539"/>
                    <a:stretch/>
                  </pic:blipFill>
                  <pic:spPr bwMode="auto">
                    <a:xfrm>
                      <a:off x="0" y="0"/>
                      <a:ext cx="5075312" cy="7520136"/>
                    </a:xfrm>
                    <a:prstGeom prst="rect">
                      <a:avLst/>
                    </a:prstGeom>
                    <a:noFill/>
                    <a:ln>
                      <a:noFill/>
                    </a:ln>
                    <a:extLst>
                      <a:ext uri="{53640926-AAD7-44D8-BBD7-CCE9431645EC}">
                        <a14:shadowObscured xmlns:a14="http://schemas.microsoft.com/office/drawing/2010/main"/>
                      </a:ext>
                    </a:extLst>
                  </pic:spPr>
                </pic:pic>
              </a:graphicData>
            </a:graphic>
          </wp:inline>
        </w:drawing>
      </w:r>
    </w:p>
    <w:p w:rsidR="00504026" w:rsidRPr="00EB048A" w:rsidRDefault="00D57EDB" w:rsidP="00B93B75">
      <w:pPr>
        <w:spacing w:after="0" w:line="240" w:lineRule="auto"/>
        <w:jc w:val="center"/>
        <w:rPr>
          <w:rFonts w:ascii="Arial" w:eastAsia="TimesNewRomanPSMT" w:hAnsi="Arial" w:cs="Arial"/>
          <w:lang w:val="es-ES"/>
        </w:rPr>
      </w:pPr>
      <w:r w:rsidRPr="00EB048A">
        <w:rPr>
          <w:rFonts w:ascii="Arial" w:eastAsia="TimesNewRomanPSMT" w:hAnsi="Arial" w:cs="Arial"/>
          <w:noProof/>
          <w:lang w:val="es-ES" w:eastAsia="es-ES"/>
        </w:rPr>
        <w:lastRenderedPageBreak/>
        <w:drawing>
          <wp:inline distT="0" distB="0" distL="0" distR="0" wp14:anchorId="03FC600C" wp14:editId="03FD6FB9">
            <wp:extent cx="5295900" cy="7632917"/>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159" t="1764" r="2397" b="1109"/>
                    <a:stretch/>
                  </pic:blipFill>
                  <pic:spPr bwMode="auto">
                    <a:xfrm>
                      <a:off x="0" y="0"/>
                      <a:ext cx="5300025" cy="7638862"/>
                    </a:xfrm>
                    <a:prstGeom prst="rect">
                      <a:avLst/>
                    </a:prstGeom>
                    <a:noFill/>
                    <a:ln>
                      <a:noFill/>
                    </a:ln>
                    <a:extLst>
                      <a:ext uri="{53640926-AAD7-44D8-BBD7-CCE9431645EC}">
                        <a14:shadowObscured xmlns:a14="http://schemas.microsoft.com/office/drawing/2010/main"/>
                      </a:ext>
                    </a:extLst>
                  </pic:spPr>
                </pic:pic>
              </a:graphicData>
            </a:graphic>
          </wp:inline>
        </w:drawing>
      </w:r>
    </w:p>
    <w:sectPr w:rsidR="00504026" w:rsidRPr="00EB048A" w:rsidSect="00D57EDB">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167" w:rsidRDefault="003E2167" w:rsidP="00297BAB">
      <w:pPr>
        <w:spacing w:after="0" w:line="240" w:lineRule="auto"/>
      </w:pPr>
      <w:r>
        <w:separator/>
      </w:r>
    </w:p>
  </w:endnote>
  <w:endnote w:type="continuationSeparator" w:id="0">
    <w:p w:rsidR="003E2167" w:rsidRDefault="003E2167" w:rsidP="0029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167" w:rsidRDefault="003E2167" w:rsidP="00297BAB">
      <w:pPr>
        <w:spacing w:after="0" w:line="240" w:lineRule="auto"/>
      </w:pPr>
      <w:r>
        <w:separator/>
      </w:r>
    </w:p>
  </w:footnote>
  <w:footnote w:type="continuationSeparator" w:id="0">
    <w:p w:rsidR="003E2167" w:rsidRDefault="003E2167" w:rsidP="0029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F83"/>
    <w:multiLevelType w:val="hybridMultilevel"/>
    <w:tmpl w:val="9358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A5A82"/>
    <w:multiLevelType w:val="hybridMultilevel"/>
    <w:tmpl w:val="02BEA53C"/>
    <w:lvl w:ilvl="0" w:tplc="0C0A0003">
      <w:start w:val="1"/>
      <w:numFmt w:val="bullet"/>
      <w:lvlText w:val="o"/>
      <w:lvlJc w:val="left"/>
      <w:pPr>
        <w:ind w:left="1715" w:hanging="360"/>
      </w:pPr>
      <w:rPr>
        <w:rFonts w:ascii="Courier New" w:hAnsi="Courier New" w:cs="Courier New" w:hint="default"/>
      </w:rPr>
    </w:lvl>
    <w:lvl w:ilvl="1" w:tplc="0C0A0003">
      <w:start w:val="1"/>
      <w:numFmt w:val="bullet"/>
      <w:lvlText w:val="o"/>
      <w:lvlJc w:val="left"/>
      <w:pPr>
        <w:ind w:left="2435" w:hanging="360"/>
      </w:pPr>
      <w:rPr>
        <w:rFonts w:ascii="Courier New" w:hAnsi="Courier New" w:cs="Courier New" w:hint="default"/>
      </w:rPr>
    </w:lvl>
    <w:lvl w:ilvl="2" w:tplc="0C0A0005" w:tentative="1">
      <w:start w:val="1"/>
      <w:numFmt w:val="bullet"/>
      <w:lvlText w:val=""/>
      <w:lvlJc w:val="left"/>
      <w:pPr>
        <w:ind w:left="3155" w:hanging="360"/>
      </w:pPr>
      <w:rPr>
        <w:rFonts w:ascii="Wingdings" w:hAnsi="Wingdings" w:hint="default"/>
      </w:rPr>
    </w:lvl>
    <w:lvl w:ilvl="3" w:tplc="0C0A0001" w:tentative="1">
      <w:start w:val="1"/>
      <w:numFmt w:val="bullet"/>
      <w:lvlText w:val=""/>
      <w:lvlJc w:val="left"/>
      <w:pPr>
        <w:ind w:left="3875" w:hanging="360"/>
      </w:pPr>
      <w:rPr>
        <w:rFonts w:ascii="Symbol" w:hAnsi="Symbol" w:hint="default"/>
      </w:rPr>
    </w:lvl>
    <w:lvl w:ilvl="4" w:tplc="0C0A0003" w:tentative="1">
      <w:start w:val="1"/>
      <w:numFmt w:val="bullet"/>
      <w:lvlText w:val="o"/>
      <w:lvlJc w:val="left"/>
      <w:pPr>
        <w:ind w:left="4595" w:hanging="360"/>
      </w:pPr>
      <w:rPr>
        <w:rFonts w:ascii="Courier New" w:hAnsi="Courier New" w:cs="Courier New" w:hint="default"/>
      </w:rPr>
    </w:lvl>
    <w:lvl w:ilvl="5" w:tplc="0C0A0005" w:tentative="1">
      <w:start w:val="1"/>
      <w:numFmt w:val="bullet"/>
      <w:lvlText w:val=""/>
      <w:lvlJc w:val="left"/>
      <w:pPr>
        <w:ind w:left="5315" w:hanging="360"/>
      </w:pPr>
      <w:rPr>
        <w:rFonts w:ascii="Wingdings" w:hAnsi="Wingdings" w:hint="default"/>
      </w:rPr>
    </w:lvl>
    <w:lvl w:ilvl="6" w:tplc="0C0A0001" w:tentative="1">
      <w:start w:val="1"/>
      <w:numFmt w:val="bullet"/>
      <w:lvlText w:val=""/>
      <w:lvlJc w:val="left"/>
      <w:pPr>
        <w:ind w:left="6035" w:hanging="360"/>
      </w:pPr>
      <w:rPr>
        <w:rFonts w:ascii="Symbol" w:hAnsi="Symbol" w:hint="default"/>
      </w:rPr>
    </w:lvl>
    <w:lvl w:ilvl="7" w:tplc="0C0A0003" w:tentative="1">
      <w:start w:val="1"/>
      <w:numFmt w:val="bullet"/>
      <w:lvlText w:val="o"/>
      <w:lvlJc w:val="left"/>
      <w:pPr>
        <w:ind w:left="6755" w:hanging="360"/>
      </w:pPr>
      <w:rPr>
        <w:rFonts w:ascii="Courier New" w:hAnsi="Courier New" w:cs="Courier New" w:hint="default"/>
      </w:rPr>
    </w:lvl>
    <w:lvl w:ilvl="8" w:tplc="0C0A0005" w:tentative="1">
      <w:start w:val="1"/>
      <w:numFmt w:val="bullet"/>
      <w:lvlText w:val=""/>
      <w:lvlJc w:val="left"/>
      <w:pPr>
        <w:ind w:left="7475" w:hanging="360"/>
      </w:pPr>
      <w:rPr>
        <w:rFonts w:ascii="Wingdings" w:hAnsi="Wingdings" w:hint="default"/>
      </w:rPr>
    </w:lvl>
  </w:abstractNum>
  <w:abstractNum w:abstractNumId="2" w15:restartNumberingAfterBreak="0">
    <w:nsid w:val="035B60D9"/>
    <w:multiLevelType w:val="hybridMultilevel"/>
    <w:tmpl w:val="69DC9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93509"/>
    <w:multiLevelType w:val="hybridMultilevel"/>
    <w:tmpl w:val="92229628"/>
    <w:lvl w:ilvl="0" w:tplc="F16A1220">
      <w:start w:val="1"/>
      <w:numFmt w:val="bullet"/>
      <w:lvlText w:val=""/>
      <w:lvlJc w:val="left"/>
      <w:pPr>
        <w:tabs>
          <w:tab w:val="num" w:pos="720"/>
        </w:tabs>
        <w:ind w:left="720" w:hanging="360"/>
      </w:pPr>
      <w:rPr>
        <w:rFonts w:ascii="Wingdings" w:hAnsi="Wingdings" w:hint="default"/>
      </w:rPr>
    </w:lvl>
    <w:lvl w:ilvl="1" w:tplc="A4886D16" w:tentative="1">
      <w:start w:val="1"/>
      <w:numFmt w:val="bullet"/>
      <w:lvlText w:val=""/>
      <w:lvlJc w:val="left"/>
      <w:pPr>
        <w:tabs>
          <w:tab w:val="num" w:pos="1440"/>
        </w:tabs>
        <w:ind w:left="1440" w:hanging="360"/>
      </w:pPr>
      <w:rPr>
        <w:rFonts w:ascii="Wingdings" w:hAnsi="Wingdings" w:hint="default"/>
      </w:rPr>
    </w:lvl>
    <w:lvl w:ilvl="2" w:tplc="6FAA68F0" w:tentative="1">
      <w:start w:val="1"/>
      <w:numFmt w:val="bullet"/>
      <w:lvlText w:val=""/>
      <w:lvlJc w:val="left"/>
      <w:pPr>
        <w:tabs>
          <w:tab w:val="num" w:pos="2160"/>
        </w:tabs>
        <w:ind w:left="2160" w:hanging="360"/>
      </w:pPr>
      <w:rPr>
        <w:rFonts w:ascii="Wingdings" w:hAnsi="Wingdings" w:hint="default"/>
      </w:rPr>
    </w:lvl>
    <w:lvl w:ilvl="3" w:tplc="4ED4A6F0" w:tentative="1">
      <w:start w:val="1"/>
      <w:numFmt w:val="bullet"/>
      <w:lvlText w:val=""/>
      <w:lvlJc w:val="left"/>
      <w:pPr>
        <w:tabs>
          <w:tab w:val="num" w:pos="2880"/>
        </w:tabs>
        <w:ind w:left="2880" w:hanging="360"/>
      </w:pPr>
      <w:rPr>
        <w:rFonts w:ascii="Wingdings" w:hAnsi="Wingdings" w:hint="default"/>
      </w:rPr>
    </w:lvl>
    <w:lvl w:ilvl="4" w:tplc="F2309E9A" w:tentative="1">
      <w:start w:val="1"/>
      <w:numFmt w:val="bullet"/>
      <w:lvlText w:val=""/>
      <w:lvlJc w:val="left"/>
      <w:pPr>
        <w:tabs>
          <w:tab w:val="num" w:pos="3600"/>
        </w:tabs>
        <w:ind w:left="3600" w:hanging="360"/>
      </w:pPr>
      <w:rPr>
        <w:rFonts w:ascii="Wingdings" w:hAnsi="Wingdings" w:hint="default"/>
      </w:rPr>
    </w:lvl>
    <w:lvl w:ilvl="5" w:tplc="0C9C012E" w:tentative="1">
      <w:start w:val="1"/>
      <w:numFmt w:val="bullet"/>
      <w:lvlText w:val=""/>
      <w:lvlJc w:val="left"/>
      <w:pPr>
        <w:tabs>
          <w:tab w:val="num" w:pos="4320"/>
        </w:tabs>
        <w:ind w:left="4320" w:hanging="360"/>
      </w:pPr>
      <w:rPr>
        <w:rFonts w:ascii="Wingdings" w:hAnsi="Wingdings" w:hint="default"/>
      </w:rPr>
    </w:lvl>
    <w:lvl w:ilvl="6" w:tplc="AD38D740" w:tentative="1">
      <w:start w:val="1"/>
      <w:numFmt w:val="bullet"/>
      <w:lvlText w:val=""/>
      <w:lvlJc w:val="left"/>
      <w:pPr>
        <w:tabs>
          <w:tab w:val="num" w:pos="5040"/>
        </w:tabs>
        <w:ind w:left="5040" w:hanging="360"/>
      </w:pPr>
      <w:rPr>
        <w:rFonts w:ascii="Wingdings" w:hAnsi="Wingdings" w:hint="default"/>
      </w:rPr>
    </w:lvl>
    <w:lvl w:ilvl="7" w:tplc="457610A8" w:tentative="1">
      <w:start w:val="1"/>
      <w:numFmt w:val="bullet"/>
      <w:lvlText w:val=""/>
      <w:lvlJc w:val="left"/>
      <w:pPr>
        <w:tabs>
          <w:tab w:val="num" w:pos="5760"/>
        </w:tabs>
        <w:ind w:left="5760" w:hanging="360"/>
      </w:pPr>
      <w:rPr>
        <w:rFonts w:ascii="Wingdings" w:hAnsi="Wingdings" w:hint="default"/>
      </w:rPr>
    </w:lvl>
    <w:lvl w:ilvl="8" w:tplc="7DF250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95161"/>
    <w:multiLevelType w:val="multilevel"/>
    <w:tmpl w:val="E92AAC28"/>
    <w:numStyleLink w:val="Estilo2"/>
  </w:abstractNum>
  <w:abstractNum w:abstractNumId="5" w15:restartNumberingAfterBreak="0">
    <w:nsid w:val="09343B4B"/>
    <w:multiLevelType w:val="hybridMultilevel"/>
    <w:tmpl w:val="CBE80D2C"/>
    <w:lvl w:ilvl="0" w:tplc="900A3E3E">
      <w:start w:val="1"/>
      <w:numFmt w:val="bullet"/>
      <w:lvlText w:val=""/>
      <w:lvlJc w:val="left"/>
      <w:pPr>
        <w:tabs>
          <w:tab w:val="num" w:pos="720"/>
        </w:tabs>
        <w:ind w:left="720" w:hanging="360"/>
      </w:pPr>
      <w:rPr>
        <w:rFonts w:ascii="Wingdings" w:hAnsi="Wingdings" w:hint="default"/>
      </w:rPr>
    </w:lvl>
    <w:lvl w:ilvl="1" w:tplc="5B16DB04" w:tentative="1">
      <w:start w:val="1"/>
      <w:numFmt w:val="bullet"/>
      <w:lvlText w:val=""/>
      <w:lvlJc w:val="left"/>
      <w:pPr>
        <w:tabs>
          <w:tab w:val="num" w:pos="1440"/>
        </w:tabs>
        <w:ind w:left="1440" w:hanging="360"/>
      </w:pPr>
      <w:rPr>
        <w:rFonts w:ascii="Wingdings" w:hAnsi="Wingdings" w:hint="default"/>
      </w:rPr>
    </w:lvl>
    <w:lvl w:ilvl="2" w:tplc="E214BBA4" w:tentative="1">
      <w:start w:val="1"/>
      <w:numFmt w:val="bullet"/>
      <w:lvlText w:val=""/>
      <w:lvlJc w:val="left"/>
      <w:pPr>
        <w:tabs>
          <w:tab w:val="num" w:pos="2160"/>
        </w:tabs>
        <w:ind w:left="2160" w:hanging="360"/>
      </w:pPr>
      <w:rPr>
        <w:rFonts w:ascii="Wingdings" w:hAnsi="Wingdings" w:hint="default"/>
      </w:rPr>
    </w:lvl>
    <w:lvl w:ilvl="3" w:tplc="1C205874" w:tentative="1">
      <w:start w:val="1"/>
      <w:numFmt w:val="bullet"/>
      <w:lvlText w:val=""/>
      <w:lvlJc w:val="left"/>
      <w:pPr>
        <w:tabs>
          <w:tab w:val="num" w:pos="2880"/>
        </w:tabs>
        <w:ind w:left="2880" w:hanging="360"/>
      </w:pPr>
      <w:rPr>
        <w:rFonts w:ascii="Wingdings" w:hAnsi="Wingdings" w:hint="default"/>
      </w:rPr>
    </w:lvl>
    <w:lvl w:ilvl="4" w:tplc="C6808FE2" w:tentative="1">
      <w:start w:val="1"/>
      <w:numFmt w:val="bullet"/>
      <w:lvlText w:val=""/>
      <w:lvlJc w:val="left"/>
      <w:pPr>
        <w:tabs>
          <w:tab w:val="num" w:pos="3600"/>
        </w:tabs>
        <w:ind w:left="3600" w:hanging="360"/>
      </w:pPr>
      <w:rPr>
        <w:rFonts w:ascii="Wingdings" w:hAnsi="Wingdings" w:hint="default"/>
      </w:rPr>
    </w:lvl>
    <w:lvl w:ilvl="5" w:tplc="6304EA3C" w:tentative="1">
      <w:start w:val="1"/>
      <w:numFmt w:val="bullet"/>
      <w:lvlText w:val=""/>
      <w:lvlJc w:val="left"/>
      <w:pPr>
        <w:tabs>
          <w:tab w:val="num" w:pos="4320"/>
        </w:tabs>
        <w:ind w:left="4320" w:hanging="360"/>
      </w:pPr>
      <w:rPr>
        <w:rFonts w:ascii="Wingdings" w:hAnsi="Wingdings" w:hint="default"/>
      </w:rPr>
    </w:lvl>
    <w:lvl w:ilvl="6" w:tplc="B57CFEFE" w:tentative="1">
      <w:start w:val="1"/>
      <w:numFmt w:val="bullet"/>
      <w:lvlText w:val=""/>
      <w:lvlJc w:val="left"/>
      <w:pPr>
        <w:tabs>
          <w:tab w:val="num" w:pos="5040"/>
        </w:tabs>
        <w:ind w:left="5040" w:hanging="360"/>
      </w:pPr>
      <w:rPr>
        <w:rFonts w:ascii="Wingdings" w:hAnsi="Wingdings" w:hint="default"/>
      </w:rPr>
    </w:lvl>
    <w:lvl w:ilvl="7" w:tplc="F01CF740" w:tentative="1">
      <w:start w:val="1"/>
      <w:numFmt w:val="bullet"/>
      <w:lvlText w:val=""/>
      <w:lvlJc w:val="left"/>
      <w:pPr>
        <w:tabs>
          <w:tab w:val="num" w:pos="5760"/>
        </w:tabs>
        <w:ind w:left="5760" w:hanging="360"/>
      </w:pPr>
      <w:rPr>
        <w:rFonts w:ascii="Wingdings" w:hAnsi="Wingdings" w:hint="default"/>
      </w:rPr>
    </w:lvl>
    <w:lvl w:ilvl="8" w:tplc="D890AC8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F35E2"/>
    <w:multiLevelType w:val="hybridMultilevel"/>
    <w:tmpl w:val="A6D00D46"/>
    <w:lvl w:ilvl="0" w:tplc="7214E180">
      <w:start w:val="1"/>
      <w:numFmt w:val="lowerLetter"/>
      <w:lvlText w:val="%1)"/>
      <w:lvlJc w:val="left"/>
      <w:pPr>
        <w:tabs>
          <w:tab w:val="num" w:pos="720"/>
        </w:tabs>
        <w:ind w:left="720" w:hanging="360"/>
      </w:pPr>
    </w:lvl>
    <w:lvl w:ilvl="1" w:tplc="9800D96C" w:tentative="1">
      <w:start w:val="1"/>
      <w:numFmt w:val="lowerLetter"/>
      <w:lvlText w:val="%2)"/>
      <w:lvlJc w:val="left"/>
      <w:pPr>
        <w:tabs>
          <w:tab w:val="num" w:pos="1440"/>
        </w:tabs>
        <w:ind w:left="1440" w:hanging="360"/>
      </w:pPr>
    </w:lvl>
    <w:lvl w:ilvl="2" w:tplc="A3100D2A" w:tentative="1">
      <w:start w:val="1"/>
      <w:numFmt w:val="lowerLetter"/>
      <w:lvlText w:val="%3)"/>
      <w:lvlJc w:val="left"/>
      <w:pPr>
        <w:tabs>
          <w:tab w:val="num" w:pos="2160"/>
        </w:tabs>
        <w:ind w:left="2160" w:hanging="360"/>
      </w:pPr>
    </w:lvl>
    <w:lvl w:ilvl="3" w:tplc="5DB68252" w:tentative="1">
      <w:start w:val="1"/>
      <w:numFmt w:val="lowerLetter"/>
      <w:lvlText w:val="%4)"/>
      <w:lvlJc w:val="left"/>
      <w:pPr>
        <w:tabs>
          <w:tab w:val="num" w:pos="2880"/>
        </w:tabs>
        <w:ind w:left="2880" w:hanging="360"/>
      </w:pPr>
    </w:lvl>
    <w:lvl w:ilvl="4" w:tplc="F23C7134" w:tentative="1">
      <w:start w:val="1"/>
      <w:numFmt w:val="lowerLetter"/>
      <w:lvlText w:val="%5)"/>
      <w:lvlJc w:val="left"/>
      <w:pPr>
        <w:tabs>
          <w:tab w:val="num" w:pos="3600"/>
        </w:tabs>
        <w:ind w:left="3600" w:hanging="360"/>
      </w:pPr>
    </w:lvl>
    <w:lvl w:ilvl="5" w:tplc="6CC89FE6" w:tentative="1">
      <w:start w:val="1"/>
      <w:numFmt w:val="lowerLetter"/>
      <w:lvlText w:val="%6)"/>
      <w:lvlJc w:val="left"/>
      <w:pPr>
        <w:tabs>
          <w:tab w:val="num" w:pos="4320"/>
        </w:tabs>
        <w:ind w:left="4320" w:hanging="360"/>
      </w:pPr>
    </w:lvl>
    <w:lvl w:ilvl="6" w:tplc="B6F0B980" w:tentative="1">
      <w:start w:val="1"/>
      <w:numFmt w:val="lowerLetter"/>
      <w:lvlText w:val="%7)"/>
      <w:lvlJc w:val="left"/>
      <w:pPr>
        <w:tabs>
          <w:tab w:val="num" w:pos="5040"/>
        </w:tabs>
        <w:ind w:left="5040" w:hanging="360"/>
      </w:pPr>
    </w:lvl>
    <w:lvl w:ilvl="7" w:tplc="D940EA76" w:tentative="1">
      <w:start w:val="1"/>
      <w:numFmt w:val="lowerLetter"/>
      <w:lvlText w:val="%8)"/>
      <w:lvlJc w:val="left"/>
      <w:pPr>
        <w:tabs>
          <w:tab w:val="num" w:pos="5760"/>
        </w:tabs>
        <w:ind w:left="5760" w:hanging="360"/>
      </w:pPr>
    </w:lvl>
    <w:lvl w:ilvl="8" w:tplc="7194A54E" w:tentative="1">
      <w:start w:val="1"/>
      <w:numFmt w:val="lowerLetter"/>
      <w:lvlText w:val="%9)"/>
      <w:lvlJc w:val="left"/>
      <w:pPr>
        <w:tabs>
          <w:tab w:val="num" w:pos="6480"/>
        </w:tabs>
        <w:ind w:left="6480" w:hanging="360"/>
      </w:pPr>
    </w:lvl>
  </w:abstractNum>
  <w:abstractNum w:abstractNumId="7" w15:restartNumberingAfterBreak="0">
    <w:nsid w:val="1F3A2025"/>
    <w:multiLevelType w:val="multilevel"/>
    <w:tmpl w:val="2BB65FEE"/>
    <w:lvl w:ilvl="0">
      <w:start w:val="1"/>
      <w:numFmt w:val="decimal"/>
      <w:lvlText w:val="%1."/>
      <w:lvlJc w:val="left"/>
      <w:pPr>
        <w:ind w:left="720" w:hanging="360"/>
      </w:pPr>
      <w:rPr>
        <w:rFonts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90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794972"/>
    <w:multiLevelType w:val="hybridMultilevel"/>
    <w:tmpl w:val="DB34D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C4A34"/>
    <w:multiLevelType w:val="hybridMultilevel"/>
    <w:tmpl w:val="BF6AF1C0"/>
    <w:lvl w:ilvl="0" w:tplc="DF2071BA">
      <w:start w:val="1"/>
      <w:numFmt w:val="bullet"/>
      <w:lvlText w:val=""/>
      <w:lvlJc w:val="left"/>
      <w:pPr>
        <w:tabs>
          <w:tab w:val="num" w:pos="720"/>
        </w:tabs>
        <w:ind w:left="720" w:hanging="360"/>
      </w:pPr>
      <w:rPr>
        <w:rFonts w:ascii="Wingdings" w:hAnsi="Wingdings" w:hint="default"/>
      </w:rPr>
    </w:lvl>
    <w:lvl w:ilvl="1" w:tplc="656098AE" w:tentative="1">
      <w:start w:val="1"/>
      <w:numFmt w:val="bullet"/>
      <w:lvlText w:val=""/>
      <w:lvlJc w:val="left"/>
      <w:pPr>
        <w:tabs>
          <w:tab w:val="num" w:pos="1440"/>
        </w:tabs>
        <w:ind w:left="1440" w:hanging="360"/>
      </w:pPr>
      <w:rPr>
        <w:rFonts w:ascii="Wingdings" w:hAnsi="Wingdings" w:hint="default"/>
      </w:rPr>
    </w:lvl>
    <w:lvl w:ilvl="2" w:tplc="BE3E084C" w:tentative="1">
      <w:start w:val="1"/>
      <w:numFmt w:val="bullet"/>
      <w:lvlText w:val=""/>
      <w:lvlJc w:val="left"/>
      <w:pPr>
        <w:tabs>
          <w:tab w:val="num" w:pos="2160"/>
        </w:tabs>
        <w:ind w:left="2160" w:hanging="360"/>
      </w:pPr>
      <w:rPr>
        <w:rFonts w:ascii="Wingdings" w:hAnsi="Wingdings" w:hint="default"/>
      </w:rPr>
    </w:lvl>
    <w:lvl w:ilvl="3" w:tplc="C764BEA4" w:tentative="1">
      <w:start w:val="1"/>
      <w:numFmt w:val="bullet"/>
      <w:lvlText w:val=""/>
      <w:lvlJc w:val="left"/>
      <w:pPr>
        <w:tabs>
          <w:tab w:val="num" w:pos="2880"/>
        </w:tabs>
        <w:ind w:left="2880" w:hanging="360"/>
      </w:pPr>
      <w:rPr>
        <w:rFonts w:ascii="Wingdings" w:hAnsi="Wingdings" w:hint="default"/>
      </w:rPr>
    </w:lvl>
    <w:lvl w:ilvl="4" w:tplc="1BE8FA7C" w:tentative="1">
      <w:start w:val="1"/>
      <w:numFmt w:val="bullet"/>
      <w:lvlText w:val=""/>
      <w:lvlJc w:val="left"/>
      <w:pPr>
        <w:tabs>
          <w:tab w:val="num" w:pos="3600"/>
        </w:tabs>
        <w:ind w:left="3600" w:hanging="360"/>
      </w:pPr>
      <w:rPr>
        <w:rFonts w:ascii="Wingdings" w:hAnsi="Wingdings" w:hint="default"/>
      </w:rPr>
    </w:lvl>
    <w:lvl w:ilvl="5" w:tplc="2140D4C0" w:tentative="1">
      <w:start w:val="1"/>
      <w:numFmt w:val="bullet"/>
      <w:lvlText w:val=""/>
      <w:lvlJc w:val="left"/>
      <w:pPr>
        <w:tabs>
          <w:tab w:val="num" w:pos="4320"/>
        </w:tabs>
        <w:ind w:left="4320" w:hanging="360"/>
      </w:pPr>
      <w:rPr>
        <w:rFonts w:ascii="Wingdings" w:hAnsi="Wingdings" w:hint="default"/>
      </w:rPr>
    </w:lvl>
    <w:lvl w:ilvl="6" w:tplc="4E707E9E" w:tentative="1">
      <w:start w:val="1"/>
      <w:numFmt w:val="bullet"/>
      <w:lvlText w:val=""/>
      <w:lvlJc w:val="left"/>
      <w:pPr>
        <w:tabs>
          <w:tab w:val="num" w:pos="5040"/>
        </w:tabs>
        <w:ind w:left="5040" w:hanging="360"/>
      </w:pPr>
      <w:rPr>
        <w:rFonts w:ascii="Wingdings" w:hAnsi="Wingdings" w:hint="default"/>
      </w:rPr>
    </w:lvl>
    <w:lvl w:ilvl="7" w:tplc="D09EE6DE" w:tentative="1">
      <w:start w:val="1"/>
      <w:numFmt w:val="bullet"/>
      <w:lvlText w:val=""/>
      <w:lvlJc w:val="left"/>
      <w:pPr>
        <w:tabs>
          <w:tab w:val="num" w:pos="5760"/>
        </w:tabs>
        <w:ind w:left="5760" w:hanging="360"/>
      </w:pPr>
      <w:rPr>
        <w:rFonts w:ascii="Wingdings" w:hAnsi="Wingdings" w:hint="default"/>
      </w:rPr>
    </w:lvl>
    <w:lvl w:ilvl="8" w:tplc="6F1624B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40DA4"/>
    <w:multiLevelType w:val="hybridMultilevel"/>
    <w:tmpl w:val="0402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94A51"/>
    <w:multiLevelType w:val="hybridMultilevel"/>
    <w:tmpl w:val="975ACC34"/>
    <w:lvl w:ilvl="0" w:tplc="8A7095CA">
      <w:start w:val="1"/>
      <w:numFmt w:val="decimal"/>
      <w:lvlText w:val="%1."/>
      <w:lvlJc w:val="left"/>
      <w:pPr>
        <w:tabs>
          <w:tab w:val="num" w:pos="720"/>
        </w:tabs>
        <w:ind w:left="720" w:hanging="360"/>
      </w:pPr>
    </w:lvl>
    <w:lvl w:ilvl="1" w:tplc="FD54199C" w:tentative="1">
      <w:start w:val="1"/>
      <w:numFmt w:val="decimal"/>
      <w:lvlText w:val="%2."/>
      <w:lvlJc w:val="left"/>
      <w:pPr>
        <w:tabs>
          <w:tab w:val="num" w:pos="1440"/>
        </w:tabs>
        <w:ind w:left="1440" w:hanging="360"/>
      </w:pPr>
    </w:lvl>
    <w:lvl w:ilvl="2" w:tplc="CC6A8090" w:tentative="1">
      <w:start w:val="1"/>
      <w:numFmt w:val="decimal"/>
      <w:lvlText w:val="%3."/>
      <w:lvlJc w:val="left"/>
      <w:pPr>
        <w:tabs>
          <w:tab w:val="num" w:pos="2160"/>
        </w:tabs>
        <w:ind w:left="2160" w:hanging="360"/>
      </w:pPr>
    </w:lvl>
    <w:lvl w:ilvl="3" w:tplc="7FCAE456" w:tentative="1">
      <w:start w:val="1"/>
      <w:numFmt w:val="decimal"/>
      <w:lvlText w:val="%4."/>
      <w:lvlJc w:val="left"/>
      <w:pPr>
        <w:tabs>
          <w:tab w:val="num" w:pos="2880"/>
        </w:tabs>
        <w:ind w:left="2880" w:hanging="360"/>
      </w:pPr>
    </w:lvl>
    <w:lvl w:ilvl="4" w:tplc="76C6FB42" w:tentative="1">
      <w:start w:val="1"/>
      <w:numFmt w:val="decimal"/>
      <w:lvlText w:val="%5."/>
      <w:lvlJc w:val="left"/>
      <w:pPr>
        <w:tabs>
          <w:tab w:val="num" w:pos="3600"/>
        </w:tabs>
        <w:ind w:left="3600" w:hanging="360"/>
      </w:pPr>
    </w:lvl>
    <w:lvl w:ilvl="5" w:tplc="D2F0FCDA" w:tentative="1">
      <w:start w:val="1"/>
      <w:numFmt w:val="decimal"/>
      <w:lvlText w:val="%6."/>
      <w:lvlJc w:val="left"/>
      <w:pPr>
        <w:tabs>
          <w:tab w:val="num" w:pos="4320"/>
        </w:tabs>
        <w:ind w:left="4320" w:hanging="360"/>
      </w:pPr>
    </w:lvl>
    <w:lvl w:ilvl="6" w:tplc="D298A4C4" w:tentative="1">
      <w:start w:val="1"/>
      <w:numFmt w:val="decimal"/>
      <w:lvlText w:val="%7."/>
      <w:lvlJc w:val="left"/>
      <w:pPr>
        <w:tabs>
          <w:tab w:val="num" w:pos="5040"/>
        </w:tabs>
        <w:ind w:left="5040" w:hanging="360"/>
      </w:pPr>
    </w:lvl>
    <w:lvl w:ilvl="7" w:tplc="93406258" w:tentative="1">
      <w:start w:val="1"/>
      <w:numFmt w:val="decimal"/>
      <w:lvlText w:val="%8."/>
      <w:lvlJc w:val="left"/>
      <w:pPr>
        <w:tabs>
          <w:tab w:val="num" w:pos="5760"/>
        </w:tabs>
        <w:ind w:left="5760" w:hanging="360"/>
      </w:pPr>
    </w:lvl>
    <w:lvl w:ilvl="8" w:tplc="4B4E5DE6" w:tentative="1">
      <w:start w:val="1"/>
      <w:numFmt w:val="decimal"/>
      <w:lvlText w:val="%9."/>
      <w:lvlJc w:val="left"/>
      <w:pPr>
        <w:tabs>
          <w:tab w:val="num" w:pos="6480"/>
        </w:tabs>
        <w:ind w:left="6480" w:hanging="360"/>
      </w:pPr>
    </w:lvl>
  </w:abstractNum>
  <w:abstractNum w:abstractNumId="12" w15:restartNumberingAfterBreak="0">
    <w:nsid w:val="38014AE4"/>
    <w:multiLevelType w:val="multilevel"/>
    <w:tmpl w:val="B7A0057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DB61E6"/>
    <w:multiLevelType w:val="multilevel"/>
    <w:tmpl w:val="E92AAC28"/>
    <w:styleLink w:val="Estilo2"/>
    <w:lvl w:ilvl="0">
      <w:start w:val="2"/>
      <w:numFmt w:val="decimal"/>
      <w:lvlText w:val="%1."/>
      <w:lvlJc w:val="left"/>
      <w:pPr>
        <w:tabs>
          <w:tab w:val="num" w:pos="360"/>
        </w:tabs>
        <w:ind w:left="284" w:hanging="284"/>
      </w:pPr>
      <w:rPr>
        <w:rFonts w:hint="default"/>
      </w:rPr>
    </w:lvl>
    <w:lvl w:ilvl="1">
      <w:start w:val="1"/>
      <w:numFmt w:val="decimal"/>
      <w:lvlText w:val="%1.%2."/>
      <w:lvlJc w:val="left"/>
      <w:pPr>
        <w:tabs>
          <w:tab w:val="num" w:pos="709"/>
        </w:tabs>
        <w:ind w:left="709" w:hanging="567"/>
      </w:pPr>
      <w:rPr>
        <w:rFonts w:ascii="Arial" w:hAnsi="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46"/>
        </w:tabs>
        <w:ind w:left="426" w:firstLine="0"/>
      </w:pPr>
      <w:rPr>
        <w:rFonts w:ascii="Arial" w:hAnsi="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B8D195E"/>
    <w:multiLevelType w:val="hybridMultilevel"/>
    <w:tmpl w:val="A4341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356DB5"/>
    <w:multiLevelType w:val="hybridMultilevel"/>
    <w:tmpl w:val="EEC2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390CE4"/>
    <w:multiLevelType w:val="hybridMultilevel"/>
    <w:tmpl w:val="7FC87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E38CD"/>
    <w:multiLevelType w:val="hybridMultilevel"/>
    <w:tmpl w:val="B7A603DA"/>
    <w:lvl w:ilvl="0" w:tplc="1D383104">
      <w:start w:val="1"/>
      <w:numFmt w:val="bullet"/>
      <w:lvlText w:val=""/>
      <w:lvlJc w:val="left"/>
      <w:pPr>
        <w:tabs>
          <w:tab w:val="num" w:pos="720"/>
        </w:tabs>
        <w:ind w:left="720" w:hanging="360"/>
      </w:pPr>
      <w:rPr>
        <w:rFonts w:ascii="Wingdings" w:hAnsi="Wingdings" w:hint="default"/>
      </w:rPr>
    </w:lvl>
    <w:lvl w:ilvl="1" w:tplc="B99ADE94" w:tentative="1">
      <w:start w:val="1"/>
      <w:numFmt w:val="bullet"/>
      <w:lvlText w:val=""/>
      <w:lvlJc w:val="left"/>
      <w:pPr>
        <w:tabs>
          <w:tab w:val="num" w:pos="1440"/>
        </w:tabs>
        <w:ind w:left="1440" w:hanging="360"/>
      </w:pPr>
      <w:rPr>
        <w:rFonts w:ascii="Wingdings" w:hAnsi="Wingdings" w:hint="default"/>
      </w:rPr>
    </w:lvl>
    <w:lvl w:ilvl="2" w:tplc="8D4AEA86" w:tentative="1">
      <w:start w:val="1"/>
      <w:numFmt w:val="bullet"/>
      <w:lvlText w:val=""/>
      <w:lvlJc w:val="left"/>
      <w:pPr>
        <w:tabs>
          <w:tab w:val="num" w:pos="2160"/>
        </w:tabs>
        <w:ind w:left="2160" w:hanging="360"/>
      </w:pPr>
      <w:rPr>
        <w:rFonts w:ascii="Wingdings" w:hAnsi="Wingdings" w:hint="default"/>
      </w:rPr>
    </w:lvl>
    <w:lvl w:ilvl="3" w:tplc="DF2AE32E" w:tentative="1">
      <w:start w:val="1"/>
      <w:numFmt w:val="bullet"/>
      <w:lvlText w:val=""/>
      <w:lvlJc w:val="left"/>
      <w:pPr>
        <w:tabs>
          <w:tab w:val="num" w:pos="2880"/>
        </w:tabs>
        <w:ind w:left="2880" w:hanging="360"/>
      </w:pPr>
      <w:rPr>
        <w:rFonts w:ascii="Wingdings" w:hAnsi="Wingdings" w:hint="default"/>
      </w:rPr>
    </w:lvl>
    <w:lvl w:ilvl="4" w:tplc="2214B2DA" w:tentative="1">
      <w:start w:val="1"/>
      <w:numFmt w:val="bullet"/>
      <w:lvlText w:val=""/>
      <w:lvlJc w:val="left"/>
      <w:pPr>
        <w:tabs>
          <w:tab w:val="num" w:pos="3600"/>
        </w:tabs>
        <w:ind w:left="3600" w:hanging="360"/>
      </w:pPr>
      <w:rPr>
        <w:rFonts w:ascii="Wingdings" w:hAnsi="Wingdings" w:hint="default"/>
      </w:rPr>
    </w:lvl>
    <w:lvl w:ilvl="5" w:tplc="04EA00A2" w:tentative="1">
      <w:start w:val="1"/>
      <w:numFmt w:val="bullet"/>
      <w:lvlText w:val=""/>
      <w:lvlJc w:val="left"/>
      <w:pPr>
        <w:tabs>
          <w:tab w:val="num" w:pos="4320"/>
        </w:tabs>
        <w:ind w:left="4320" w:hanging="360"/>
      </w:pPr>
      <w:rPr>
        <w:rFonts w:ascii="Wingdings" w:hAnsi="Wingdings" w:hint="default"/>
      </w:rPr>
    </w:lvl>
    <w:lvl w:ilvl="6" w:tplc="AB58E01E" w:tentative="1">
      <w:start w:val="1"/>
      <w:numFmt w:val="bullet"/>
      <w:lvlText w:val=""/>
      <w:lvlJc w:val="left"/>
      <w:pPr>
        <w:tabs>
          <w:tab w:val="num" w:pos="5040"/>
        </w:tabs>
        <w:ind w:left="5040" w:hanging="360"/>
      </w:pPr>
      <w:rPr>
        <w:rFonts w:ascii="Wingdings" w:hAnsi="Wingdings" w:hint="default"/>
      </w:rPr>
    </w:lvl>
    <w:lvl w:ilvl="7" w:tplc="8D6496E8" w:tentative="1">
      <w:start w:val="1"/>
      <w:numFmt w:val="bullet"/>
      <w:lvlText w:val=""/>
      <w:lvlJc w:val="left"/>
      <w:pPr>
        <w:tabs>
          <w:tab w:val="num" w:pos="5760"/>
        </w:tabs>
        <w:ind w:left="5760" w:hanging="360"/>
      </w:pPr>
      <w:rPr>
        <w:rFonts w:ascii="Wingdings" w:hAnsi="Wingdings" w:hint="default"/>
      </w:rPr>
    </w:lvl>
    <w:lvl w:ilvl="8" w:tplc="BF1C0D1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4D2001"/>
    <w:multiLevelType w:val="hybridMultilevel"/>
    <w:tmpl w:val="F830DA70"/>
    <w:lvl w:ilvl="0" w:tplc="B8923A28">
      <w:start w:val="1"/>
      <w:numFmt w:val="decimal"/>
      <w:lvlText w:val="%1."/>
      <w:lvlJc w:val="left"/>
      <w:pPr>
        <w:tabs>
          <w:tab w:val="num" w:pos="720"/>
        </w:tabs>
        <w:ind w:left="720" w:hanging="360"/>
      </w:pPr>
    </w:lvl>
    <w:lvl w:ilvl="1" w:tplc="76BC6892" w:tentative="1">
      <w:start w:val="1"/>
      <w:numFmt w:val="decimal"/>
      <w:lvlText w:val="%2."/>
      <w:lvlJc w:val="left"/>
      <w:pPr>
        <w:tabs>
          <w:tab w:val="num" w:pos="1440"/>
        </w:tabs>
        <w:ind w:left="1440" w:hanging="360"/>
      </w:pPr>
    </w:lvl>
    <w:lvl w:ilvl="2" w:tplc="49140050" w:tentative="1">
      <w:start w:val="1"/>
      <w:numFmt w:val="decimal"/>
      <w:lvlText w:val="%3."/>
      <w:lvlJc w:val="left"/>
      <w:pPr>
        <w:tabs>
          <w:tab w:val="num" w:pos="2160"/>
        </w:tabs>
        <w:ind w:left="2160" w:hanging="360"/>
      </w:pPr>
    </w:lvl>
    <w:lvl w:ilvl="3" w:tplc="79948E02" w:tentative="1">
      <w:start w:val="1"/>
      <w:numFmt w:val="decimal"/>
      <w:lvlText w:val="%4."/>
      <w:lvlJc w:val="left"/>
      <w:pPr>
        <w:tabs>
          <w:tab w:val="num" w:pos="2880"/>
        </w:tabs>
        <w:ind w:left="2880" w:hanging="360"/>
      </w:pPr>
    </w:lvl>
    <w:lvl w:ilvl="4" w:tplc="70CA62BA" w:tentative="1">
      <w:start w:val="1"/>
      <w:numFmt w:val="decimal"/>
      <w:lvlText w:val="%5."/>
      <w:lvlJc w:val="left"/>
      <w:pPr>
        <w:tabs>
          <w:tab w:val="num" w:pos="3600"/>
        </w:tabs>
        <w:ind w:left="3600" w:hanging="360"/>
      </w:pPr>
    </w:lvl>
    <w:lvl w:ilvl="5" w:tplc="10A046B8" w:tentative="1">
      <w:start w:val="1"/>
      <w:numFmt w:val="decimal"/>
      <w:lvlText w:val="%6."/>
      <w:lvlJc w:val="left"/>
      <w:pPr>
        <w:tabs>
          <w:tab w:val="num" w:pos="4320"/>
        </w:tabs>
        <w:ind w:left="4320" w:hanging="360"/>
      </w:pPr>
    </w:lvl>
    <w:lvl w:ilvl="6" w:tplc="878200F8" w:tentative="1">
      <w:start w:val="1"/>
      <w:numFmt w:val="decimal"/>
      <w:lvlText w:val="%7."/>
      <w:lvlJc w:val="left"/>
      <w:pPr>
        <w:tabs>
          <w:tab w:val="num" w:pos="5040"/>
        </w:tabs>
        <w:ind w:left="5040" w:hanging="360"/>
      </w:pPr>
    </w:lvl>
    <w:lvl w:ilvl="7" w:tplc="AB60F766" w:tentative="1">
      <w:start w:val="1"/>
      <w:numFmt w:val="decimal"/>
      <w:lvlText w:val="%8."/>
      <w:lvlJc w:val="left"/>
      <w:pPr>
        <w:tabs>
          <w:tab w:val="num" w:pos="5760"/>
        </w:tabs>
        <w:ind w:left="5760" w:hanging="360"/>
      </w:pPr>
    </w:lvl>
    <w:lvl w:ilvl="8" w:tplc="8B54BAFA" w:tentative="1">
      <w:start w:val="1"/>
      <w:numFmt w:val="decimal"/>
      <w:lvlText w:val="%9."/>
      <w:lvlJc w:val="left"/>
      <w:pPr>
        <w:tabs>
          <w:tab w:val="num" w:pos="6480"/>
        </w:tabs>
        <w:ind w:left="6480" w:hanging="360"/>
      </w:pPr>
    </w:lvl>
  </w:abstractNum>
  <w:abstractNum w:abstractNumId="19" w15:restartNumberingAfterBreak="0">
    <w:nsid w:val="5EAC33E4"/>
    <w:multiLevelType w:val="hybridMultilevel"/>
    <w:tmpl w:val="C332FE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5045D4"/>
    <w:multiLevelType w:val="hybridMultilevel"/>
    <w:tmpl w:val="28769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EE0317"/>
    <w:multiLevelType w:val="hybridMultilevel"/>
    <w:tmpl w:val="44DAD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53D22D1"/>
    <w:multiLevelType w:val="hybridMultilevel"/>
    <w:tmpl w:val="BCF44F0E"/>
    <w:lvl w:ilvl="0" w:tplc="0409000D">
      <w:start w:val="1"/>
      <w:numFmt w:val="bullet"/>
      <w:lvlText w:val=""/>
      <w:lvlJc w:val="left"/>
      <w:pPr>
        <w:tabs>
          <w:tab w:val="num" w:pos="720"/>
        </w:tabs>
        <w:ind w:left="720" w:hanging="360"/>
      </w:pPr>
      <w:rPr>
        <w:rFonts w:ascii="Wingdings" w:hAnsi="Wingdings" w:hint="default"/>
      </w:rPr>
    </w:lvl>
    <w:lvl w:ilvl="1" w:tplc="DA6E2D96" w:tentative="1">
      <w:start w:val="1"/>
      <w:numFmt w:val="bullet"/>
      <w:lvlText w:val="•"/>
      <w:lvlJc w:val="left"/>
      <w:pPr>
        <w:tabs>
          <w:tab w:val="num" w:pos="1440"/>
        </w:tabs>
        <w:ind w:left="1440" w:hanging="360"/>
      </w:pPr>
      <w:rPr>
        <w:rFonts w:ascii="Arial" w:hAnsi="Arial" w:hint="default"/>
      </w:rPr>
    </w:lvl>
    <w:lvl w:ilvl="2" w:tplc="5CCEE2AA" w:tentative="1">
      <w:start w:val="1"/>
      <w:numFmt w:val="bullet"/>
      <w:lvlText w:val="•"/>
      <w:lvlJc w:val="left"/>
      <w:pPr>
        <w:tabs>
          <w:tab w:val="num" w:pos="2160"/>
        </w:tabs>
        <w:ind w:left="2160" w:hanging="360"/>
      </w:pPr>
      <w:rPr>
        <w:rFonts w:ascii="Arial" w:hAnsi="Arial" w:hint="default"/>
      </w:rPr>
    </w:lvl>
    <w:lvl w:ilvl="3" w:tplc="56E27F76" w:tentative="1">
      <w:start w:val="1"/>
      <w:numFmt w:val="bullet"/>
      <w:lvlText w:val="•"/>
      <w:lvlJc w:val="left"/>
      <w:pPr>
        <w:tabs>
          <w:tab w:val="num" w:pos="2880"/>
        </w:tabs>
        <w:ind w:left="2880" w:hanging="360"/>
      </w:pPr>
      <w:rPr>
        <w:rFonts w:ascii="Arial" w:hAnsi="Arial" w:hint="default"/>
      </w:rPr>
    </w:lvl>
    <w:lvl w:ilvl="4" w:tplc="73A4CA32" w:tentative="1">
      <w:start w:val="1"/>
      <w:numFmt w:val="bullet"/>
      <w:lvlText w:val="•"/>
      <w:lvlJc w:val="left"/>
      <w:pPr>
        <w:tabs>
          <w:tab w:val="num" w:pos="3600"/>
        </w:tabs>
        <w:ind w:left="3600" w:hanging="360"/>
      </w:pPr>
      <w:rPr>
        <w:rFonts w:ascii="Arial" w:hAnsi="Arial" w:hint="default"/>
      </w:rPr>
    </w:lvl>
    <w:lvl w:ilvl="5" w:tplc="8B5E2764" w:tentative="1">
      <w:start w:val="1"/>
      <w:numFmt w:val="bullet"/>
      <w:lvlText w:val="•"/>
      <w:lvlJc w:val="left"/>
      <w:pPr>
        <w:tabs>
          <w:tab w:val="num" w:pos="4320"/>
        </w:tabs>
        <w:ind w:left="4320" w:hanging="360"/>
      </w:pPr>
      <w:rPr>
        <w:rFonts w:ascii="Arial" w:hAnsi="Arial" w:hint="default"/>
      </w:rPr>
    </w:lvl>
    <w:lvl w:ilvl="6" w:tplc="6E68EF4E" w:tentative="1">
      <w:start w:val="1"/>
      <w:numFmt w:val="bullet"/>
      <w:lvlText w:val="•"/>
      <w:lvlJc w:val="left"/>
      <w:pPr>
        <w:tabs>
          <w:tab w:val="num" w:pos="5040"/>
        </w:tabs>
        <w:ind w:left="5040" w:hanging="360"/>
      </w:pPr>
      <w:rPr>
        <w:rFonts w:ascii="Arial" w:hAnsi="Arial" w:hint="default"/>
      </w:rPr>
    </w:lvl>
    <w:lvl w:ilvl="7" w:tplc="232A758E" w:tentative="1">
      <w:start w:val="1"/>
      <w:numFmt w:val="bullet"/>
      <w:lvlText w:val="•"/>
      <w:lvlJc w:val="left"/>
      <w:pPr>
        <w:tabs>
          <w:tab w:val="num" w:pos="5760"/>
        </w:tabs>
        <w:ind w:left="5760" w:hanging="360"/>
      </w:pPr>
      <w:rPr>
        <w:rFonts w:ascii="Arial" w:hAnsi="Arial" w:hint="default"/>
      </w:rPr>
    </w:lvl>
    <w:lvl w:ilvl="8" w:tplc="2286F80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95B0D9C"/>
    <w:multiLevelType w:val="hybridMultilevel"/>
    <w:tmpl w:val="A60C9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525AB"/>
    <w:multiLevelType w:val="hybridMultilevel"/>
    <w:tmpl w:val="B070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72090"/>
    <w:multiLevelType w:val="hybridMultilevel"/>
    <w:tmpl w:val="2B18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3C529C"/>
    <w:multiLevelType w:val="hybridMultilevel"/>
    <w:tmpl w:val="E7009AE2"/>
    <w:lvl w:ilvl="0" w:tplc="4DDEB1FC">
      <w:start w:val="3"/>
      <w:numFmt w:val="decimal"/>
      <w:lvlText w:val="%1."/>
      <w:lvlJc w:val="left"/>
      <w:pPr>
        <w:tabs>
          <w:tab w:val="num" w:pos="720"/>
        </w:tabs>
        <w:ind w:left="720" w:hanging="360"/>
      </w:pPr>
    </w:lvl>
    <w:lvl w:ilvl="1" w:tplc="9F761812" w:tentative="1">
      <w:start w:val="1"/>
      <w:numFmt w:val="decimal"/>
      <w:lvlText w:val="%2."/>
      <w:lvlJc w:val="left"/>
      <w:pPr>
        <w:tabs>
          <w:tab w:val="num" w:pos="1440"/>
        </w:tabs>
        <w:ind w:left="1440" w:hanging="360"/>
      </w:pPr>
    </w:lvl>
    <w:lvl w:ilvl="2" w:tplc="B2001CBE" w:tentative="1">
      <w:start w:val="1"/>
      <w:numFmt w:val="decimal"/>
      <w:lvlText w:val="%3."/>
      <w:lvlJc w:val="left"/>
      <w:pPr>
        <w:tabs>
          <w:tab w:val="num" w:pos="2160"/>
        </w:tabs>
        <w:ind w:left="2160" w:hanging="360"/>
      </w:pPr>
    </w:lvl>
    <w:lvl w:ilvl="3" w:tplc="2E860F0E" w:tentative="1">
      <w:start w:val="1"/>
      <w:numFmt w:val="decimal"/>
      <w:lvlText w:val="%4."/>
      <w:lvlJc w:val="left"/>
      <w:pPr>
        <w:tabs>
          <w:tab w:val="num" w:pos="2880"/>
        </w:tabs>
        <w:ind w:left="2880" w:hanging="360"/>
      </w:pPr>
    </w:lvl>
    <w:lvl w:ilvl="4" w:tplc="121AE2A8" w:tentative="1">
      <w:start w:val="1"/>
      <w:numFmt w:val="decimal"/>
      <w:lvlText w:val="%5."/>
      <w:lvlJc w:val="left"/>
      <w:pPr>
        <w:tabs>
          <w:tab w:val="num" w:pos="3600"/>
        </w:tabs>
        <w:ind w:left="3600" w:hanging="360"/>
      </w:pPr>
    </w:lvl>
    <w:lvl w:ilvl="5" w:tplc="F2A8B55C" w:tentative="1">
      <w:start w:val="1"/>
      <w:numFmt w:val="decimal"/>
      <w:lvlText w:val="%6."/>
      <w:lvlJc w:val="left"/>
      <w:pPr>
        <w:tabs>
          <w:tab w:val="num" w:pos="4320"/>
        </w:tabs>
        <w:ind w:left="4320" w:hanging="360"/>
      </w:pPr>
    </w:lvl>
    <w:lvl w:ilvl="6" w:tplc="29B2EDA2" w:tentative="1">
      <w:start w:val="1"/>
      <w:numFmt w:val="decimal"/>
      <w:lvlText w:val="%7."/>
      <w:lvlJc w:val="left"/>
      <w:pPr>
        <w:tabs>
          <w:tab w:val="num" w:pos="5040"/>
        </w:tabs>
        <w:ind w:left="5040" w:hanging="360"/>
      </w:pPr>
    </w:lvl>
    <w:lvl w:ilvl="7" w:tplc="15747080" w:tentative="1">
      <w:start w:val="1"/>
      <w:numFmt w:val="decimal"/>
      <w:lvlText w:val="%8."/>
      <w:lvlJc w:val="left"/>
      <w:pPr>
        <w:tabs>
          <w:tab w:val="num" w:pos="5760"/>
        </w:tabs>
        <w:ind w:left="5760" w:hanging="360"/>
      </w:pPr>
    </w:lvl>
    <w:lvl w:ilvl="8" w:tplc="6B040AEC" w:tentative="1">
      <w:start w:val="1"/>
      <w:numFmt w:val="decimal"/>
      <w:lvlText w:val="%9."/>
      <w:lvlJc w:val="left"/>
      <w:pPr>
        <w:tabs>
          <w:tab w:val="num" w:pos="6480"/>
        </w:tabs>
        <w:ind w:left="6480" w:hanging="360"/>
      </w:pPr>
    </w:lvl>
  </w:abstractNum>
  <w:abstractNum w:abstractNumId="27" w15:restartNumberingAfterBreak="0">
    <w:nsid w:val="6FA54B6E"/>
    <w:multiLevelType w:val="hybridMultilevel"/>
    <w:tmpl w:val="DF1CD394"/>
    <w:lvl w:ilvl="0" w:tplc="564879FA">
      <w:start w:val="1"/>
      <w:numFmt w:val="bullet"/>
      <w:lvlText w:val="•"/>
      <w:lvlJc w:val="left"/>
      <w:pPr>
        <w:tabs>
          <w:tab w:val="num" w:pos="720"/>
        </w:tabs>
        <w:ind w:left="720" w:hanging="360"/>
      </w:pPr>
      <w:rPr>
        <w:rFonts w:ascii="Arial" w:hAnsi="Arial" w:hint="default"/>
      </w:rPr>
    </w:lvl>
    <w:lvl w:ilvl="1" w:tplc="DA6E2D96" w:tentative="1">
      <w:start w:val="1"/>
      <w:numFmt w:val="bullet"/>
      <w:lvlText w:val="•"/>
      <w:lvlJc w:val="left"/>
      <w:pPr>
        <w:tabs>
          <w:tab w:val="num" w:pos="1440"/>
        </w:tabs>
        <w:ind w:left="1440" w:hanging="360"/>
      </w:pPr>
      <w:rPr>
        <w:rFonts w:ascii="Arial" w:hAnsi="Arial" w:hint="default"/>
      </w:rPr>
    </w:lvl>
    <w:lvl w:ilvl="2" w:tplc="5CCEE2AA" w:tentative="1">
      <w:start w:val="1"/>
      <w:numFmt w:val="bullet"/>
      <w:lvlText w:val="•"/>
      <w:lvlJc w:val="left"/>
      <w:pPr>
        <w:tabs>
          <w:tab w:val="num" w:pos="2160"/>
        </w:tabs>
        <w:ind w:left="2160" w:hanging="360"/>
      </w:pPr>
      <w:rPr>
        <w:rFonts w:ascii="Arial" w:hAnsi="Arial" w:hint="default"/>
      </w:rPr>
    </w:lvl>
    <w:lvl w:ilvl="3" w:tplc="56E27F76" w:tentative="1">
      <w:start w:val="1"/>
      <w:numFmt w:val="bullet"/>
      <w:lvlText w:val="•"/>
      <w:lvlJc w:val="left"/>
      <w:pPr>
        <w:tabs>
          <w:tab w:val="num" w:pos="2880"/>
        </w:tabs>
        <w:ind w:left="2880" w:hanging="360"/>
      </w:pPr>
      <w:rPr>
        <w:rFonts w:ascii="Arial" w:hAnsi="Arial" w:hint="default"/>
      </w:rPr>
    </w:lvl>
    <w:lvl w:ilvl="4" w:tplc="73A4CA32" w:tentative="1">
      <w:start w:val="1"/>
      <w:numFmt w:val="bullet"/>
      <w:lvlText w:val="•"/>
      <w:lvlJc w:val="left"/>
      <w:pPr>
        <w:tabs>
          <w:tab w:val="num" w:pos="3600"/>
        </w:tabs>
        <w:ind w:left="3600" w:hanging="360"/>
      </w:pPr>
      <w:rPr>
        <w:rFonts w:ascii="Arial" w:hAnsi="Arial" w:hint="default"/>
      </w:rPr>
    </w:lvl>
    <w:lvl w:ilvl="5" w:tplc="8B5E2764" w:tentative="1">
      <w:start w:val="1"/>
      <w:numFmt w:val="bullet"/>
      <w:lvlText w:val="•"/>
      <w:lvlJc w:val="left"/>
      <w:pPr>
        <w:tabs>
          <w:tab w:val="num" w:pos="4320"/>
        </w:tabs>
        <w:ind w:left="4320" w:hanging="360"/>
      </w:pPr>
      <w:rPr>
        <w:rFonts w:ascii="Arial" w:hAnsi="Arial" w:hint="default"/>
      </w:rPr>
    </w:lvl>
    <w:lvl w:ilvl="6" w:tplc="6E68EF4E" w:tentative="1">
      <w:start w:val="1"/>
      <w:numFmt w:val="bullet"/>
      <w:lvlText w:val="•"/>
      <w:lvlJc w:val="left"/>
      <w:pPr>
        <w:tabs>
          <w:tab w:val="num" w:pos="5040"/>
        </w:tabs>
        <w:ind w:left="5040" w:hanging="360"/>
      </w:pPr>
      <w:rPr>
        <w:rFonts w:ascii="Arial" w:hAnsi="Arial" w:hint="default"/>
      </w:rPr>
    </w:lvl>
    <w:lvl w:ilvl="7" w:tplc="232A758E" w:tentative="1">
      <w:start w:val="1"/>
      <w:numFmt w:val="bullet"/>
      <w:lvlText w:val="•"/>
      <w:lvlJc w:val="left"/>
      <w:pPr>
        <w:tabs>
          <w:tab w:val="num" w:pos="5760"/>
        </w:tabs>
        <w:ind w:left="5760" w:hanging="360"/>
      </w:pPr>
      <w:rPr>
        <w:rFonts w:ascii="Arial" w:hAnsi="Arial" w:hint="default"/>
      </w:rPr>
    </w:lvl>
    <w:lvl w:ilvl="8" w:tplc="2286F80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2723B3"/>
    <w:multiLevelType w:val="hybridMultilevel"/>
    <w:tmpl w:val="A858D676"/>
    <w:lvl w:ilvl="0" w:tplc="0C0A0003">
      <w:start w:val="1"/>
      <w:numFmt w:val="bullet"/>
      <w:lvlText w:val="o"/>
      <w:lvlJc w:val="left"/>
      <w:pPr>
        <w:ind w:left="1715" w:hanging="360"/>
      </w:pPr>
      <w:rPr>
        <w:rFonts w:ascii="Courier New" w:hAnsi="Courier New" w:cs="Courier New" w:hint="default"/>
      </w:rPr>
    </w:lvl>
    <w:lvl w:ilvl="1" w:tplc="0409000D">
      <w:start w:val="1"/>
      <w:numFmt w:val="bullet"/>
      <w:lvlText w:val=""/>
      <w:lvlJc w:val="left"/>
      <w:pPr>
        <w:ind w:left="2435" w:hanging="360"/>
      </w:pPr>
      <w:rPr>
        <w:rFonts w:ascii="Wingdings" w:hAnsi="Wingdings" w:hint="default"/>
      </w:rPr>
    </w:lvl>
    <w:lvl w:ilvl="2" w:tplc="0C0A0005" w:tentative="1">
      <w:start w:val="1"/>
      <w:numFmt w:val="bullet"/>
      <w:lvlText w:val=""/>
      <w:lvlJc w:val="left"/>
      <w:pPr>
        <w:ind w:left="3155" w:hanging="360"/>
      </w:pPr>
      <w:rPr>
        <w:rFonts w:ascii="Wingdings" w:hAnsi="Wingdings" w:hint="default"/>
      </w:rPr>
    </w:lvl>
    <w:lvl w:ilvl="3" w:tplc="0C0A0001" w:tentative="1">
      <w:start w:val="1"/>
      <w:numFmt w:val="bullet"/>
      <w:lvlText w:val=""/>
      <w:lvlJc w:val="left"/>
      <w:pPr>
        <w:ind w:left="3875" w:hanging="360"/>
      </w:pPr>
      <w:rPr>
        <w:rFonts w:ascii="Symbol" w:hAnsi="Symbol" w:hint="default"/>
      </w:rPr>
    </w:lvl>
    <w:lvl w:ilvl="4" w:tplc="0C0A0003" w:tentative="1">
      <w:start w:val="1"/>
      <w:numFmt w:val="bullet"/>
      <w:lvlText w:val="o"/>
      <w:lvlJc w:val="left"/>
      <w:pPr>
        <w:ind w:left="4595" w:hanging="360"/>
      </w:pPr>
      <w:rPr>
        <w:rFonts w:ascii="Courier New" w:hAnsi="Courier New" w:cs="Courier New" w:hint="default"/>
      </w:rPr>
    </w:lvl>
    <w:lvl w:ilvl="5" w:tplc="0C0A0005" w:tentative="1">
      <w:start w:val="1"/>
      <w:numFmt w:val="bullet"/>
      <w:lvlText w:val=""/>
      <w:lvlJc w:val="left"/>
      <w:pPr>
        <w:ind w:left="5315" w:hanging="360"/>
      </w:pPr>
      <w:rPr>
        <w:rFonts w:ascii="Wingdings" w:hAnsi="Wingdings" w:hint="default"/>
      </w:rPr>
    </w:lvl>
    <w:lvl w:ilvl="6" w:tplc="0C0A0001" w:tentative="1">
      <w:start w:val="1"/>
      <w:numFmt w:val="bullet"/>
      <w:lvlText w:val=""/>
      <w:lvlJc w:val="left"/>
      <w:pPr>
        <w:ind w:left="6035" w:hanging="360"/>
      </w:pPr>
      <w:rPr>
        <w:rFonts w:ascii="Symbol" w:hAnsi="Symbol" w:hint="default"/>
      </w:rPr>
    </w:lvl>
    <w:lvl w:ilvl="7" w:tplc="0C0A0003" w:tentative="1">
      <w:start w:val="1"/>
      <w:numFmt w:val="bullet"/>
      <w:lvlText w:val="o"/>
      <w:lvlJc w:val="left"/>
      <w:pPr>
        <w:ind w:left="6755" w:hanging="360"/>
      </w:pPr>
      <w:rPr>
        <w:rFonts w:ascii="Courier New" w:hAnsi="Courier New" w:cs="Courier New" w:hint="default"/>
      </w:rPr>
    </w:lvl>
    <w:lvl w:ilvl="8" w:tplc="0C0A0005" w:tentative="1">
      <w:start w:val="1"/>
      <w:numFmt w:val="bullet"/>
      <w:lvlText w:val=""/>
      <w:lvlJc w:val="left"/>
      <w:pPr>
        <w:ind w:left="7475" w:hanging="360"/>
      </w:pPr>
      <w:rPr>
        <w:rFonts w:ascii="Wingdings" w:hAnsi="Wingdings" w:hint="default"/>
      </w:rPr>
    </w:lvl>
  </w:abstractNum>
  <w:abstractNum w:abstractNumId="29" w15:restartNumberingAfterBreak="0">
    <w:nsid w:val="7238186D"/>
    <w:multiLevelType w:val="hybridMultilevel"/>
    <w:tmpl w:val="AC6E80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7673FA"/>
    <w:multiLevelType w:val="hybridMultilevel"/>
    <w:tmpl w:val="26307A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72C07712"/>
    <w:multiLevelType w:val="hybridMultilevel"/>
    <w:tmpl w:val="9F7A7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2860E1"/>
    <w:multiLevelType w:val="hybridMultilevel"/>
    <w:tmpl w:val="8DC6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711B0F"/>
    <w:multiLevelType w:val="hybridMultilevel"/>
    <w:tmpl w:val="9F5291E2"/>
    <w:lvl w:ilvl="0" w:tplc="14A42666">
      <w:start w:val="1"/>
      <w:numFmt w:val="decimal"/>
      <w:lvlText w:val="%1."/>
      <w:lvlJc w:val="left"/>
      <w:pPr>
        <w:tabs>
          <w:tab w:val="num" w:pos="720"/>
        </w:tabs>
        <w:ind w:left="720" w:hanging="360"/>
      </w:pPr>
    </w:lvl>
    <w:lvl w:ilvl="1" w:tplc="81122722" w:tentative="1">
      <w:start w:val="1"/>
      <w:numFmt w:val="decimal"/>
      <w:lvlText w:val="%2."/>
      <w:lvlJc w:val="left"/>
      <w:pPr>
        <w:tabs>
          <w:tab w:val="num" w:pos="1440"/>
        </w:tabs>
        <w:ind w:left="1440" w:hanging="360"/>
      </w:pPr>
    </w:lvl>
    <w:lvl w:ilvl="2" w:tplc="8752E944" w:tentative="1">
      <w:start w:val="1"/>
      <w:numFmt w:val="decimal"/>
      <w:lvlText w:val="%3."/>
      <w:lvlJc w:val="left"/>
      <w:pPr>
        <w:tabs>
          <w:tab w:val="num" w:pos="2160"/>
        </w:tabs>
        <w:ind w:left="2160" w:hanging="360"/>
      </w:pPr>
    </w:lvl>
    <w:lvl w:ilvl="3" w:tplc="866689B8" w:tentative="1">
      <w:start w:val="1"/>
      <w:numFmt w:val="decimal"/>
      <w:lvlText w:val="%4."/>
      <w:lvlJc w:val="left"/>
      <w:pPr>
        <w:tabs>
          <w:tab w:val="num" w:pos="2880"/>
        </w:tabs>
        <w:ind w:left="2880" w:hanging="360"/>
      </w:pPr>
    </w:lvl>
    <w:lvl w:ilvl="4" w:tplc="C4986E00" w:tentative="1">
      <w:start w:val="1"/>
      <w:numFmt w:val="decimal"/>
      <w:lvlText w:val="%5."/>
      <w:lvlJc w:val="left"/>
      <w:pPr>
        <w:tabs>
          <w:tab w:val="num" w:pos="3600"/>
        </w:tabs>
        <w:ind w:left="3600" w:hanging="360"/>
      </w:pPr>
    </w:lvl>
    <w:lvl w:ilvl="5" w:tplc="55307918" w:tentative="1">
      <w:start w:val="1"/>
      <w:numFmt w:val="decimal"/>
      <w:lvlText w:val="%6."/>
      <w:lvlJc w:val="left"/>
      <w:pPr>
        <w:tabs>
          <w:tab w:val="num" w:pos="4320"/>
        </w:tabs>
        <w:ind w:left="4320" w:hanging="360"/>
      </w:pPr>
    </w:lvl>
    <w:lvl w:ilvl="6" w:tplc="07CEC806" w:tentative="1">
      <w:start w:val="1"/>
      <w:numFmt w:val="decimal"/>
      <w:lvlText w:val="%7."/>
      <w:lvlJc w:val="left"/>
      <w:pPr>
        <w:tabs>
          <w:tab w:val="num" w:pos="5040"/>
        </w:tabs>
        <w:ind w:left="5040" w:hanging="360"/>
      </w:pPr>
    </w:lvl>
    <w:lvl w:ilvl="7" w:tplc="223E0DCE" w:tentative="1">
      <w:start w:val="1"/>
      <w:numFmt w:val="decimal"/>
      <w:lvlText w:val="%8."/>
      <w:lvlJc w:val="left"/>
      <w:pPr>
        <w:tabs>
          <w:tab w:val="num" w:pos="5760"/>
        </w:tabs>
        <w:ind w:left="5760" w:hanging="360"/>
      </w:pPr>
    </w:lvl>
    <w:lvl w:ilvl="8" w:tplc="0A9C4C28" w:tentative="1">
      <w:start w:val="1"/>
      <w:numFmt w:val="decimal"/>
      <w:lvlText w:val="%9."/>
      <w:lvlJc w:val="left"/>
      <w:pPr>
        <w:tabs>
          <w:tab w:val="num" w:pos="6480"/>
        </w:tabs>
        <w:ind w:left="6480" w:hanging="360"/>
      </w:pPr>
    </w:lvl>
  </w:abstractNum>
  <w:abstractNum w:abstractNumId="34" w15:restartNumberingAfterBreak="0">
    <w:nsid w:val="7ED33220"/>
    <w:multiLevelType w:val="hybridMultilevel"/>
    <w:tmpl w:val="46D6E5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14"/>
  </w:num>
  <w:num w:numId="4">
    <w:abstractNumId w:val="23"/>
  </w:num>
  <w:num w:numId="5">
    <w:abstractNumId w:val="6"/>
  </w:num>
  <w:num w:numId="6">
    <w:abstractNumId w:val="33"/>
  </w:num>
  <w:num w:numId="7">
    <w:abstractNumId w:val="20"/>
  </w:num>
  <w:num w:numId="8">
    <w:abstractNumId w:val="31"/>
  </w:num>
  <w:num w:numId="9">
    <w:abstractNumId w:val="13"/>
  </w:num>
  <w:num w:numId="10">
    <w:abstractNumId w:val="4"/>
    <w:lvlOverride w:ilvl="0">
      <w:lvl w:ilvl="0">
        <w:start w:val="2"/>
        <w:numFmt w:val="decimal"/>
        <w:lvlText w:val="%1."/>
        <w:lvlJc w:val="left"/>
        <w:pPr>
          <w:tabs>
            <w:tab w:val="num" w:pos="360"/>
          </w:tabs>
          <w:ind w:left="284" w:hanging="284"/>
        </w:pPr>
        <w:rPr>
          <w:rFonts w:hint="default"/>
        </w:rPr>
      </w:lvl>
    </w:lvlOverride>
    <w:lvlOverride w:ilvl="1">
      <w:lvl w:ilvl="1">
        <w:start w:val="1"/>
        <w:numFmt w:val="decimal"/>
        <w:lvlText w:val="%1.%2."/>
        <w:lvlJc w:val="left"/>
        <w:pPr>
          <w:tabs>
            <w:tab w:val="num" w:pos="709"/>
          </w:tabs>
          <w:ind w:left="709" w:hanging="567"/>
        </w:pPr>
        <w:rPr>
          <w:rFonts w:ascii="Arial" w:hAnsi="Arial" w:hint="default"/>
          <w:b/>
          <w:i w:val="0"/>
          <w:caps w:val="0"/>
          <w:strike w:val="0"/>
          <w:dstrike w:val="0"/>
          <w:outline w:val="0"/>
          <w:shadow w:val="0"/>
          <w:emboss w:val="0"/>
          <w:imprint w:val="0"/>
          <w:vanish w:val="0"/>
          <w:sz w:val="24"/>
          <w:vertAlign w:val="baseline"/>
        </w:rPr>
      </w:lvl>
    </w:lvlOverride>
    <w:lvlOverride w:ilvl="2">
      <w:lvl w:ilvl="2">
        <w:start w:val="1"/>
        <w:numFmt w:val="decimal"/>
        <w:lvlText w:val="%1.%2.%3."/>
        <w:lvlJc w:val="left"/>
        <w:pPr>
          <w:tabs>
            <w:tab w:val="num" w:pos="1146"/>
          </w:tabs>
          <w:ind w:left="426" w:firstLine="0"/>
        </w:pPr>
        <w:rPr>
          <w:rFonts w:ascii="Arial" w:hAnsi="Arial" w:hint="default"/>
          <w:b/>
          <w:i w:val="0"/>
          <w:caps w:val="0"/>
          <w:strike w:val="0"/>
          <w:dstrike w:val="0"/>
          <w:outline w:val="0"/>
          <w:shadow w:val="0"/>
          <w:emboss w:val="0"/>
          <w:imprint w:val="0"/>
          <w:vanish w:val="0"/>
          <w:color w:val="auto"/>
          <w:sz w:val="24"/>
          <w:vertAlign w:val="baseline"/>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1">
    <w:abstractNumId w:val="21"/>
  </w:num>
  <w:num w:numId="12">
    <w:abstractNumId w:val="7"/>
  </w:num>
  <w:num w:numId="13">
    <w:abstractNumId w:val="34"/>
  </w:num>
  <w:num w:numId="14">
    <w:abstractNumId w:val="12"/>
  </w:num>
  <w:num w:numId="15">
    <w:abstractNumId w:val="19"/>
  </w:num>
  <w:num w:numId="16">
    <w:abstractNumId w:val="15"/>
  </w:num>
  <w:num w:numId="17">
    <w:abstractNumId w:val="24"/>
  </w:num>
  <w:num w:numId="18">
    <w:abstractNumId w:val="16"/>
  </w:num>
  <w:num w:numId="19">
    <w:abstractNumId w:val="9"/>
  </w:num>
  <w:num w:numId="20">
    <w:abstractNumId w:val="25"/>
  </w:num>
  <w:num w:numId="21">
    <w:abstractNumId w:val="28"/>
  </w:num>
  <w:num w:numId="22">
    <w:abstractNumId w:val="29"/>
  </w:num>
  <w:num w:numId="23">
    <w:abstractNumId w:val="0"/>
  </w:num>
  <w:num w:numId="24">
    <w:abstractNumId w:val="10"/>
  </w:num>
  <w:num w:numId="25">
    <w:abstractNumId w:val="27"/>
  </w:num>
  <w:num w:numId="26">
    <w:abstractNumId w:val="22"/>
  </w:num>
  <w:num w:numId="27">
    <w:abstractNumId w:val="32"/>
  </w:num>
  <w:num w:numId="28">
    <w:abstractNumId w:val="11"/>
  </w:num>
  <w:num w:numId="29">
    <w:abstractNumId w:val="26"/>
  </w:num>
  <w:num w:numId="30">
    <w:abstractNumId w:val="5"/>
  </w:num>
  <w:num w:numId="31">
    <w:abstractNumId w:val="17"/>
  </w:num>
  <w:num w:numId="32">
    <w:abstractNumId w:val="3"/>
  </w:num>
  <w:num w:numId="33">
    <w:abstractNumId w:val="18"/>
  </w:num>
  <w:num w:numId="34">
    <w:abstractNumId w:val="3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A1"/>
    <w:rsid w:val="00003148"/>
    <w:rsid w:val="00011353"/>
    <w:rsid w:val="00014F5E"/>
    <w:rsid w:val="00017886"/>
    <w:rsid w:val="00020DAD"/>
    <w:rsid w:val="00023F8D"/>
    <w:rsid w:val="00025636"/>
    <w:rsid w:val="00027763"/>
    <w:rsid w:val="0003633F"/>
    <w:rsid w:val="00047CFA"/>
    <w:rsid w:val="00051B5E"/>
    <w:rsid w:val="00053AC3"/>
    <w:rsid w:val="00072803"/>
    <w:rsid w:val="00073624"/>
    <w:rsid w:val="00074B96"/>
    <w:rsid w:val="00077761"/>
    <w:rsid w:val="000811D1"/>
    <w:rsid w:val="000841AF"/>
    <w:rsid w:val="00086DB9"/>
    <w:rsid w:val="0009185A"/>
    <w:rsid w:val="000921C0"/>
    <w:rsid w:val="000A65F9"/>
    <w:rsid w:val="000A6CE1"/>
    <w:rsid w:val="000B3F83"/>
    <w:rsid w:val="000B66CF"/>
    <w:rsid w:val="000C24BD"/>
    <w:rsid w:val="000D0E6B"/>
    <w:rsid w:val="000D1C94"/>
    <w:rsid w:val="000D4732"/>
    <w:rsid w:val="000D67D4"/>
    <w:rsid w:val="000E528B"/>
    <w:rsid w:val="000F17C3"/>
    <w:rsid w:val="00115E61"/>
    <w:rsid w:val="00121B21"/>
    <w:rsid w:val="00124181"/>
    <w:rsid w:val="001263E1"/>
    <w:rsid w:val="0013104C"/>
    <w:rsid w:val="0013114C"/>
    <w:rsid w:val="001472E4"/>
    <w:rsid w:val="00147609"/>
    <w:rsid w:val="00153CC9"/>
    <w:rsid w:val="00163BD6"/>
    <w:rsid w:val="00166B2F"/>
    <w:rsid w:val="0016710C"/>
    <w:rsid w:val="00182A9F"/>
    <w:rsid w:val="001911F8"/>
    <w:rsid w:val="001934E9"/>
    <w:rsid w:val="00193B24"/>
    <w:rsid w:val="00194819"/>
    <w:rsid w:val="001A517A"/>
    <w:rsid w:val="001A562D"/>
    <w:rsid w:val="001A5CE8"/>
    <w:rsid w:val="001A5EB6"/>
    <w:rsid w:val="001C3274"/>
    <w:rsid w:val="001D1C91"/>
    <w:rsid w:val="001D56F7"/>
    <w:rsid w:val="001E00A1"/>
    <w:rsid w:val="001E2698"/>
    <w:rsid w:val="001E299F"/>
    <w:rsid w:val="001E4FD4"/>
    <w:rsid w:val="001F5382"/>
    <w:rsid w:val="00203526"/>
    <w:rsid w:val="00203ED9"/>
    <w:rsid w:val="002244A8"/>
    <w:rsid w:val="00243AFA"/>
    <w:rsid w:val="00246F6D"/>
    <w:rsid w:val="00250EBC"/>
    <w:rsid w:val="00253067"/>
    <w:rsid w:val="00254587"/>
    <w:rsid w:val="00261536"/>
    <w:rsid w:val="00262EBA"/>
    <w:rsid w:val="00267430"/>
    <w:rsid w:val="0027358E"/>
    <w:rsid w:val="00293C0D"/>
    <w:rsid w:val="00297BAB"/>
    <w:rsid w:val="002A3025"/>
    <w:rsid w:val="002B0009"/>
    <w:rsid w:val="002B2564"/>
    <w:rsid w:val="002B2FF7"/>
    <w:rsid w:val="002C3030"/>
    <w:rsid w:val="002C5FBA"/>
    <w:rsid w:val="002C6C6B"/>
    <w:rsid w:val="002D2CDB"/>
    <w:rsid w:val="002D613E"/>
    <w:rsid w:val="002D79E7"/>
    <w:rsid w:val="002E61D8"/>
    <w:rsid w:val="002F4A77"/>
    <w:rsid w:val="002F70D4"/>
    <w:rsid w:val="003011EB"/>
    <w:rsid w:val="00303EFC"/>
    <w:rsid w:val="00307052"/>
    <w:rsid w:val="00311BFE"/>
    <w:rsid w:val="00316788"/>
    <w:rsid w:val="003218F3"/>
    <w:rsid w:val="0032690E"/>
    <w:rsid w:val="00330133"/>
    <w:rsid w:val="003364DE"/>
    <w:rsid w:val="003531DC"/>
    <w:rsid w:val="00363296"/>
    <w:rsid w:val="00373112"/>
    <w:rsid w:val="00374D01"/>
    <w:rsid w:val="00381A9C"/>
    <w:rsid w:val="0039548F"/>
    <w:rsid w:val="003B29BD"/>
    <w:rsid w:val="003C57CE"/>
    <w:rsid w:val="003D6140"/>
    <w:rsid w:val="003E0E22"/>
    <w:rsid w:val="003E2167"/>
    <w:rsid w:val="003F7F15"/>
    <w:rsid w:val="00402A56"/>
    <w:rsid w:val="00404304"/>
    <w:rsid w:val="00416C3B"/>
    <w:rsid w:val="004312B7"/>
    <w:rsid w:val="00440804"/>
    <w:rsid w:val="004411E2"/>
    <w:rsid w:val="004540DB"/>
    <w:rsid w:val="00460012"/>
    <w:rsid w:val="00462194"/>
    <w:rsid w:val="0047722D"/>
    <w:rsid w:val="00497B37"/>
    <w:rsid w:val="004A640A"/>
    <w:rsid w:val="004B2A3B"/>
    <w:rsid w:val="004B7F60"/>
    <w:rsid w:val="004D2EE3"/>
    <w:rsid w:val="004E0F83"/>
    <w:rsid w:val="004E69DE"/>
    <w:rsid w:val="0050322D"/>
    <w:rsid w:val="00503461"/>
    <w:rsid w:val="00504026"/>
    <w:rsid w:val="005141C6"/>
    <w:rsid w:val="00516555"/>
    <w:rsid w:val="0052164E"/>
    <w:rsid w:val="005252C9"/>
    <w:rsid w:val="0052575D"/>
    <w:rsid w:val="00525A93"/>
    <w:rsid w:val="00530681"/>
    <w:rsid w:val="0053135C"/>
    <w:rsid w:val="005467C1"/>
    <w:rsid w:val="005474B7"/>
    <w:rsid w:val="005500AB"/>
    <w:rsid w:val="00557358"/>
    <w:rsid w:val="005639BB"/>
    <w:rsid w:val="00563D4E"/>
    <w:rsid w:val="005712F7"/>
    <w:rsid w:val="00593283"/>
    <w:rsid w:val="005A45B1"/>
    <w:rsid w:val="005C702B"/>
    <w:rsid w:val="005C787C"/>
    <w:rsid w:val="005D2491"/>
    <w:rsid w:val="005E1676"/>
    <w:rsid w:val="00606E37"/>
    <w:rsid w:val="00612EDC"/>
    <w:rsid w:val="00621086"/>
    <w:rsid w:val="00636E9E"/>
    <w:rsid w:val="006402AA"/>
    <w:rsid w:val="0064702F"/>
    <w:rsid w:val="006615DB"/>
    <w:rsid w:val="0066568D"/>
    <w:rsid w:val="00673DAE"/>
    <w:rsid w:val="0067788F"/>
    <w:rsid w:val="00677D6A"/>
    <w:rsid w:val="00681F61"/>
    <w:rsid w:val="00691BA3"/>
    <w:rsid w:val="00697157"/>
    <w:rsid w:val="0069770C"/>
    <w:rsid w:val="006A2C73"/>
    <w:rsid w:val="006B49F9"/>
    <w:rsid w:val="006C28A9"/>
    <w:rsid w:val="006D1AFE"/>
    <w:rsid w:val="006E0F94"/>
    <w:rsid w:val="006E5D8F"/>
    <w:rsid w:val="006E6A53"/>
    <w:rsid w:val="006F270A"/>
    <w:rsid w:val="007028DE"/>
    <w:rsid w:val="0071122B"/>
    <w:rsid w:val="00715D3F"/>
    <w:rsid w:val="00721D1A"/>
    <w:rsid w:val="00726C0F"/>
    <w:rsid w:val="00726DCE"/>
    <w:rsid w:val="007419F2"/>
    <w:rsid w:val="00742977"/>
    <w:rsid w:val="0074539C"/>
    <w:rsid w:val="00770592"/>
    <w:rsid w:val="00775D90"/>
    <w:rsid w:val="00787FFD"/>
    <w:rsid w:val="007B391D"/>
    <w:rsid w:val="007B3CB6"/>
    <w:rsid w:val="007B57D7"/>
    <w:rsid w:val="007B6A40"/>
    <w:rsid w:val="007C1307"/>
    <w:rsid w:val="007C4D66"/>
    <w:rsid w:val="007D2EFF"/>
    <w:rsid w:val="007D4D66"/>
    <w:rsid w:val="007E1D51"/>
    <w:rsid w:val="007E4F3A"/>
    <w:rsid w:val="007E5043"/>
    <w:rsid w:val="0080361E"/>
    <w:rsid w:val="00804B48"/>
    <w:rsid w:val="00805912"/>
    <w:rsid w:val="00811AD7"/>
    <w:rsid w:val="00813459"/>
    <w:rsid w:val="00815CFF"/>
    <w:rsid w:val="00820C5A"/>
    <w:rsid w:val="00824567"/>
    <w:rsid w:val="008259A8"/>
    <w:rsid w:val="008313DC"/>
    <w:rsid w:val="00833CDD"/>
    <w:rsid w:val="0084694D"/>
    <w:rsid w:val="00847607"/>
    <w:rsid w:val="008525DB"/>
    <w:rsid w:val="00856A21"/>
    <w:rsid w:val="00865462"/>
    <w:rsid w:val="008657E7"/>
    <w:rsid w:val="00866BC0"/>
    <w:rsid w:val="0087493C"/>
    <w:rsid w:val="0088157E"/>
    <w:rsid w:val="00890E42"/>
    <w:rsid w:val="00895147"/>
    <w:rsid w:val="0089585F"/>
    <w:rsid w:val="008A2144"/>
    <w:rsid w:val="008A45BA"/>
    <w:rsid w:val="008B2DC1"/>
    <w:rsid w:val="008C5A55"/>
    <w:rsid w:val="008D296D"/>
    <w:rsid w:val="008D4B75"/>
    <w:rsid w:val="008F428C"/>
    <w:rsid w:val="00900479"/>
    <w:rsid w:val="00903FDA"/>
    <w:rsid w:val="009268FD"/>
    <w:rsid w:val="009269DD"/>
    <w:rsid w:val="00932889"/>
    <w:rsid w:val="009346B0"/>
    <w:rsid w:val="00935E88"/>
    <w:rsid w:val="00937F08"/>
    <w:rsid w:val="009421E9"/>
    <w:rsid w:val="009444EC"/>
    <w:rsid w:val="009514C2"/>
    <w:rsid w:val="00960229"/>
    <w:rsid w:val="009603DF"/>
    <w:rsid w:val="00975C17"/>
    <w:rsid w:val="00983D0E"/>
    <w:rsid w:val="00992ED1"/>
    <w:rsid w:val="009932F0"/>
    <w:rsid w:val="009A54F1"/>
    <w:rsid w:val="009A624C"/>
    <w:rsid w:val="009A6737"/>
    <w:rsid w:val="009A6919"/>
    <w:rsid w:val="009B1EBC"/>
    <w:rsid w:val="009B476E"/>
    <w:rsid w:val="009B521D"/>
    <w:rsid w:val="009B5C69"/>
    <w:rsid w:val="009C2BB4"/>
    <w:rsid w:val="009C530E"/>
    <w:rsid w:val="009D003E"/>
    <w:rsid w:val="009D1A49"/>
    <w:rsid w:val="009F060D"/>
    <w:rsid w:val="009F3B13"/>
    <w:rsid w:val="009F555A"/>
    <w:rsid w:val="009F64FB"/>
    <w:rsid w:val="009F67AC"/>
    <w:rsid w:val="00A005B3"/>
    <w:rsid w:val="00A07998"/>
    <w:rsid w:val="00A10935"/>
    <w:rsid w:val="00A1342E"/>
    <w:rsid w:val="00A15DF6"/>
    <w:rsid w:val="00A2198F"/>
    <w:rsid w:val="00A34713"/>
    <w:rsid w:val="00A623AC"/>
    <w:rsid w:val="00A8402D"/>
    <w:rsid w:val="00A87B24"/>
    <w:rsid w:val="00A930F6"/>
    <w:rsid w:val="00A97198"/>
    <w:rsid w:val="00AB077D"/>
    <w:rsid w:val="00AB0960"/>
    <w:rsid w:val="00AB1864"/>
    <w:rsid w:val="00AB5F08"/>
    <w:rsid w:val="00AC0742"/>
    <w:rsid w:val="00AD2C4A"/>
    <w:rsid w:val="00AD2EC4"/>
    <w:rsid w:val="00AE1AF6"/>
    <w:rsid w:val="00AE3329"/>
    <w:rsid w:val="00AF2C31"/>
    <w:rsid w:val="00AF78BC"/>
    <w:rsid w:val="00B05A39"/>
    <w:rsid w:val="00B1143F"/>
    <w:rsid w:val="00B133E2"/>
    <w:rsid w:val="00B153F5"/>
    <w:rsid w:val="00B3439D"/>
    <w:rsid w:val="00B52C4C"/>
    <w:rsid w:val="00B5434B"/>
    <w:rsid w:val="00B55FE4"/>
    <w:rsid w:val="00B56145"/>
    <w:rsid w:val="00B56637"/>
    <w:rsid w:val="00B56E48"/>
    <w:rsid w:val="00B61135"/>
    <w:rsid w:val="00B70508"/>
    <w:rsid w:val="00B73868"/>
    <w:rsid w:val="00B73E2A"/>
    <w:rsid w:val="00B869D4"/>
    <w:rsid w:val="00B87286"/>
    <w:rsid w:val="00B8731E"/>
    <w:rsid w:val="00B914E4"/>
    <w:rsid w:val="00B92951"/>
    <w:rsid w:val="00B935A1"/>
    <w:rsid w:val="00B93B75"/>
    <w:rsid w:val="00B94224"/>
    <w:rsid w:val="00B96B31"/>
    <w:rsid w:val="00BB5463"/>
    <w:rsid w:val="00BB6D81"/>
    <w:rsid w:val="00BC3B6E"/>
    <w:rsid w:val="00BC40FB"/>
    <w:rsid w:val="00BC7179"/>
    <w:rsid w:val="00BD3B04"/>
    <w:rsid w:val="00BD71B4"/>
    <w:rsid w:val="00BE1017"/>
    <w:rsid w:val="00BE3430"/>
    <w:rsid w:val="00BE7121"/>
    <w:rsid w:val="00C01B5E"/>
    <w:rsid w:val="00C0297F"/>
    <w:rsid w:val="00C27E45"/>
    <w:rsid w:val="00C3059F"/>
    <w:rsid w:val="00C34916"/>
    <w:rsid w:val="00C362AD"/>
    <w:rsid w:val="00C44809"/>
    <w:rsid w:val="00C51FDF"/>
    <w:rsid w:val="00C6063C"/>
    <w:rsid w:val="00C61AEF"/>
    <w:rsid w:val="00C74BC5"/>
    <w:rsid w:val="00C81D52"/>
    <w:rsid w:val="00C926B9"/>
    <w:rsid w:val="00C926DF"/>
    <w:rsid w:val="00CB02E8"/>
    <w:rsid w:val="00CB082E"/>
    <w:rsid w:val="00CB53B6"/>
    <w:rsid w:val="00CB6D30"/>
    <w:rsid w:val="00CB7198"/>
    <w:rsid w:val="00CC1C4C"/>
    <w:rsid w:val="00CC5A88"/>
    <w:rsid w:val="00CD6344"/>
    <w:rsid w:val="00CE185E"/>
    <w:rsid w:val="00CE5BC4"/>
    <w:rsid w:val="00CE7F65"/>
    <w:rsid w:val="00CF553A"/>
    <w:rsid w:val="00D04387"/>
    <w:rsid w:val="00D071EE"/>
    <w:rsid w:val="00D20403"/>
    <w:rsid w:val="00D30C83"/>
    <w:rsid w:val="00D3536D"/>
    <w:rsid w:val="00D3755D"/>
    <w:rsid w:val="00D57EDB"/>
    <w:rsid w:val="00D61AB1"/>
    <w:rsid w:val="00D7132F"/>
    <w:rsid w:val="00D71DD7"/>
    <w:rsid w:val="00D8177D"/>
    <w:rsid w:val="00D82A0B"/>
    <w:rsid w:val="00D835CC"/>
    <w:rsid w:val="00D95C34"/>
    <w:rsid w:val="00DA3F85"/>
    <w:rsid w:val="00DA694D"/>
    <w:rsid w:val="00DB5C0F"/>
    <w:rsid w:val="00DB5E28"/>
    <w:rsid w:val="00DB72FD"/>
    <w:rsid w:val="00DC0395"/>
    <w:rsid w:val="00DC0F34"/>
    <w:rsid w:val="00DC2B27"/>
    <w:rsid w:val="00DC4189"/>
    <w:rsid w:val="00DD5DC5"/>
    <w:rsid w:val="00DF3FD2"/>
    <w:rsid w:val="00E01ABD"/>
    <w:rsid w:val="00E04521"/>
    <w:rsid w:val="00E11C75"/>
    <w:rsid w:val="00E12E18"/>
    <w:rsid w:val="00E14C0E"/>
    <w:rsid w:val="00E156F6"/>
    <w:rsid w:val="00E31AF1"/>
    <w:rsid w:val="00E37D56"/>
    <w:rsid w:val="00E40BDB"/>
    <w:rsid w:val="00E44105"/>
    <w:rsid w:val="00E521D0"/>
    <w:rsid w:val="00E53082"/>
    <w:rsid w:val="00E63B59"/>
    <w:rsid w:val="00E662C4"/>
    <w:rsid w:val="00E702C1"/>
    <w:rsid w:val="00E713F6"/>
    <w:rsid w:val="00E7784F"/>
    <w:rsid w:val="00E91F46"/>
    <w:rsid w:val="00E946A1"/>
    <w:rsid w:val="00EA06B9"/>
    <w:rsid w:val="00EA2415"/>
    <w:rsid w:val="00EB048A"/>
    <w:rsid w:val="00EB1ADD"/>
    <w:rsid w:val="00EB25E5"/>
    <w:rsid w:val="00EB28A3"/>
    <w:rsid w:val="00EB53C0"/>
    <w:rsid w:val="00ED7B4A"/>
    <w:rsid w:val="00EE4999"/>
    <w:rsid w:val="00EE69AF"/>
    <w:rsid w:val="00EF340D"/>
    <w:rsid w:val="00EF580E"/>
    <w:rsid w:val="00F00187"/>
    <w:rsid w:val="00F15AE2"/>
    <w:rsid w:val="00F34BF2"/>
    <w:rsid w:val="00F429FC"/>
    <w:rsid w:val="00F525FF"/>
    <w:rsid w:val="00F6471F"/>
    <w:rsid w:val="00F84132"/>
    <w:rsid w:val="00F857FB"/>
    <w:rsid w:val="00F858C9"/>
    <w:rsid w:val="00FA4739"/>
    <w:rsid w:val="00FA74A0"/>
    <w:rsid w:val="00FB1156"/>
    <w:rsid w:val="00FB2241"/>
    <w:rsid w:val="00FC45D7"/>
    <w:rsid w:val="00FD39D6"/>
    <w:rsid w:val="00FD4AF9"/>
    <w:rsid w:val="00FE001C"/>
    <w:rsid w:val="00FE621B"/>
    <w:rsid w:val="00FE76D8"/>
    <w:rsid w:val="00FF09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876DF-6A1C-4273-BD09-451DF23B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B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444EC"/>
    <w:pPr>
      <w:spacing w:after="200" w:line="276" w:lineRule="auto"/>
      <w:ind w:left="720"/>
      <w:contextualSpacing/>
    </w:pPr>
    <w:rPr>
      <w:rFonts w:ascii="Calibri" w:eastAsia="Times New Roman" w:hAnsi="Calibri" w:cs="Times New Roman"/>
      <w:lang w:val="es-ES"/>
    </w:rPr>
  </w:style>
  <w:style w:type="character" w:customStyle="1" w:styleId="PrrafodelistaCar">
    <w:name w:val="Párrafo de lista Car"/>
    <w:link w:val="Prrafodelista"/>
    <w:uiPriority w:val="34"/>
    <w:rsid w:val="009444EC"/>
    <w:rPr>
      <w:rFonts w:ascii="Calibri" w:eastAsia="Times New Roman" w:hAnsi="Calibri" w:cs="Times New Roman"/>
      <w:lang w:val="es-ES"/>
    </w:rPr>
  </w:style>
  <w:style w:type="table" w:styleId="Tablaconcuadrcula">
    <w:name w:val="Table Grid"/>
    <w:basedOn w:val="Tablanormal"/>
    <w:uiPriority w:val="39"/>
    <w:rsid w:val="00EA0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ULO">
    <w:name w:val="ARTICULO"/>
    <w:basedOn w:val="Normal"/>
    <w:next w:val="Normal"/>
    <w:uiPriority w:val="99"/>
    <w:rsid w:val="00742977"/>
    <w:pPr>
      <w:autoSpaceDE w:val="0"/>
      <w:autoSpaceDN w:val="0"/>
      <w:adjustRightInd w:val="0"/>
      <w:spacing w:after="0" w:line="240" w:lineRule="auto"/>
    </w:pPr>
    <w:rPr>
      <w:rFonts w:ascii="Times New Roman" w:hAnsi="Times New Roman" w:cs="Times New Roman"/>
      <w:sz w:val="24"/>
      <w:szCs w:val="24"/>
    </w:rPr>
  </w:style>
  <w:style w:type="paragraph" w:styleId="Textonotapie">
    <w:name w:val="footnote text"/>
    <w:basedOn w:val="Normal"/>
    <w:link w:val="TextonotapieCar"/>
    <w:semiHidden/>
    <w:rsid w:val="00B8731E"/>
    <w:pPr>
      <w:spacing w:after="0" w:line="240" w:lineRule="auto"/>
      <w:jc w:val="both"/>
    </w:pPr>
    <w:rPr>
      <w:rFonts w:ascii="Arial" w:eastAsia="Times New Roman" w:hAnsi="Arial" w:cs="Times New Roman"/>
      <w:sz w:val="24"/>
      <w:szCs w:val="20"/>
      <w:lang w:val="es-ES_tradnl" w:eastAsia="es-ES"/>
    </w:rPr>
  </w:style>
  <w:style w:type="character" w:customStyle="1" w:styleId="TextonotapieCar">
    <w:name w:val="Texto nota pie Car"/>
    <w:basedOn w:val="Fuentedeprrafopredeter"/>
    <w:link w:val="Textonotapie"/>
    <w:semiHidden/>
    <w:rsid w:val="00B8731E"/>
    <w:rPr>
      <w:rFonts w:ascii="Arial" w:eastAsia="Times New Roman" w:hAnsi="Arial" w:cs="Times New Roman"/>
      <w:sz w:val="24"/>
      <w:szCs w:val="20"/>
      <w:lang w:val="es-ES_tradnl" w:eastAsia="es-ES"/>
    </w:rPr>
  </w:style>
  <w:style w:type="numbering" w:customStyle="1" w:styleId="Estilo2">
    <w:name w:val="Estilo2"/>
    <w:rsid w:val="00B8731E"/>
    <w:pPr>
      <w:numPr>
        <w:numId w:val="9"/>
      </w:numPr>
    </w:pPr>
  </w:style>
  <w:style w:type="paragraph" w:styleId="NormalWeb">
    <w:name w:val="Normal (Web)"/>
    <w:basedOn w:val="Normal"/>
    <w:uiPriority w:val="99"/>
    <w:semiHidden/>
    <w:unhideWhenUsed/>
    <w:rsid w:val="006E0F94"/>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5467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7C1"/>
    <w:rPr>
      <w:rFonts w:ascii="Tahoma" w:hAnsi="Tahoma" w:cs="Tahoma"/>
      <w:sz w:val="16"/>
      <w:szCs w:val="16"/>
    </w:rPr>
  </w:style>
  <w:style w:type="paragraph" w:styleId="Encabezado">
    <w:name w:val="header"/>
    <w:basedOn w:val="Normal"/>
    <w:link w:val="EncabezadoCar"/>
    <w:uiPriority w:val="99"/>
    <w:semiHidden/>
    <w:unhideWhenUsed/>
    <w:rsid w:val="00297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97BAB"/>
  </w:style>
  <w:style w:type="paragraph" w:styleId="Piedepgina">
    <w:name w:val="footer"/>
    <w:basedOn w:val="Normal"/>
    <w:link w:val="PiedepginaCar"/>
    <w:uiPriority w:val="99"/>
    <w:semiHidden/>
    <w:unhideWhenUsed/>
    <w:rsid w:val="00297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97BAB"/>
  </w:style>
  <w:style w:type="paragraph" w:styleId="Textoindependiente2">
    <w:name w:val="Body Text 2"/>
    <w:basedOn w:val="Normal"/>
    <w:link w:val="Textoindependiente2Car"/>
    <w:unhideWhenUsed/>
    <w:rsid w:val="00960229"/>
    <w:pPr>
      <w:spacing w:after="120" w:line="480" w:lineRule="auto"/>
    </w:pPr>
    <w:rPr>
      <w:rFonts w:ascii="Calibri" w:eastAsia="Calibri" w:hAnsi="Calibri" w:cs="Times New Roman"/>
      <w:sz w:val="20"/>
      <w:szCs w:val="20"/>
      <w:lang w:val="x-none" w:eastAsia="x-none"/>
    </w:rPr>
  </w:style>
  <w:style w:type="character" w:customStyle="1" w:styleId="Textoindependiente2Car">
    <w:name w:val="Texto independiente 2 Car"/>
    <w:basedOn w:val="Fuentedeprrafopredeter"/>
    <w:link w:val="Textoindependiente2"/>
    <w:rsid w:val="00960229"/>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44971">
      <w:bodyDiv w:val="1"/>
      <w:marLeft w:val="0"/>
      <w:marRight w:val="0"/>
      <w:marTop w:val="0"/>
      <w:marBottom w:val="0"/>
      <w:divBdr>
        <w:top w:val="none" w:sz="0" w:space="0" w:color="auto"/>
        <w:left w:val="none" w:sz="0" w:space="0" w:color="auto"/>
        <w:bottom w:val="none" w:sz="0" w:space="0" w:color="auto"/>
        <w:right w:val="none" w:sz="0" w:space="0" w:color="auto"/>
      </w:divBdr>
    </w:div>
    <w:div w:id="270553245">
      <w:bodyDiv w:val="1"/>
      <w:marLeft w:val="0"/>
      <w:marRight w:val="0"/>
      <w:marTop w:val="0"/>
      <w:marBottom w:val="0"/>
      <w:divBdr>
        <w:top w:val="none" w:sz="0" w:space="0" w:color="auto"/>
        <w:left w:val="none" w:sz="0" w:space="0" w:color="auto"/>
        <w:bottom w:val="none" w:sz="0" w:space="0" w:color="auto"/>
        <w:right w:val="none" w:sz="0" w:space="0" w:color="auto"/>
      </w:divBdr>
      <w:divsChild>
        <w:div w:id="968784410">
          <w:marLeft w:val="547"/>
          <w:marRight w:val="0"/>
          <w:marTop w:val="0"/>
          <w:marBottom w:val="120"/>
          <w:divBdr>
            <w:top w:val="none" w:sz="0" w:space="0" w:color="auto"/>
            <w:left w:val="none" w:sz="0" w:space="0" w:color="auto"/>
            <w:bottom w:val="none" w:sz="0" w:space="0" w:color="auto"/>
            <w:right w:val="none" w:sz="0" w:space="0" w:color="auto"/>
          </w:divBdr>
        </w:div>
        <w:div w:id="1745180362">
          <w:marLeft w:val="547"/>
          <w:marRight w:val="0"/>
          <w:marTop w:val="0"/>
          <w:marBottom w:val="120"/>
          <w:divBdr>
            <w:top w:val="none" w:sz="0" w:space="0" w:color="auto"/>
            <w:left w:val="none" w:sz="0" w:space="0" w:color="auto"/>
            <w:bottom w:val="none" w:sz="0" w:space="0" w:color="auto"/>
            <w:right w:val="none" w:sz="0" w:space="0" w:color="auto"/>
          </w:divBdr>
        </w:div>
        <w:div w:id="1180006612">
          <w:marLeft w:val="547"/>
          <w:marRight w:val="0"/>
          <w:marTop w:val="0"/>
          <w:marBottom w:val="120"/>
          <w:divBdr>
            <w:top w:val="none" w:sz="0" w:space="0" w:color="auto"/>
            <w:left w:val="none" w:sz="0" w:space="0" w:color="auto"/>
            <w:bottom w:val="none" w:sz="0" w:space="0" w:color="auto"/>
            <w:right w:val="none" w:sz="0" w:space="0" w:color="auto"/>
          </w:divBdr>
        </w:div>
        <w:div w:id="1245070952">
          <w:marLeft w:val="547"/>
          <w:marRight w:val="0"/>
          <w:marTop w:val="0"/>
          <w:marBottom w:val="120"/>
          <w:divBdr>
            <w:top w:val="none" w:sz="0" w:space="0" w:color="auto"/>
            <w:left w:val="none" w:sz="0" w:space="0" w:color="auto"/>
            <w:bottom w:val="none" w:sz="0" w:space="0" w:color="auto"/>
            <w:right w:val="none" w:sz="0" w:space="0" w:color="auto"/>
          </w:divBdr>
        </w:div>
      </w:divsChild>
    </w:div>
    <w:div w:id="452864119">
      <w:bodyDiv w:val="1"/>
      <w:marLeft w:val="0"/>
      <w:marRight w:val="0"/>
      <w:marTop w:val="0"/>
      <w:marBottom w:val="0"/>
      <w:divBdr>
        <w:top w:val="none" w:sz="0" w:space="0" w:color="auto"/>
        <w:left w:val="none" w:sz="0" w:space="0" w:color="auto"/>
        <w:bottom w:val="none" w:sz="0" w:space="0" w:color="auto"/>
        <w:right w:val="none" w:sz="0" w:space="0" w:color="auto"/>
      </w:divBdr>
    </w:div>
    <w:div w:id="828862273">
      <w:bodyDiv w:val="1"/>
      <w:marLeft w:val="0"/>
      <w:marRight w:val="0"/>
      <w:marTop w:val="0"/>
      <w:marBottom w:val="0"/>
      <w:divBdr>
        <w:top w:val="none" w:sz="0" w:space="0" w:color="auto"/>
        <w:left w:val="none" w:sz="0" w:space="0" w:color="auto"/>
        <w:bottom w:val="none" w:sz="0" w:space="0" w:color="auto"/>
        <w:right w:val="none" w:sz="0" w:space="0" w:color="auto"/>
      </w:divBdr>
      <w:divsChild>
        <w:div w:id="91165785">
          <w:marLeft w:val="547"/>
          <w:marRight w:val="0"/>
          <w:marTop w:val="0"/>
          <w:marBottom w:val="120"/>
          <w:divBdr>
            <w:top w:val="none" w:sz="0" w:space="0" w:color="auto"/>
            <w:left w:val="none" w:sz="0" w:space="0" w:color="auto"/>
            <w:bottom w:val="none" w:sz="0" w:space="0" w:color="auto"/>
            <w:right w:val="none" w:sz="0" w:space="0" w:color="auto"/>
          </w:divBdr>
        </w:div>
      </w:divsChild>
    </w:div>
    <w:div w:id="842089851">
      <w:bodyDiv w:val="1"/>
      <w:marLeft w:val="0"/>
      <w:marRight w:val="0"/>
      <w:marTop w:val="0"/>
      <w:marBottom w:val="0"/>
      <w:divBdr>
        <w:top w:val="none" w:sz="0" w:space="0" w:color="auto"/>
        <w:left w:val="none" w:sz="0" w:space="0" w:color="auto"/>
        <w:bottom w:val="none" w:sz="0" w:space="0" w:color="auto"/>
        <w:right w:val="none" w:sz="0" w:space="0" w:color="auto"/>
      </w:divBdr>
      <w:divsChild>
        <w:div w:id="797261525">
          <w:marLeft w:val="806"/>
          <w:marRight w:val="0"/>
          <w:marTop w:val="0"/>
          <w:marBottom w:val="120"/>
          <w:divBdr>
            <w:top w:val="none" w:sz="0" w:space="0" w:color="auto"/>
            <w:left w:val="none" w:sz="0" w:space="0" w:color="auto"/>
            <w:bottom w:val="none" w:sz="0" w:space="0" w:color="auto"/>
            <w:right w:val="none" w:sz="0" w:space="0" w:color="auto"/>
          </w:divBdr>
        </w:div>
        <w:div w:id="1340503928">
          <w:marLeft w:val="806"/>
          <w:marRight w:val="0"/>
          <w:marTop w:val="0"/>
          <w:marBottom w:val="120"/>
          <w:divBdr>
            <w:top w:val="none" w:sz="0" w:space="0" w:color="auto"/>
            <w:left w:val="none" w:sz="0" w:space="0" w:color="auto"/>
            <w:bottom w:val="none" w:sz="0" w:space="0" w:color="auto"/>
            <w:right w:val="none" w:sz="0" w:space="0" w:color="auto"/>
          </w:divBdr>
        </w:div>
        <w:div w:id="1014115356">
          <w:marLeft w:val="806"/>
          <w:marRight w:val="0"/>
          <w:marTop w:val="0"/>
          <w:marBottom w:val="120"/>
          <w:divBdr>
            <w:top w:val="none" w:sz="0" w:space="0" w:color="auto"/>
            <w:left w:val="none" w:sz="0" w:space="0" w:color="auto"/>
            <w:bottom w:val="none" w:sz="0" w:space="0" w:color="auto"/>
            <w:right w:val="none" w:sz="0" w:space="0" w:color="auto"/>
          </w:divBdr>
        </w:div>
      </w:divsChild>
    </w:div>
    <w:div w:id="918752974">
      <w:bodyDiv w:val="1"/>
      <w:marLeft w:val="0"/>
      <w:marRight w:val="0"/>
      <w:marTop w:val="0"/>
      <w:marBottom w:val="0"/>
      <w:divBdr>
        <w:top w:val="none" w:sz="0" w:space="0" w:color="auto"/>
        <w:left w:val="none" w:sz="0" w:space="0" w:color="auto"/>
        <w:bottom w:val="none" w:sz="0" w:space="0" w:color="auto"/>
        <w:right w:val="none" w:sz="0" w:space="0" w:color="auto"/>
      </w:divBdr>
      <w:divsChild>
        <w:div w:id="1824542888">
          <w:marLeft w:val="547"/>
          <w:marRight w:val="0"/>
          <w:marTop w:val="120"/>
          <w:marBottom w:val="120"/>
          <w:divBdr>
            <w:top w:val="none" w:sz="0" w:space="0" w:color="auto"/>
            <w:left w:val="none" w:sz="0" w:space="0" w:color="auto"/>
            <w:bottom w:val="none" w:sz="0" w:space="0" w:color="auto"/>
            <w:right w:val="none" w:sz="0" w:space="0" w:color="auto"/>
          </w:divBdr>
        </w:div>
        <w:div w:id="1362970972">
          <w:marLeft w:val="547"/>
          <w:marRight w:val="0"/>
          <w:marTop w:val="120"/>
          <w:marBottom w:val="120"/>
          <w:divBdr>
            <w:top w:val="none" w:sz="0" w:space="0" w:color="auto"/>
            <w:left w:val="none" w:sz="0" w:space="0" w:color="auto"/>
            <w:bottom w:val="none" w:sz="0" w:space="0" w:color="auto"/>
            <w:right w:val="none" w:sz="0" w:space="0" w:color="auto"/>
          </w:divBdr>
        </w:div>
        <w:div w:id="1011226065">
          <w:marLeft w:val="547"/>
          <w:marRight w:val="0"/>
          <w:marTop w:val="120"/>
          <w:marBottom w:val="120"/>
          <w:divBdr>
            <w:top w:val="none" w:sz="0" w:space="0" w:color="auto"/>
            <w:left w:val="none" w:sz="0" w:space="0" w:color="auto"/>
            <w:bottom w:val="none" w:sz="0" w:space="0" w:color="auto"/>
            <w:right w:val="none" w:sz="0" w:space="0" w:color="auto"/>
          </w:divBdr>
        </w:div>
        <w:div w:id="540946710">
          <w:marLeft w:val="547"/>
          <w:marRight w:val="0"/>
          <w:marTop w:val="120"/>
          <w:marBottom w:val="120"/>
          <w:divBdr>
            <w:top w:val="none" w:sz="0" w:space="0" w:color="auto"/>
            <w:left w:val="none" w:sz="0" w:space="0" w:color="auto"/>
            <w:bottom w:val="none" w:sz="0" w:space="0" w:color="auto"/>
            <w:right w:val="none" w:sz="0" w:space="0" w:color="auto"/>
          </w:divBdr>
        </w:div>
      </w:divsChild>
    </w:div>
    <w:div w:id="1051685974">
      <w:bodyDiv w:val="1"/>
      <w:marLeft w:val="0"/>
      <w:marRight w:val="0"/>
      <w:marTop w:val="0"/>
      <w:marBottom w:val="0"/>
      <w:divBdr>
        <w:top w:val="none" w:sz="0" w:space="0" w:color="auto"/>
        <w:left w:val="none" w:sz="0" w:space="0" w:color="auto"/>
        <w:bottom w:val="none" w:sz="0" w:space="0" w:color="auto"/>
        <w:right w:val="none" w:sz="0" w:space="0" w:color="auto"/>
      </w:divBdr>
      <w:divsChild>
        <w:div w:id="1395621501">
          <w:marLeft w:val="547"/>
          <w:marRight w:val="0"/>
          <w:marTop w:val="0"/>
          <w:marBottom w:val="0"/>
          <w:divBdr>
            <w:top w:val="none" w:sz="0" w:space="0" w:color="auto"/>
            <w:left w:val="none" w:sz="0" w:space="0" w:color="auto"/>
            <w:bottom w:val="none" w:sz="0" w:space="0" w:color="auto"/>
            <w:right w:val="none" w:sz="0" w:space="0" w:color="auto"/>
          </w:divBdr>
        </w:div>
      </w:divsChild>
    </w:div>
    <w:div w:id="1055396746">
      <w:bodyDiv w:val="1"/>
      <w:marLeft w:val="0"/>
      <w:marRight w:val="0"/>
      <w:marTop w:val="0"/>
      <w:marBottom w:val="0"/>
      <w:divBdr>
        <w:top w:val="none" w:sz="0" w:space="0" w:color="auto"/>
        <w:left w:val="none" w:sz="0" w:space="0" w:color="auto"/>
        <w:bottom w:val="none" w:sz="0" w:space="0" w:color="auto"/>
        <w:right w:val="none" w:sz="0" w:space="0" w:color="auto"/>
      </w:divBdr>
      <w:divsChild>
        <w:div w:id="484668368">
          <w:marLeft w:val="720"/>
          <w:marRight w:val="0"/>
          <w:marTop w:val="0"/>
          <w:marBottom w:val="120"/>
          <w:divBdr>
            <w:top w:val="none" w:sz="0" w:space="0" w:color="auto"/>
            <w:left w:val="none" w:sz="0" w:space="0" w:color="auto"/>
            <w:bottom w:val="none" w:sz="0" w:space="0" w:color="auto"/>
            <w:right w:val="none" w:sz="0" w:space="0" w:color="auto"/>
          </w:divBdr>
        </w:div>
        <w:div w:id="357851528">
          <w:marLeft w:val="720"/>
          <w:marRight w:val="0"/>
          <w:marTop w:val="0"/>
          <w:marBottom w:val="120"/>
          <w:divBdr>
            <w:top w:val="none" w:sz="0" w:space="0" w:color="auto"/>
            <w:left w:val="none" w:sz="0" w:space="0" w:color="auto"/>
            <w:bottom w:val="none" w:sz="0" w:space="0" w:color="auto"/>
            <w:right w:val="none" w:sz="0" w:space="0" w:color="auto"/>
          </w:divBdr>
        </w:div>
      </w:divsChild>
    </w:div>
    <w:div w:id="1241988876">
      <w:bodyDiv w:val="1"/>
      <w:marLeft w:val="0"/>
      <w:marRight w:val="0"/>
      <w:marTop w:val="0"/>
      <w:marBottom w:val="0"/>
      <w:divBdr>
        <w:top w:val="none" w:sz="0" w:space="0" w:color="auto"/>
        <w:left w:val="none" w:sz="0" w:space="0" w:color="auto"/>
        <w:bottom w:val="none" w:sz="0" w:space="0" w:color="auto"/>
        <w:right w:val="none" w:sz="0" w:space="0" w:color="auto"/>
      </w:divBdr>
    </w:div>
    <w:div w:id="1256130684">
      <w:bodyDiv w:val="1"/>
      <w:marLeft w:val="0"/>
      <w:marRight w:val="0"/>
      <w:marTop w:val="0"/>
      <w:marBottom w:val="0"/>
      <w:divBdr>
        <w:top w:val="none" w:sz="0" w:space="0" w:color="auto"/>
        <w:left w:val="none" w:sz="0" w:space="0" w:color="auto"/>
        <w:bottom w:val="none" w:sz="0" w:space="0" w:color="auto"/>
        <w:right w:val="none" w:sz="0" w:space="0" w:color="auto"/>
      </w:divBdr>
      <w:divsChild>
        <w:div w:id="676663240">
          <w:marLeft w:val="806"/>
          <w:marRight w:val="0"/>
          <w:marTop w:val="0"/>
          <w:marBottom w:val="120"/>
          <w:divBdr>
            <w:top w:val="none" w:sz="0" w:space="0" w:color="auto"/>
            <w:left w:val="none" w:sz="0" w:space="0" w:color="auto"/>
            <w:bottom w:val="none" w:sz="0" w:space="0" w:color="auto"/>
            <w:right w:val="none" w:sz="0" w:space="0" w:color="auto"/>
          </w:divBdr>
        </w:div>
        <w:div w:id="178550708">
          <w:marLeft w:val="806"/>
          <w:marRight w:val="0"/>
          <w:marTop w:val="0"/>
          <w:marBottom w:val="120"/>
          <w:divBdr>
            <w:top w:val="none" w:sz="0" w:space="0" w:color="auto"/>
            <w:left w:val="none" w:sz="0" w:space="0" w:color="auto"/>
            <w:bottom w:val="none" w:sz="0" w:space="0" w:color="auto"/>
            <w:right w:val="none" w:sz="0" w:space="0" w:color="auto"/>
          </w:divBdr>
        </w:div>
        <w:div w:id="1743796948">
          <w:marLeft w:val="806"/>
          <w:marRight w:val="0"/>
          <w:marTop w:val="0"/>
          <w:marBottom w:val="120"/>
          <w:divBdr>
            <w:top w:val="none" w:sz="0" w:space="0" w:color="auto"/>
            <w:left w:val="none" w:sz="0" w:space="0" w:color="auto"/>
            <w:bottom w:val="none" w:sz="0" w:space="0" w:color="auto"/>
            <w:right w:val="none" w:sz="0" w:space="0" w:color="auto"/>
          </w:divBdr>
        </w:div>
        <w:div w:id="1831285222">
          <w:marLeft w:val="806"/>
          <w:marRight w:val="0"/>
          <w:marTop w:val="0"/>
          <w:marBottom w:val="120"/>
          <w:divBdr>
            <w:top w:val="none" w:sz="0" w:space="0" w:color="auto"/>
            <w:left w:val="none" w:sz="0" w:space="0" w:color="auto"/>
            <w:bottom w:val="none" w:sz="0" w:space="0" w:color="auto"/>
            <w:right w:val="none" w:sz="0" w:space="0" w:color="auto"/>
          </w:divBdr>
        </w:div>
      </w:divsChild>
    </w:div>
    <w:div w:id="1417440438">
      <w:bodyDiv w:val="1"/>
      <w:marLeft w:val="0"/>
      <w:marRight w:val="0"/>
      <w:marTop w:val="0"/>
      <w:marBottom w:val="0"/>
      <w:divBdr>
        <w:top w:val="none" w:sz="0" w:space="0" w:color="auto"/>
        <w:left w:val="none" w:sz="0" w:space="0" w:color="auto"/>
        <w:bottom w:val="none" w:sz="0" w:space="0" w:color="auto"/>
        <w:right w:val="none" w:sz="0" w:space="0" w:color="auto"/>
      </w:divBdr>
    </w:div>
    <w:div w:id="1600914108">
      <w:bodyDiv w:val="1"/>
      <w:marLeft w:val="0"/>
      <w:marRight w:val="0"/>
      <w:marTop w:val="0"/>
      <w:marBottom w:val="0"/>
      <w:divBdr>
        <w:top w:val="none" w:sz="0" w:space="0" w:color="auto"/>
        <w:left w:val="none" w:sz="0" w:space="0" w:color="auto"/>
        <w:bottom w:val="none" w:sz="0" w:space="0" w:color="auto"/>
        <w:right w:val="none" w:sz="0" w:space="0" w:color="auto"/>
      </w:divBdr>
      <w:divsChild>
        <w:div w:id="469136777">
          <w:marLeft w:val="547"/>
          <w:marRight w:val="0"/>
          <w:marTop w:val="0"/>
          <w:marBottom w:val="0"/>
          <w:divBdr>
            <w:top w:val="none" w:sz="0" w:space="0" w:color="auto"/>
            <w:left w:val="none" w:sz="0" w:space="0" w:color="auto"/>
            <w:bottom w:val="none" w:sz="0" w:space="0" w:color="auto"/>
            <w:right w:val="none" w:sz="0" w:space="0" w:color="auto"/>
          </w:divBdr>
        </w:div>
        <w:div w:id="1401437695">
          <w:marLeft w:val="547"/>
          <w:marRight w:val="0"/>
          <w:marTop w:val="0"/>
          <w:marBottom w:val="0"/>
          <w:divBdr>
            <w:top w:val="none" w:sz="0" w:space="0" w:color="auto"/>
            <w:left w:val="none" w:sz="0" w:space="0" w:color="auto"/>
            <w:bottom w:val="none" w:sz="0" w:space="0" w:color="auto"/>
            <w:right w:val="none" w:sz="0" w:space="0" w:color="auto"/>
          </w:divBdr>
        </w:div>
        <w:div w:id="488446687">
          <w:marLeft w:val="547"/>
          <w:marRight w:val="0"/>
          <w:marTop w:val="0"/>
          <w:marBottom w:val="0"/>
          <w:divBdr>
            <w:top w:val="none" w:sz="0" w:space="0" w:color="auto"/>
            <w:left w:val="none" w:sz="0" w:space="0" w:color="auto"/>
            <w:bottom w:val="none" w:sz="0" w:space="0" w:color="auto"/>
            <w:right w:val="none" w:sz="0" w:space="0" w:color="auto"/>
          </w:divBdr>
        </w:div>
        <w:div w:id="958026633">
          <w:marLeft w:val="547"/>
          <w:marRight w:val="0"/>
          <w:marTop w:val="0"/>
          <w:marBottom w:val="0"/>
          <w:divBdr>
            <w:top w:val="none" w:sz="0" w:space="0" w:color="auto"/>
            <w:left w:val="none" w:sz="0" w:space="0" w:color="auto"/>
            <w:bottom w:val="none" w:sz="0" w:space="0" w:color="auto"/>
            <w:right w:val="none" w:sz="0" w:space="0" w:color="auto"/>
          </w:divBdr>
        </w:div>
        <w:div w:id="1169297732">
          <w:marLeft w:val="547"/>
          <w:marRight w:val="0"/>
          <w:marTop w:val="0"/>
          <w:marBottom w:val="0"/>
          <w:divBdr>
            <w:top w:val="none" w:sz="0" w:space="0" w:color="auto"/>
            <w:left w:val="none" w:sz="0" w:space="0" w:color="auto"/>
            <w:bottom w:val="none" w:sz="0" w:space="0" w:color="auto"/>
            <w:right w:val="none" w:sz="0" w:space="0" w:color="auto"/>
          </w:divBdr>
        </w:div>
      </w:divsChild>
    </w:div>
    <w:div w:id="1824079167">
      <w:bodyDiv w:val="1"/>
      <w:marLeft w:val="0"/>
      <w:marRight w:val="0"/>
      <w:marTop w:val="0"/>
      <w:marBottom w:val="0"/>
      <w:divBdr>
        <w:top w:val="none" w:sz="0" w:space="0" w:color="auto"/>
        <w:left w:val="none" w:sz="0" w:space="0" w:color="auto"/>
        <w:bottom w:val="none" w:sz="0" w:space="0" w:color="auto"/>
        <w:right w:val="none" w:sz="0" w:space="0" w:color="auto"/>
      </w:divBdr>
    </w:div>
    <w:div w:id="1939677925">
      <w:bodyDiv w:val="1"/>
      <w:marLeft w:val="0"/>
      <w:marRight w:val="0"/>
      <w:marTop w:val="0"/>
      <w:marBottom w:val="0"/>
      <w:divBdr>
        <w:top w:val="none" w:sz="0" w:space="0" w:color="auto"/>
        <w:left w:val="none" w:sz="0" w:space="0" w:color="auto"/>
        <w:bottom w:val="none" w:sz="0" w:space="0" w:color="auto"/>
        <w:right w:val="none" w:sz="0" w:space="0" w:color="auto"/>
      </w:divBdr>
      <w:divsChild>
        <w:div w:id="1164780456">
          <w:marLeft w:val="720"/>
          <w:marRight w:val="0"/>
          <w:marTop w:val="0"/>
          <w:marBottom w:val="120"/>
          <w:divBdr>
            <w:top w:val="none" w:sz="0" w:space="0" w:color="auto"/>
            <w:left w:val="none" w:sz="0" w:space="0" w:color="auto"/>
            <w:bottom w:val="none" w:sz="0" w:space="0" w:color="auto"/>
            <w:right w:val="none" w:sz="0" w:space="0" w:color="auto"/>
          </w:divBdr>
        </w:div>
        <w:div w:id="627005065">
          <w:marLeft w:val="720"/>
          <w:marRight w:val="0"/>
          <w:marTop w:val="0"/>
          <w:marBottom w:val="120"/>
          <w:divBdr>
            <w:top w:val="none" w:sz="0" w:space="0" w:color="auto"/>
            <w:left w:val="none" w:sz="0" w:space="0" w:color="auto"/>
            <w:bottom w:val="none" w:sz="0" w:space="0" w:color="auto"/>
            <w:right w:val="none" w:sz="0" w:space="0" w:color="auto"/>
          </w:divBdr>
        </w:div>
      </w:divsChild>
    </w:div>
    <w:div w:id="1964194121">
      <w:bodyDiv w:val="1"/>
      <w:marLeft w:val="0"/>
      <w:marRight w:val="0"/>
      <w:marTop w:val="0"/>
      <w:marBottom w:val="0"/>
      <w:divBdr>
        <w:top w:val="none" w:sz="0" w:space="0" w:color="auto"/>
        <w:left w:val="none" w:sz="0" w:space="0" w:color="auto"/>
        <w:bottom w:val="none" w:sz="0" w:space="0" w:color="auto"/>
        <w:right w:val="none" w:sz="0" w:space="0" w:color="auto"/>
      </w:divBdr>
    </w:div>
    <w:div w:id="205272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DD46-216C-45BD-BA8B-EC7DC5AF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2658</Words>
  <Characters>14619</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dc:creator>
  <cp:keywords/>
  <dc:description/>
  <cp:lastModifiedBy>Asd</cp:lastModifiedBy>
  <cp:revision>13</cp:revision>
  <dcterms:created xsi:type="dcterms:W3CDTF">2023-02-06T17:43:00Z</dcterms:created>
  <dcterms:modified xsi:type="dcterms:W3CDTF">2023-06-28T23:42:00Z</dcterms:modified>
</cp:coreProperties>
</file>