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3753D">
        <w:rPr>
          <w:rFonts w:ascii="Arial" w:hAnsi="Arial" w:cs="Arial"/>
          <w:b/>
          <w:sz w:val="22"/>
          <w:szCs w:val="22"/>
        </w:rPr>
        <w:t>dici</w:t>
      </w:r>
      <w:r w:rsidR="00853A72">
        <w:rPr>
          <w:rFonts w:ascii="Arial" w:hAnsi="Arial" w:cs="Arial"/>
          <w:b/>
          <w:sz w:val="22"/>
          <w:szCs w:val="22"/>
        </w:rPr>
        <w:t>em</w:t>
      </w:r>
      <w:r w:rsidR="00E32408">
        <w:rPr>
          <w:rFonts w:ascii="Arial" w:hAnsi="Arial" w:cs="Arial"/>
          <w:b/>
          <w:sz w:val="22"/>
          <w:szCs w:val="22"/>
        </w:rPr>
        <w:t>bre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853A72">
        <w:rPr>
          <w:rFonts w:ascii="Arial" w:hAnsi="Arial" w:cs="Arial"/>
          <w:sz w:val="22"/>
          <w:szCs w:val="22"/>
          <w:u w:val="single"/>
        </w:rPr>
        <w:t>2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7C4BA4" w:rsidRDefault="00520EEA" w:rsidP="007C4BA4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95A" w:rsidRPr="0099353E" w:rsidRDefault="00911A9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7C4BA4" w:rsidP="007C4BA4">
            <w:pPr>
              <w:pStyle w:val="Prrafodelista"/>
              <w:numPr>
                <w:ilvl w:val="0"/>
                <w:numId w:val="23"/>
              </w:numPr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Asesoramiento y control 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C4BA4"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 xml:space="preserve">as dos </w:t>
            </w:r>
            <w:r w:rsidR="00403C13">
              <w:rPr>
                <w:color w:val="000000"/>
                <w:sz w:val="22"/>
                <w:szCs w:val="22"/>
              </w:rPr>
              <w:t>réplicas</w:t>
            </w:r>
            <w:r>
              <w:rPr>
                <w:color w:val="000000"/>
                <w:sz w:val="22"/>
                <w:szCs w:val="22"/>
              </w:rPr>
              <w:t xml:space="preserve"> del</w:t>
            </w:r>
            <w:r w:rsidRPr="007C4BA4">
              <w:rPr>
                <w:color w:val="000000"/>
                <w:sz w:val="22"/>
                <w:szCs w:val="22"/>
              </w:rPr>
              <w:t xml:space="preserve"> experimento: Determinación de la viabilidad bacteriana en Azofert-F+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Pectimorf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temperatura fría. Tarea del proyecto “Nuevos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Bioestimulantes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oligosacarinas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>”, que tributa además a la tesis de una  estudiante de doctorado.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E45856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7C4BA4" w:rsidP="00AC1C06">
            <w:pPr>
              <w:pStyle w:val="Prrafodelista"/>
              <w:numPr>
                <w:ilvl w:val="0"/>
                <w:numId w:val="23"/>
              </w:numPr>
              <w:ind w:left="714" w:hanging="357"/>
              <w:jc w:val="both"/>
              <w:rPr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Diseño, asesoramiento y control del experimento:</w:t>
            </w:r>
            <w:r w:rsidR="00403C13">
              <w:rPr>
                <w:color w:val="000000"/>
                <w:sz w:val="22"/>
                <w:szCs w:val="22"/>
              </w:rPr>
              <w:t xml:space="preserve"> </w:t>
            </w:r>
            <w:r w:rsidR="00403C13" w:rsidRPr="007C4BA4">
              <w:rPr>
                <w:color w:val="000000"/>
                <w:sz w:val="22"/>
                <w:szCs w:val="22"/>
              </w:rPr>
              <w:t xml:space="preserve">Determinación de la viabilidad bacteriana </w:t>
            </w:r>
            <w:r w:rsidR="00403C13">
              <w:rPr>
                <w:color w:val="000000"/>
                <w:sz w:val="22"/>
                <w:szCs w:val="22"/>
              </w:rPr>
              <w:t xml:space="preserve">de </w:t>
            </w:r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03C13" w:rsidRPr="007C4BA4">
              <w:rPr>
                <w:i/>
                <w:color w:val="000000"/>
                <w:sz w:val="22"/>
                <w:szCs w:val="22"/>
              </w:rPr>
              <w:t>Rizobium</w:t>
            </w:r>
            <w:proofErr w:type="spellEnd"/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403C13" w:rsidRPr="007C4BA4">
              <w:rPr>
                <w:sz w:val="22"/>
                <w:szCs w:val="22"/>
              </w:rPr>
              <w:t xml:space="preserve"> </w:t>
            </w:r>
            <w:proofErr w:type="spellStart"/>
            <w:r w:rsidR="00403C13" w:rsidRPr="007C4BA4">
              <w:rPr>
                <w:rStyle w:val="CitaHTML"/>
                <w:rFonts w:cs="Arial"/>
                <w:sz w:val="22"/>
                <w:szCs w:val="22"/>
              </w:rPr>
              <w:t>tropici</w:t>
            </w:r>
            <w:proofErr w:type="spellEnd"/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403C13">
              <w:rPr>
                <w:color w:val="000000"/>
                <w:sz w:val="22"/>
                <w:szCs w:val="22"/>
              </w:rPr>
              <w:t>CIAT 899 sobre semillas de frijol conservadas a temperatura ambiente</w:t>
            </w:r>
            <w:r w:rsidR="00403C13" w:rsidRPr="007C4BA4">
              <w:rPr>
                <w:color w:val="000000"/>
                <w:sz w:val="22"/>
                <w:szCs w:val="22"/>
              </w:rPr>
              <w:t xml:space="preserve"> </w:t>
            </w:r>
            <w:r w:rsidR="00403C13">
              <w:rPr>
                <w:color w:val="000000"/>
                <w:sz w:val="22"/>
                <w:szCs w:val="22"/>
              </w:rPr>
              <w:t>(IV repetición del ensayo)</w:t>
            </w:r>
            <w:r w:rsidRPr="007C4BA4">
              <w:rPr>
                <w:color w:val="000000"/>
                <w:sz w:val="22"/>
                <w:szCs w:val="22"/>
              </w:rPr>
              <w:t xml:space="preserve">. Tarea del proyecto “Nuevos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Bioestimulantes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oligosacarinas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>”, que tributa además a la tesis de una  estudiante de doctorado.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99353E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403C13" w:rsidP="00AC1C06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“Mantenimiento y conservación del cepario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99353E" w:rsidRDefault="007C4BA4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C1C06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06" w:rsidRPr="00AC1C06" w:rsidRDefault="00AC1C06" w:rsidP="00AC1C06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AC1C06">
              <w:rPr>
                <w:color w:val="000000"/>
                <w:sz w:val="22"/>
                <w:szCs w:val="22"/>
              </w:rPr>
              <w:t>Participación en el “Curso de capacitación para el uso de tecnologías NIRS en los programas de Mejoramiento Genético”.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1C06" w:rsidRPr="0099353E" w:rsidRDefault="00AC1C06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C1C06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06" w:rsidRPr="00AC1C06" w:rsidRDefault="00AC1C06" w:rsidP="00AC1C06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1C06">
              <w:rPr>
                <w:rFonts w:ascii="Arial" w:hAnsi="Arial" w:cs="Arial"/>
                <w:color w:val="000000"/>
                <w:sz w:val="22"/>
                <w:szCs w:val="22"/>
              </w:rPr>
              <w:t xml:space="preserve">Intercambio con productores en San Nicolás sobre las bondades del biofertilizante Azofert®. 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1C06" w:rsidRPr="0099353E" w:rsidRDefault="00AC1C06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C1C06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1C06" w:rsidRDefault="00AC1C06" w:rsidP="00AC1C06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AC1C06">
              <w:rPr>
                <w:b/>
                <w:sz w:val="22"/>
                <w:szCs w:val="22"/>
              </w:rPr>
              <w:t>Impactos del mes</w:t>
            </w:r>
          </w:p>
          <w:p w:rsidR="00AC1C06" w:rsidRPr="00AC1C06" w:rsidRDefault="00AC1C06" w:rsidP="00AC1C06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</w:p>
          <w:p w:rsidR="00AC1C06" w:rsidRPr="00AC1C06" w:rsidRDefault="00AC1C06" w:rsidP="00AC1C06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1C06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Participación en el “Curso de capacitación para el uso de tecnologías NIRS en los programas de Mejoramiento Genético”.</w:t>
            </w:r>
          </w:p>
          <w:p w:rsidR="00AC1C06" w:rsidRPr="00AC1C06" w:rsidRDefault="00AC1C06" w:rsidP="00AC1C06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1C0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Intercambio con productores en San Nicolás sobre las bondades del biofertilizante Azofert®.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AC1C06" w:rsidRPr="00AC1C06" w:rsidRDefault="00AC1C06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1C06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1C06" w:rsidRPr="00A62507" w:rsidRDefault="00AC1C06" w:rsidP="00AC1C06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AC1C06" w:rsidRPr="0099353E" w:rsidRDefault="00AC1C06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1C06" w:rsidRPr="0099353E">
        <w:trPr>
          <w:trHeight w:val="260"/>
        </w:trPr>
        <w:tc>
          <w:tcPr>
            <w:tcW w:w="3920" w:type="dxa"/>
          </w:tcPr>
          <w:p w:rsidR="00AC1C06" w:rsidRPr="0099353E" w:rsidRDefault="00AC1C06" w:rsidP="00AC1C0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AC1C06" w:rsidRPr="0099353E" w:rsidRDefault="00AC1C06" w:rsidP="00AC1C06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AC1C06" w:rsidRPr="0099353E">
        <w:trPr>
          <w:trHeight w:val="233"/>
        </w:trPr>
        <w:tc>
          <w:tcPr>
            <w:tcW w:w="3920" w:type="dxa"/>
          </w:tcPr>
          <w:p w:rsidR="00AC1C06" w:rsidRPr="0099353E" w:rsidRDefault="00AC1C06" w:rsidP="00AC1C06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AC1C06" w:rsidRPr="0099353E" w:rsidRDefault="00AC1C06" w:rsidP="00AC1C06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BD034B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7E00F0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AC1C06">
              <w:rPr>
                <w:rFonts w:ascii="Arial" w:hAnsi="Arial" w:cs="Arial"/>
                <w:sz w:val="22"/>
                <w:szCs w:val="22"/>
              </w:rPr>
              <w:t>2, 3, 5</w:t>
            </w:r>
          </w:p>
        </w:tc>
        <w:tc>
          <w:tcPr>
            <w:tcW w:w="2186" w:type="dxa"/>
          </w:tcPr>
          <w:p w:rsidR="00BD034B" w:rsidRPr="00703FCE" w:rsidRDefault="007E00F0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AC1C0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:rsidR="00BD034B" w:rsidRPr="00703FCE" w:rsidRDefault="007E00F0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C1C0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BD034B" w:rsidRPr="00703FCE" w:rsidRDefault="007E00F0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AC1C0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63" w:type="dxa"/>
          </w:tcPr>
          <w:p w:rsidR="00BD034B" w:rsidRPr="00703FCE" w:rsidRDefault="007E00F0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AC1C06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00082C" w:rsidRPr="00703FCE" w:rsidRDefault="0000082C" w:rsidP="00AC1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AC1C0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403C13" w:rsidRPr="00E45856" w:rsidTr="00206120">
        <w:trPr>
          <w:trHeight w:val="340"/>
        </w:trPr>
        <w:tc>
          <w:tcPr>
            <w:tcW w:w="1954" w:type="dxa"/>
          </w:tcPr>
          <w:p w:rsidR="00403C13" w:rsidRPr="00703FCE" w:rsidRDefault="00403C13" w:rsidP="00403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86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340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1843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03C13" w:rsidRPr="00E45856" w:rsidTr="00206120">
        <w:trPr>
          <w:trHeight w:val="340"/>
        </w:trPr>
        <w:tc>
          <w:tcPr>
            <w:tcW w:w="1954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86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340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1843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F6081"/>
    <w:multiLevelType w:val="hybridMultilevel"/>
    <w:tmpl w:val="24808A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22002"/>
    <w:multiLevelType w:val="hybridMultilevel"/>
    <w:tmpl w:val="036828E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9833DC7"/>
    <w:multiLevelType w:val="hybridMultilevel"/>
    <w:tmpl w:val="85DEF8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82E9F"/>
    <w:multiLevelType w:val="hybridMultilevel"/>
    <w:tmpl w:val="84DC4B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021482"/>
    <w:multiLevelType w:val="hybridMultilevel"/>
    <w:tmpl w:val="08D65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5"/>
  </w:num>
  <w:num w:numId="4">
    <w:abstractNumId w:val="9"/>
  </w:num>
  <w:num w:numId="5">
    <w:abstractNumId w:val="5"/>
  </w:num>
  <w:num w:numId="6">
    <w:abstractNumId w:val="0"/>
  </w:num>
  <w:num w:numId="7">
    <w:abstractNumId w:val="24"/>
  </w:num>
  <w:num w:numId="8">
    <w:abstractNumId w:val="8"/>
  </w:num>
  <w:num w:numId="9">
    <w:abstractNumId w:val="18"/>
  </w:num>
  <w:num w:numId="10">
    <w:abstractNumId w:val="1"/>
  </w:num>
  <w:num w:numId="11">
    <w:abstractNumId w:val="13"/>
  </w:num>
  <w:num w:numId="12">
    <w:abstractNumId w:val="7"/>
  </w:num>
  <w:num w:numId="13">
    <w:abstractNumId w:val="4"/>
  </w:num>
  <w:num w:numId="14">
    <w:abstractNumId w:val="20"/>
  </w:num>
  <w:num w:numId="15">
    <w:abstractNumId w:val="23"/>
  </w:num>
  <w:num w:numId="16">
    <w:abstractNumId w:val="14"/>
  </w:num>
  <w:num w:numId="17">
    <w:abstractNumId w:val="11"/>
  </w:num>
  <w:num w:numId="18">
    <w:abstractNumId w:val="25"/>
  </w:num>
  <w:num w:numId="19">
    <w:abstractNumId w:val="19"/>
  </w:num>
  <w:num w:numId="20">
    <w:abstractNumId w:val="2"/>
  </w:num>
  <w:num w:numId="21">
    <w:abstractNumId w:val="3"/>
  </w:num>
  <w:num w:numId="22">
    <w:abstractNumId w:val="17"/>
  </w:num>
  <w:num w:numId="23">
    <w:abstractNumId w:val="6"/>
  </w:num>
  <w:num w:numId="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61F"/>
    <w:rsid w:val="000069D2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1F2892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3C13"/>
    <w:rsid w:val="00407AE6"/>
    <w:rsid w:val="00423932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4BA4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53A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3753D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C1C06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967E4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styleId="CitaHTML">
    <w:name w:val="HTML Cite"/>
    <w:uiPriority w:val="99"/>
    <w:rsid w:val="007C4BA4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styleId="CitaHTML">
    <w:name w:val="HTML Cite"/>
    <w:uiPriority w:val="99"/>
    <w:rsid w:val="007C4BA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2023-01-20T07:11:00Z</dcterms:created>
  <dcterms:modified xsi:type="dcterms:W3CDTF">2023-01-20T07:16:00Z</dcterms:modified>
</cp:coreProperties>
</file>