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E94" w:rsidRDefault="00425E94" w:rsidP="00561736">
      <w:pPr>
        <w:pStyle w:val="Textocomentario"/>
        <w:jc w:val="both"/>
        <w:rPr>
          <w:rFonts w:ascii="Arial" w:hAnsi="Arial" w:cs="Arial"/>
          <w:b/>
          <w:sz w:val="24"/>
          <w:szCs w:val="24"/>
          <w:lang w:val="es-ES"/>
        </w:rPr>
      </w:pPr>
      <w:r>
        <w:rPr>
          <w:rFonts w:ascii="Arial" w:hAnsi="Arial" w:cs="Arial"/>
          <w:b/>
          <w:sz w:val="24"/>
          <w:szCs w:val="24"/>
          <w:lang w:val="es-ES"/>
        </w:rPr>
        <w:t>REVISION BIBLIOGRAFICA</w:t>
      </w:r>
    </w:p>
    <w:p w:rsidR="00C9719C" w:rsidRPr="00A02E13" w:rsidRDefault="00C9719C" w:rsidP="00561736">
      <w:pPr>
        <w:pStyle w:val="Textocomentario"/>
        <w:jc w:val="both"/>
        <w:rPr>
          <w:rFonts w:ascii="Arial" w:hAnsi="Arial" w:cs="Arial"/>
          <w:b/>
          <w:sz w:val="24"/>
          <w:szCs w:val="24"/>
          <w:lang w:val="es-ES"/>
        </w:rPr>
      </w:pPr>
      <w:r w:rsidRPr="00A02E13">
        <w:rPr>
          <w:rFonts w:ascii="Arial" w:hAnsi="Arial" w:cs="Arial"/>
          <w:b/>
          <w:sz w:val="24"/>
          <w:szCs w:val="24"/>
          <w:lang w:val="es-ES"/>
        </w:rPr>
        <w:t>Influencia de las prácticas de manejo en agroecosistema</w:t>
      </w:r>
      <w:r w:rsidR="00DD7A5C">
        <w:rPr>
          <w:rFonts w:ascii="Arial" w:hAnsi="Arial" w:cs="Arial"/>
          <w:b/>
          <w:sz w:val="24"/>
          <w:szCs w:val="24"/>
          <w:lang w:val="es-ES"/>
        </w:rPr>
        <w:t>s</w:t>
      </w:r>
      <w:r w:rsidRPr="00A02E13">
        <w:rPr>
          <w:rFonts w:ascii="Arial" w:hAnsi="Arial" w:cs="Arial"/>
          <w:b/>
          <w:sz w:val="24"/>
          <w:szCs w:val="24"/>
          <w:lang w:val="es-ES"/>
        </w:rPr>
        <w:t xml:space="preserve"> sobre los ácaros depredadores. </w:t>
      </w:r>
    </w:p>
    <w:p w:rsidR="000E15BC" w:rsidRPr="00A02E13" w:rsidRDefault="00C9719C" w:rsidP="00561736">
      <w:pPr>
        <w:spacing w:after="0" w:line="240" w:lineRule="auto"/>
        <w:jc w:val="both"/>
        <w:rPr>
          <w:rFonts w:ascii="Arial" w:hAnsi="Arial" w:cs="Arial"/>
          <w:b/>
          <w:sz w:val="24"/>
          <w:szCs w:val="24"/>
          <w:lang w:val="en-US"/>
        </w:rPr>
      </w:pPr>
      <w:r w:rsidRPr="00A02E13">
        <w:rPr>
          <w:rFonts w:ascii="Arial" w:hAnsi="Arial" w:cs="Arial"/>
          <w:b/>
          <w:sz w:val="24"/>
          <w:szCs w:val="24"/>
          <w:lang w:val="en-US"/>
        </w:rPr>
        <w:t>Influence of agroecosystem management practices on predatory mites.</w:t>
      </w:r>
    </w:p>
    <w:p w:rsidR="00C9719C" w:rsidRPr="00A02E13" w:rsidRDefault="00C9719C" w:rsidP="00561736">
      <w:pPr>
        <w:spacing w:after="0" w:line="240" w:lineRule="auto"/>
        <w:jc w:val="both"/>
        <w:rPr>
          <w:rFonts w:ascii="Arial" w:hAnsi="Arial" w:cs="Arial"/>
          <w:b/>
          <w:sz w:val="24"/>
          <w:szCs w:val="24"/>
          <w:lang w:val="en-US"/>
        </w:rPr>
      </w:pPr>
    </w:p>
    <w:p w:rsidR="000E15BC" w:rsidRPr="00A02E13" w:rsidRDefault="00FC40BE" w:rsidP="00561736">
      <w:pPr>
        <w:spacing w:after="0" w:line="240" w:lineRule="auto"/>
        <w:jc w:val="both"/>
        <w:rPr>
          <w:rFonts w:ascii="Arial" w:hAnsi="Arial" w:cs="Arial"/>
          <w:sz w:val="24"/>
          <w:szCs w:val="24"/>
        </w:rPr>
      </w:pPr>
      <w:r w:rsidRPr="00561736">
        <w:rPr>
          <w:rFonts w:ascii="Arial" w:hAnsi="Arial" w:cs="Arial"/>
          <w:b/>
          <w:sz w:val="24"/>
          <w:szCs w:val="24"/>
        </w:rPr>
        <w:t xml:space="preserve">Autores: </w:t>
      </w:r>
      <w:r w:rsidRPr="00A02E13">
        <w:rPr>
          <w:rFonts w:ascii="Arial" w:hAnsi="Arial" w:cs="Arial"/>
          <w:sz w:val="24"/>
          <w:szCs w:val="24"/>
        </w:rPr>
        <w:t>Yadelin Hernández Acosta, Omar Cartaya y Yaisys Blanco</w:t>
      </w:r>
    </w:p>
    <w:p w:rsidR="000E15BC" w:rsidRPr="00A02E13" w:rsidRDefault="0082380F" w:rsidP="00561736">
      <w:pPr>
        <w:spacing w:after="0" w:line="240" w:lineRule="auto"/>
        <w:jc w:val="both"/>
        <w:rPr>
          <w:rFonts w:ascii="Arial" w:hAnsi="Arial" w:cs="Arial"/>
          <w:color w:val="0070C0"/>
          <w:sz w:val="24"/>
          <w:szCs w:val="24"/>
          <w:u w:val="single"/>
        </w:rPr>
      </w:pPr>
      <w:r>
        <w:rPr>
          <w:rFonts w:ascii="Arial" w:hAnsi="Arial" w:cs="Arial"/>
          <w:sz w:val="24"/>
          <w:szCs w:val="24"/>
        </w:rPr>
        <w:t xml:space="preserve">1- </w:t>
      </w:r>
      <w:r w:rsidR="00FC40BE" w:rsidRPr="00A02E13">
        <w:rPr>
          <w:rFonts w:ascii="Arial" w:hAnsi="Arial" w:cs="Arial"/>
          <w:sz w:val="24"/>
          <w:szCs w:val="24"/>
        </w:rPr>
        <w:t xml:space="preserve">70 % de participación Ingeniera agrónoma. Reserva científica. Departamento de Fisiología Vegetal. Carretera de Tapaste,, km 3½, San José de las Lajas, Mayabeque, Cuba.  </w:t>
      </w:r>
      <w:hyperlink r:id="rId8" w:history="1">
        <w:r w:rsidR="00FC40BE" w:rsidRPr="00A02E13">
          <w:rPr>
            <w:rStyle w:val="Hipervnculo"/>
            <w:rFonts w:ascii="Arial" w:hAnsi="Arial" w:cs="Arial"/>
            <w:color w:val="0070C0"/>
            <w:sz w:val="24"/>
            <w:szCs w:val="24"/>
          </w:rPr>
          <w:t>y.hernandezacosta@inca.edu.cu</w:t>
        </w:r>
      </w:hyperlink>
      <w:r w:rsidR="00FC40BE" w:rsidRPr="00A02E13">
        <w:rPr>
          <w:rFonts w:ascii="Arial" w:hAnsi="Arial" w:cs="Arial"/>
          <w:sz w:val="24"/>
          <w:szCs w:val="24"/>
        </w:rPr>
        <w:t xml:space="preserve">, </w:t>
      </w:r>
      <w:hyperlink r:id="rId9" w:history="1">
        <w:r w:rsidR="00FC40BE" w:rsidRPr="00A02E13">
          <w:rPr>
            <w:rStyle w:val="Hipervnculo"/>
            <w:rFonts w:ascii="Arial" w:hAnsi="Arial" w:cs="Arial"/>
            <w:sz w:val="24"/>
            <w:szCs w:val="24"/>
          </w:rPr>
          <w:t>http://orcid.org/0000-0002-3335-9218</w:t>
        </w:r>
      </w:hyperlink>
    </w:p>
    <w:p w:rsidR="000E15BC" w:rsidRPr="00A02E13" w:rsidRDefault="000E15BC" w:rsidP="00561736">
      <w:pPr>
        <w:spacing w:after="0" w:line="240" w:lineRule="auto"/>
        <w:jc w:val="both"/>
        <w:rPr>
          <w:rFonts w:ascii="Arial" w:hAnsi="Arial" w:cs="Arial"/>
          <w:color w:val="0070C0"/>
          <w:sz w:val="24"/>
          <w:szCs w:val="24"/>
          <w:u w:val="single"/>
        </w:rPr>
      </w:pPr>
    </w:p>
    <w:p w:rsidR="000E15BC" w:rsidRDefault="00FC40BE" w:rsidP="00561736">
      <w:pPr>
        <w:spacing w:after="0" w:line="240" w:lineRule="auto"/>
        <w:jc w:val="both"/>
        <w:rPr>
          <w:rStyle w:val="Hipervnculo"/>
          <w:rFonts w:ascii="Arial" w:hAnsi="Arial" w:cs="Arial"/>
          <w:sz w:val="24"/>
          <w:szCs w:val="24"/>
        </w:rPr>
      </w:pPr>
      <w:r w:rsidRPr="00A02E13">
        <w:rPr>
          <w:rFonts w:ascii="Arial" w:hAnsi="Arial" w:cs="Arial"/>
          <w:sz w:val="24"/>
          <w:szCs w:val="24"/>
        </w:rPr>
        <w:t>1- 15 % de participación,   Doctor en Ciencias Agrícolas, Investigador Auxiliar, Departamento de Fisiología y Bioquímica Vegetal, Instituto Nacional de Ciencias Agrícolas (INCA), carretera de Tapaste km 3½</w:t>
      </w:r>
      <w:r w:rsidRPr="00A02E13">
        <w:rPr>
          <w:rFonts w:ascii="Arial" w:hAnsi="Arial" w:cs="Arial"/>
          <w:sz w:val="24"/>
          <w:szCs w:val="24"/>
          <w:vertAlign w:val="subscript"/>
        </w:rPr>
        <w:t xml:space="preserve">, </w:t>
      </w:r>
      <w:r w:rsidRPr="00A02E13">
        <w:rPr>
          <w:rFonts w:ascii="Arial" w:hAnsi="Arial" w:cs="Arial"/>
          <w:sz w:val="24"/>
          <w:szCs w:val="24"/>
        </w:rPr>
        <w:t xml:space="preserve">San José de las Lajas, Mayabeque, Cuba, gaveta postal no., CP 32700, </w:t>
      </w:r>
      <w:hyperlink r:id="rId10" w:history="1">
        <w:r w:rsidRPr="00A02E13">
          <w:rPr>
            <w:rStyle w:val="Hipervnculo"/>
            <w:rFonts w:ascii="Arial" w:hAnsi="Arial" w:cs="Arial"/>
            <w:sz w:val="24"/>
            <w:szCs w:val="24"/>
          </w:rPr>
          <w:t>ocartaya@inca.edu.cu</w:t>
        </w:r>
      </w:hyperlink>
      <w:r w:rsidRPr="00A02E13">
        <w:rPr>
          <w:rFonts w:ascii="Arial" w:hAnsi="Arial" w:cs="Arial"/>
          <w:sz w:val="24"/>
          <w:szCs w:val="24"/>
        </w:rPr>
        <w:t xml:space="preserve"> , </w:t>
      </w:r>
      <w:hyperlink r:id="rId11" w:history="1">
        <w:r w:rsidRPr="00A02E13">
          <w:rPr>
            <w:rStyle w:val="Hipervnculo"/>
            <w:rFonts w:ascii="Arial" w:hAnsi="Arial" w:cs="Arial"/>
            <w:sz w:val="24"/>
            <w:szCs w:val="24"/>
          </w:rPr>
          <w:t>https://orcid.org/0000-0001-7436-0437</w:t>
        </w:r>
      </w:hyperlink>
    </w:p>
    <w:p w:rsidR="00561736" w:rsidRPr="00A02E13" w:rsidRDefault="00561736" w:rsidP="00561736">
      <w:pPr>
        <w:spacing w:after="0" w:line="240" w:lineRule="auto"/>
        <w:jc w:val="both"/>
        <w:rPr>
          <w:rFonts w:ascii="Arial" w:hAnsi="Arial" w:cs="Arial"/>
          <w:sz w:val="24"/>
          <w:szCs w:val="24"/>
        </w:rPr>
      </w:pPr>
    </w:p>
    <w:p w:rsidR="000E15BC" w:rsidRPr="00A02E13" w:rsidRDefault="00FC40BE" w:rsidP="00561736">
      <w:pPr>
        <w:spacing w:line="240" w:lineRule="auto"/>
        <w:jc w:val="both"/>
        <w:rPr>
          <w:rFonts w:ascii="Arial" w:hAnsi="Arial" w:cs="Arial"/>
          <w:sz w:val="24"/>
          <w:szCs w:val="24"/>
        </w:rPr>
      </w:pPr>
      <w:r w:rsidRPr="00A02E13">
        <w:rPr>
          <w:rFonts w:ascii="Arial" w:hAnsi="Arial" w:cs="Arial"/>
          <w:sz w:val="24"/>
          <w:szCs w:val="24"/>
        </w:rPr>
        <w:t>1- 15 % de participación,   Doctora en Ciencias Agrícolas, Investigadora Auxiliar, Departamento de Manejo de Agroecosistemas Sostenibles, Instituto Nacional de Ciencias Agrícolas(INCA), carretera de Tapaste km 3½</w:t>
      </w:r>
      <w:r w:rsidRPr="00A02E13">
        <w:rPr>
          <w:rFonts w:ascii="Arial" w:hAnsi="Arial" w:cs="Arial"/>
          <w:sz w:val="24"/>
          <w:szCs w:val="24"/>
          <w:vertAlign w:val="subscript"/>
        </w:rPr>
        <w:t xml:space="preserve">, </w:t>
      </w:r>
      <w:r w:rsidRPr="00A02E13">
        <w:rPr>
          <w:rFonts w:ascii="Arial" w:hAnsi="Arial" w:cs="Arial"/>
          <w:sz w:val="24"/>
          <w:szCs w:val="24"/>
        </w:rPr>
        <w:t xml:space="preserve">San José de las Lajas, Mayabeque, Cuba, gaveta postal no., CP 32700, </w:t>
      </w:r>
      <w:hyperlink r:id="rId12" w:history="1">
        <w:r w:rsidRPr="00A02E13">
          <w:rPr>
            <w:rStyle w:val="Hipervnculo"/>
            <w:rFonts w:ascii="Arial" w:hAnsi="Arial" w:cs="Arial"/>
            <w:sz w:val="24"/>
            <w:szCs w:val="24"/>
          </w:rPr>
          <w:t>yblanco@inca.edu.cu</w:t>
        </w:r>
      </w:hyperlink>
      <w:r w:rsidRPr="00A02E13">
        <w:rPr>
          <w:rFonts w:ascii="Arial" w:hAnsi="Arial" w:cs="Arial"/>
          <w:sz w:val="24"/>
          <w:szCs w:val="24"/>
        </w:rPr>
        <w:t xml:space="preserve"> , </w:t>
      </w:r>
      <w:hyperlink r:id="rId13" w:history="1">
        <w:r w:rsidRPr="00A02E13">
          <w:rPr>
            <w:rStyle w:val="Hipervnculo"/>
            <w:rFonts w:ascii="Arial" w:hAnsi="Arial" w:cs="Arial"/>
            <w:sz w:val="24"/>
            <w:szCs w:val="24"/>
          </w:rPr>
          <w:t>https://orcid.org/0000-0002-6325-1005</w:t>
        </w:r>
      </w:hyperlink>
    </w:p>
    <w:p w:rsidR="000E15BC" w:rsidRPr="00A02E13" w:rsidRDefault="000E15BC" w:rsidP="00561736">
      <w:pPr>
        <w:spacing w:after="0" w:line="240" w:lineRule="auto"/>
        <w:jc w:val="both"/>
        <w:rPr>
          <w:rFonts w:ascii="Arial" w:hAnsi="Arial" w:cs="Arial"/>
          <w:b/>
          <w:sz w:val="24"/>
          <w:szCs w:val="24"/>
        </w:rPr>
      </w:pPr>
    </w:p>
    <w:p w:rsidR="000E15BC" w:rsidRPr="00A02E13" w:rsidRDefault="00FC40BE" w:rsidP="00561736">
      <w:pPr>
        <w:spacing w:after="0" w:line="240" w:lineRule="auto"/>
        <w:jc w:val="both"/>
        <w:rPr>
          <w:rFonts w:ascii="Arial" w:hAnsi="Arial" w:cs="Arial"/>
          <w:b/>
          <w:sz w:val="24"/>
          <w:szCs w:val="24"/>
        </w:rPr>
      </w:pPr>
      <w:r w:rsidRPr="00A02E13">
        <w:rPr>
          <w:rFonts w:ascii="Arial" w:hAnsi="Arial" w:cs="Arial"/>
          <w:b/>
          <w:sz w:val="24"/>
          <w:szCs w:val="24"/>
        </w:rPr>
        <w:t>Resumen:</w:t>
      </w:r>
    </w:p>
    <w:p w:rsidR="000E15BC" w:rsidRPr="00A02E13" w:rsidRDefault="00FC40BE" w:rsidP="00561736">
      <w:pPr>
        <w:spacing w:after="0" w:line="240" w:lineRule="auto"/>
        <w:jc w:val="both"/>
        <w:rPr>
          <w:rFonts w:ascii="Arial" w:hAnsi="Arial" w:cs="Arial"/>
          <w:sz w:val="24"/>
          <w:szCs w:val="24"/>
        </w:rPr>
      </w:pPr>
      <w:r w:rsidRPr="00A02E13">
        <w:rPr>
          <w:rFonts w:ascii="Arial" w:eastAsia="Times New Roman" w:hAnsi="Arial" w:cs="Arial"/>
          <w:sz w:val="24"/>
          <w:szCs w:val="24"/>
          <w:lang w:val="es-DO"/>
        </w:rPr>
        <w:t xml:space="preserve">Los ácaros de la familia Phytoseiidae han recibido una gran atención en las últimas décadas, debido a su potencial como agentes de control biológico de ácaros fitófagos, trips y moscas blancas, sobre varios cultivos. Sin embargo, existe un conocimiento limitado sobre </w:t>
      </w:r>
      <w:r w:rsidR="00A97B3D" w:rsidRPr="00A02E13">
        <w:rPr>
          <w:rFonts w:ascii="Arial" w:eastAsia="Times New Roman" w:hAnsi="Arial" w:cs="Arial"/>
          <w:sz w:val="24"/>
          <w:szCs w:val="24"/>
          <w:lang w:val="es-DO"/>
        </w:rPr>
        <w:t>la influencia</w:t>
      </w:r>
      <w:r w:rsidRPr="00A02E13">
        <w:rPr>
          <w:rFonts w:ascii="Arial" w:eastAsia="Times New Roman" w:hAnsi="Arial" w:cs="Arial"/>
          <w:sz w:val="24"/>
          <w:szCs w:val="24"/>
          <w:lang w:val="es-DO"/>
        </w:rPr>
        <w:t xml:space="preserve"> que las prácticas de manejo de los agroecosistemas</w:t>
      </w:r>
      <w:r w:rsidR="00C860FC">
        <w:rPr>
          <w:rFonts w:ascii="Arial" w:eastAsia="Times New Roman" w:hAnsi="Arial" w:cs="Arial"/>
          <w:sz w:val="24"/>
          <w:szCs w:val="24"/>
          <w:lang w:val="es-DO"/>
        </w:rPr>
        <w:t xml:space="preserve"> </w:t>
      </w:r>
      <w:r w:rsidRPr="00A02E13">
        <w:rPr>
          <w:rFonts w:ascii="Arial" w:eastAsia="Times New Roman" w:hAnsi="Arial" w:cs="Arial"/>
          <w:sz w:val="24"/>
          <w:szCs w:val="24"/>
          <w:lang w:val="es-DO"/>
        </w:rPr>
        <w:t>provocan sobre la diversidad de sus poblaciones, lo cual constituye el objetivo de la presente reseña</w:t>
      </w:r>
      <w:r w:rsidR="00A97B3D" w:rsidRPr="00A02E13">
        <w:rPr>
          <w:rFonts w:ascii="Arial" w:eastAsia="Times New Roman" w:hAnsi="Arial" w:cs="Arial"/>
          <w:sz w:val="24"/>
          <w:szCs w:val="24"/>
          <w:lang w:val="es-DO"/>
        </w:rPr>
        <w:t xml:space="preserve">. </w:t>
      </w:r>
      <w:r w:rsidRPr="00A02E13">
        <w:rPr>
          <w:rFonts w:ascii="Arial" w:hAnsi="Arial" w:cs="Arial"/>
          <w:sz w:val="24"/>
          <w:szCs w:val="24"/>
        </w:rPr>
        <w:t xml:space="preserve">El factor que más influye sobre los fitoseidos es la aplicación de plaguicidas de síntesis química para el control de plagas de los </w:t>
      </w:r>
      <w:r w:rsidR="004762E4" w:rsidRPr="00A02E13">
        <w:rPr>
          <w:rFonts w:ascii="Arial" w:hAnsi="Arial" w:cs="Arial"/>
          <w:sz w:val="24"/>
          <w:szCs w:val="24"/>
        </w:rPr>
        <w:t>cultivos.</w:t>
      </w:r>
      <w:r w:rsidRPr="00A02E13">
        <w:rPr>
          <w:rFonts w:ascii="Arial" w:hAnsi="Arial" w:cs="Arial"/>
          <w:sz w:val="24"/>
          <w:szCs w:val="24"/>
        </w:rPr>
        <w:t xml:space="preserve"> Mientras que el uso de cultivo de cobertura </w:t>
      </w:r>
      <w:r w:rsidRPr="00A02E13">
        <w:rPr>
          <w:rFonts w:ascii="Arial" w:eastAsia="Calibri" w:hAnsi="Arial" w:cs="Arial"/>
          <w:sz w:val="24"/>
          <w:szCs w:val="24"/>
        </w:rPr>
        <w:t>provee refugio y fuentes alternativas de polen y néctar a los depredadores, lo cual mejora la permanencia de los mismos en el campo, al igual las zonas no cultivadas adyacentes a los campos de cultivo o el incremento de la biodiversidad vegetal, por la utilización de policultivos o cultivos intercalados</w:t>
      </w:r>
      <w:r w:rsidRPr="00A02E13">
        <w:rPr>
          <w:rFonts w:ascii="Arial" w:hAnsi="Arial" w:cs="Arial"/>
          <w:sz w:val="24"/>
          <w:szCs w:val="24"/>
        </w:rPr>
        <w:t>. Por ello, e</w:t>
      </w:r>
      <w:r w:rsidR="004762E4" w:rsidRPr="00A02E13">
        <w:rPr>
          <w:rFonts w:ascii="Arial" w:hAnsi="Arial" w:cs="Arial"/>
          <w:sz w:val="24"/>
          <w:szCs w:val="24"/>
        </w:rPr>
        <w:t>l reconocimiento del impacto</w:t>
      </w:r>
      <w:r w:rsidRPr="00A02E13">
        <w:rPr>
          <w:rFonts w:ascii="Arial" w:hAnsi="Arial" w:cs="Arial"/>
          <w:sz w:val="24"/>
          <w:szCs w:val="24"/>
        </w:rPr>
        <w:t xml:space="preserve"> en la biodiversidad derivados de las ac</w:t>
      </w:r>
      <w:r w:rsidR="00C40E74" w:rsidRPr="00A02E13">
        <w:rPr>
          <w:rFonts w:ascii="Arial" w:hAnsi="Arial" w:cs="Arial"/>
          <w:sz w:val="24"/>
          <w:szCs w:val="24"/>
        </w:rPr>
        <w:t xml:space="preserve">tividades agrícolas ha llevado </w:t>
      </w:r>
      <w:r w:rsidRPr="00A02E13">
        <w:rPr>
          <w:rFonts w:ascii="Arial" w:hAnsi="Arial" w:cs="Arial"/>
          <w:sz w:val="24"/>
          <w:szCs w:val="24"/>
        </w:rPr>
        <w:t xml:space="preserve">a un mayor interés en métodos agrícolas más sostenibles, como la agricultura orgánica, esquemas agroambientales y agroforestales. </w:t>
      </w:r>
    </w:p>
    <w:p w:rsidR="00C9719C" w:rsidRPr="00A02E13" w:rsidRDefault="00FC40BE" w:rsidP="00561736">
      <w:pPr>
        <w:spacing w:line="240" w:lineRule="auto"/>
        <w:jc w:val="both"/>
        <w:rPr>
          <w:rFonts w:ascii="Arial" w:hAnsi="Arial" w:cs="Arial"/>
          <w:sz w:val="24"/>
          <w:szCs w:val="24"/>
        </w:rPr>
      </w:pPr>
      <w:r w:rsidRPr="00A02E13">
        <w:rPr>
          <w:rFonts w:ascii="Arial" w:hAnsi="Arial" w:cs="Arial"/>
          <w:b/>
          <w:sz w:val="24"/>
          <w:szCs w:val="24"/>
        </w:rPr>
        <w:t xml:space="preserve">Palabras clave: </w:t>
      </w:r>
      <w:r w:rsidR="00C9719C" w:rsidRPr="00A02E13">
        <w:rPr>
          <w:rFonts w:ascii="Arial" w:hAnsi="Arial" w:cs="Arial"/>
          <w:sz w:val="24"/>
          <w:szCs w:val="24"/>
        </w:rPr>
        <w:t>control biológico</w:t>
      </w:r>
      <w:r w:rsidRPr="00A02E13">
        <w:rPr>
          <w:rFonts w:ascii="Arial" w:hAnsi="Arial" w:cs="Arial"/>
          <w:b/>
          <w:sz w:val="24"/>
          <w:szCs w:val="24"/>
        </w:rPr>
        <w:t xml:space="preserve">, </w:t>
      </w:r>
      <w:r w:rsidR="00C9719C" w:rsidRPr="00A02E13">
        <w:rPr>
          <w:rFonts w:ascii="Arial" w:hAnsi="Arial" w:cs="Arial"/>
          <w:sz w:val="24"/>
          <w:szCs w:val="24"/>
        </w:rPr>
        <w:t xml:space="preserve">biodiversidad, </w:t>
      </w:r>
      <w:r w:rsidRPr="00A02E13">
        <w:rPr>
          <w:rFonts w:ascii="Arial" w:hAnsi="Arial" w:cs="Arial"/>
          <w:sz w:val="24"/>
          <w:szCs w:val="24"/>
        </w:rPr>
        <w:t>enemigos naturales.</w:t>
      </w:r>
    </w:p>
    <w:p w:rsidR="000E15BC" w:rsidRPr="00A02E13" w:rsidRDefault="00FC40BE" w:rsidP="00561736">
      <w:pPr>
        <w:spacing w:after="0" w:line="240" w:lineRule="auto"/>
        <w:jc w:val="both"/>
        <w:rPr>
          <w:rFonts w:ascii="Arial" w:hAnsi="Arial" w:cs="Arial"/>
          <w:b/>
          <w:sz w:val="24"/>
          <w:szCs w:val="24"/>
          <w:lang w:val="en-US"/>
        </w:rPr>
      </w:pPr>
      <w:r w:rsidRPr="00A02E13">
        <w:rPr>
          <w:rFonts w:ascii="Arial" w:hAnsi="Arial" w:cs="Arial"/>
          <w:b/>
          <w:sz w:val="24"/>
          <w:szCs w:val="24"/>
          <w:lang w:val="en-US"/>
        </w:rPr>
        <w:t>Abstract:</w:t>
      </w:r>
    </w:p>
    <w:p w:rsidR="00C206CB" w:rsidRPr="00A02E13" w:rsidRDefault="00C206CB" w:rsidP="0056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eastAsia="es-ES"/>
        </w:rPr>
      </w:pPr>
      <w:r w:rsidRPr="00425E94">
        <w:rPr>
          <w:rFonts w:ascii="Arial" w:eastAsia="Times New Roman" w:hAnsi="Arial" w:cs="Arial"/>
          <w:sz w:val="24"/>
          <w:szCs w:val="24"/>
          <w:lang w:val="en-US" w:eastAsia="es-ES"/>
        </w:rPr>
        <w:t xml:space="preserve">Mites of the Phytoseiidae family have received great attention in recent decades, due to their potential as biological control agents for phytophagous mites, thrips and whiteflies, on various crops. However, there is limited knowledge about the </w:t>
      </w:r>
      <w:r w:rsidRPr="00425E94">
        <w:rPr>
          <w:rFonts w:ascii="Arial" w:eastAsia="Times New Roman" w:hAnsi="Arial" w:cs="Arial"/>
          <w:sz w:val="24"/>
          <w:szCs w:val="24"/>
          <w:lang w:val="en-US" w:eastAsia="es-ES"/>
        </w:rPr>
        <w:lastRenderedPageBreak/>
        <w:t>influence that agroecosystem management practices have on the diversity of their populations, which is the objective of this review. The factor that most influences phytoseids is the application of chemical synthesis pesticides to control crop pests. While the use of cover cultivation provides shelter and alternative sources of pollen and nectar to predators, which improves their permanence in the field, as well as the non-cultivated areas adjacent to the cultivated fields or the increase of the plant biodiversity, by the use of polycultures or intercropping. Therefore, the recognition of the impact on biodiversity derived from agricultural activities has led to a greater interest in more sustainable agricultural methods, such as organic agriculture, agri-environmental and agroforestry schemes.</w:t>
      </w:r>
    </w:p>
    <w:p w:rsidR="000E15BC" w:rsidRPr="00A02E13" w:rsidRDefault="008C33D9" w:rsidP="00561736">
      <w:pPr>
        <w:spacing w:line="240" w:lineRule="auto"/>
        <w:jc w:val="both"/>
        <w:rPr>
          <w:rFonts w:ascii="Arial" w:hAnsi="Arial" w:cs="Arial"/>
          <w:b/>
          <w:sz w:val="24"/>
          <w:szCs w:val="24"/>
          <w:lang w:val="en-US"/>
        </w:rPr>
      </w:pPr>
      <w:r w:rsidRPr="00A02E13">
        <w:rPr>
          <w:rFonts w:ascii="Arial" w:hAnsi="Arial" w:cs="Arial"/>
          <w:b/>
          <w:sz w:val="24"/>
          <w:szCs w:val="24"/>
          <w:lang w:val="en-US"/>
        </w:rPr>
        <w:t xml:space="preserve">Key Word: </w:t>
      </w:r>
      <w:r w:rsidRPr="00A02E13">
        <w:rPr>
          <w:rFonts w:ascii="Arial" w:hAnsi="Arial" w:cs="Arial"/>
          <w:sz w:val="24"/>
          <w:szCs w:val="24"/>
          <w:lang w:val="en-US"/>
        </w:rPr>
        <w:t>biologic control, biodiversity, natural enemies</w:t>
      </w:r>
    </w:p>
    <w:p w:rsidR="004A7ADB" w:rsidRPr="00717825" w:rsidRDefault="00FC40BE" w:rsidP="001E1BC2">
      <w:pPr>
        <w:spacing w:after="0" w:line="240" w:lineRule="auto"/>
        <w:jc w:val="both"/>
        <w:rPr>
          <w:rFonts w:ascii="Arial" w:hAnsi="Arial" w:cs="Arial"/>
          <w:b/>
          <w:sz w:val="24"/>
          <w:szCs w:val="24"/>
        </w:rPr>
      </w:pPr>
      <w:r w:rsidRPr="00717825">
        <w:rPr>
          <w:rFonts w:ascii="Arial" w:hAnsi="Arial" w:cs="Arial"/>
          <w:b/>
          <w:sz w:val="24"/>
          <w:szCs w:val="24"/>
        </w:rPr>
        <w:t>INTRODUCCIÓN</w:t>
      </w:r>
    </w:p>
    <w:p w:rsidR="00A11CE5" w:rsidRPr="00717825" w:rsidRDefault="00A11CE5" w:rsidP="00561736">
      <w:pPr>
        <w:autoSpaceDE w:val="0"/>
        <w:autoSpaceDN w:val="0"/>
        <w:adjustRightInd w:val="0"/>
        <w:spacing w:line="240" w:lineRule="auto"/>
        <w:jc w:val="both"/>
        <w:rPr>
          <w:rFonts w:ascii="Arial" w:eastAsia="Batang" w:hAnsi="Arial" w:cs="Arial"/>
          <w:sz w:val="24"/>
          <w:szCs w:val="24"/>
        </w:rPr>
      </w:pPr>
      <w:r w:rsidRPr="00717825">
        <w:rPr>
          <w:rFonts w:ascii="Arial" w:hAnsi="Arial" w:cs="Arial"/>
          <w:sz w:val="24"/>
          <w:szCs w:val="24"/>
        </w:rPr>
        <w:t>La agricultura tradicional basada en altos niveles de insumos químicos, tales como plaguicidas y fertilizantes, provoca serios impactos ambientales, riesgos a la salud y pérdida de la biodiversidad (</w:t>
      </w:r>
      <w:r w:rsidR="004764E8">
        <w:rPr>
          <w:rFonts w:ascii="Arial" w:hAnsi="Arial" w:cs="Arial"/>
          <w:sz w:val="24"/>
          <w:szCs w:val="24"/>
        </w:rPr>
        <w:t>1</w:t>
      </w:r>
      <w:r w:rsidRPr="00717825">
        <w:rPr>
          <w:rFonts w:ascii="Arial" w:hAnsi="Arial" w:cs="Arial"/>
          <w:sz w:val="24"/>
          <w:szCs w:val="24"/>
        </w:rPr>
        <w:t xml:space="preserve">). </w:t>
      </w:r>
      <w:r w:rsidRPr="00717825">
        <w:rPr>
          <w:rFonts w:ascii="Arial" w:eastAsia="Batang" w:hAnsi="Arial" w:cs="Arial"/>
          <w:sz w:val="24"/>
          <w:szCs w:val="24"/>
        </w:rPr>
        <w:t>Los monocultivos son ambientes particularmente hostiles para los enemigos naturales, por lo que las comunidades de depredadores, parasitoides y patógenos de insectos solo son encontrados en la vegetación ruderal más resistentes a los disturbios (</w:t>
      </w:r>
      <w:r w:rsidR="004764E8">
        <w:rPr>
          <w:rFonts w:ascii="Arial" w:eastAsia="Batang" w:hAnsi="Arial" w:cs="Arial"/>
          <w:sz w:val="24"/>
          <w:szCs w:val="24"/>
        </w:rPr>
        <w:t>2</w:t>
      </w:r>
      <w:r w:rsidRPr="00717825">
        <w:rPr>
          <w:rFonts w:ascii="Arial" w:eastAsia="Batang" w:hAnsi="Arial" w:cs="Arial"/>
          <w:sz w:val="24"/>
          <w:szCs w:val="24"/>
        </w:rPr>
        <w:t xml:space="preserve">; </w:t>
      </w:r>
      <w:r w:rsidR="00A72EDE">
        <w:rPr>
          <w:rFonts w:ascii="Arial" w:eastAsia="Batang" w:hAnsi="Arial" w:cs="Arial"/>
          <w:sz w:val="24"/>
          <w:szCs w:val="24"/>
        </w:rPr>
        <w:t>3</w:t>
      </w:r>
      <w:r w:rsidRPr="00717825">
        <w:rPr>
          <w:rFonts w:ascii="Arial" w:eastAsia="Batang" w:hAnsi="Arial" w:cs="Arial"/>
          <w:sz w:val="24"/>
          <w:szCs w:val="24"/>
        </w:rPr>
        <w:t>). Las evidencias sugieren que cuando declina la diversidad de los enemigos naturales generalmente se debilita el control biológico (</w:t>
      </w:r>
      <w:r w:rsidR="00A72EDE">
        <w:rPr>
          <w:rFonts w:ascii="Arial" w:eastAsia="Batang" w:hAnsi="Arial" w:cs="Arial"/>
          <w:sz w:val="24"/>
          <w:szCs w:val="24"/>
        </w:rPr>
        <w:t>4</w:t>
      </w:r>
      <w:r w:rsidRPr="00717825">
        <w:rPr>
          <w:rFonts w:ascii="Arial" w:eastAsia="Batang" w:hAnsi="Arial" w:cs="Arial"/>
          <w:sz w:val="24"/>
          <w:szCs w:val="24"/>
        </w:rPr>
        <w:t xml:space="preserve">). </w:t>
      </w:r>
    </w:p>
    <w:p w:rsidR="00A11CE5" w:rsidRPr="00717825" w:rsidRDefault="00A11CE5" w:rsidP="00561736">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La pérdida de la diversidad biológica ha sido identificada, en la Estrategia Ambiental Nacional (2016-2020) (</w:t>
      </w:r>
      <w:r w:rsidR="00A72EDE">
        <w:rPr>
          <w:rFonts w:ascii="Arial" w:hAnsi="Arial" w:cs="Arial"/>
          <w:sz w:val="24"/>
          <w:szCs w:val="24"/>
        </w:rPr>
        <w:t>5</w:t>
      </w:r>
      <w:r w:rsidRPr="00717825">
        <w:rPr>
          <w:rFonts w:ascii="Arial" w:hAnsi="Arial" w:cs="Arial"/>
          <w:sz w:val="24"/>
          <w:szCs w:val="24"/>
        </w:rPr>
        <w:t>), como uno de los principales problemas ambientales de nuestro país, razón por la cual entre sus objetivos estratégicos está intensificar el desarrollo de indicadores efectivos para determinar el estado y tendencias de sus componentes, e instrumentar los procesos de monitoreo necesarios para su implementación, así como mantener, restaurar y rehabilitar los ecosistemas a fines de incrementar su nivel de resilencia, mejorar la provisión de bienes y servicios, por su rol en la adaptación y mitigación del cambio climático.</w:t>
      </w:r>
    </w:p>
    <w:p w:rsidR="00A11CE5" w:rsidRPr="00717825" w:rsidRDefault="00A11CE5" w:rsidP="00561736">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Los ácaros fitoseidos son los depredadores más comunes de los fitoácaros en numerosas especies de plantas, por lo que constituye el grupo más estudiado y usado para el control biológico de plagas (</w:t>
      </w:r>
      <w:r w:rsidR="00A72EDE">
        <w:rPr>
          <w:rFonts w:ascii="Arial" w:hAnsi="Arial" w:cs="Arial"/>
          <w:sz w:val="24"/>
          <w:szCs w:val="24"/>
        </w:rPr>
        <w:t>6</w:t>
      </w:r>
      <w:r w:rsidR="00D22CC7" w:rsidRPr="00717825">
        <w:rPr>
          <w:rFonts w:ascii="Arial" w:hAnsi="Arial" w:cs="Arial"/>
          <w:sz w:val="24"/>
          <w:szCs w:val="24"/>
        </w:rPr>
        <w:t>)</w:t>
      </w:r>
      <w:r w:rsidRPr="00717825">
        <w:rPr>
          <w:rFonts w:ascii="Arial" w:hAnsi="Arial" w:cs="Arial"/>
          <w:sz w:val="24"/>
          <w:szCs w:val="24"/>
        </w:rPr>
        <w:t>. Muchas especies nuevas son continuamente descritas cuando los inventarios se intensifican en regiones como África, Asia y Centro y Sudamérica (</w:t>
      </w:r>
      <w:r w:rsidR="00A72EDE">
        <w:rPr>
          <w:rFonts w:ascii="Arial" w:hAnsi="Arial" w:cs="Arial"/>
          <w:sz w:val="24"/>
          <w:szCs w:val="24"/>
        </w:rPr>
        <w:t>7</w:t>
      </w:r>
      <w:r w:rsidRPr="00717825">
        <w:rPr>
          <w:rFonts w:ascii="Arial" w:hAnsi="Arial" w:cs="Arial"/>
          <w:sz w:val="24"/>
          <w:szCs w:val="24"/>
        </w:rPr>
        <w:t xml:space="preserve">). </w:t>
      </w:r>
    </w:p>
    <w:p w:rsidR="00A11CE5" w:rsidRPr="00717825" w:rsidRDefault="00A11CE5" w:rsidP="00561736">
      <w:pPr>
        <w:autoSpaceDE w:val="0"/>
        <w:autoSpaceDN w:val="0"/>
        <w:adjustRightInd w:val="0"/>
        <w:spacing w:line="240" w:lineRule="auto"/>
        <w:jc w:val="both"/>
        <w:rPr>
          <w:rFonts w:ascii="Arial" w:eastAsia="Times New Roman" w:hAnsi="Arial" w:cs="Arial"/>
          <w:sz w:val="24"/>
          <w:szCs w:val="24"/>
          <w:lang w:val="es-DO"/>
        </w:rPr>
      </w:pPr>
      <w:r w:rsidRPr="00717825">
        <w:rPr>
          <w:rFonts w:ascii="Arial" w:eastAsia="Times New Roman" w:hAnsi="Arial" w:cs="Arial"/>
          <w:sz w:val="24"/>
          <w:szCs w:val="24"/>
          <w:lang w:val="es-DO"/>
        </w:rPr>
        <w:t>En Cuba, la familia Phytoseiidae está compuesta por 21 géneros y 53 especies (</w:t>
      </w:r>
      <w:r w:rsidR="00445E72">
        <w:rPr>
          <w:rFonts w:ascii="Arial" w:eastAsia="Times New Roman" w:hAnsi="Arial" w:cs="Arial"/>
          <w:sz w:val="24"/>
          <w:szCs w:val="24"/>
          <w:lang w:val="es-DO"/>
        </w:rPr>
        <w:t>8</w:t>
      </w:r>
      <w:r w:rsidRPr="00717825">
        <w:rPr>
          <w:rFonts w:ascii="Arial" w:eastAsia="Times New Roman" w:hAnsi="Arial" w:cs="Arial"/>
          <w:sz w:val="24"/>
          <w:szCs w:val="24"/>
          <w:lang w:val="es-DO"/>
        </w:rPr>
        <w:t>),</w:t>
      </w:r>
      <w:r w:rsidRPr="00717825">
        <w:rPr>
          <w:rFonts w:ascii="Arial" w:hAnsi="Arial" w:cs="Arial"/>
          <w:sz w:val="24"/>
          <w:szCs w:val="24"/>
          <w:lang w:val="es-DO"/>
        </w:rPr>
        <w:t xml:space="preserve"> la</w:t>
      </w:r>
      <w:r w:rsidRPr="00717825">
        <w:rPr>
          <w:rFonts w:ascii="Arial" w:eastAsia="Times New Roman" w:hAnsi="Arial" w:cs="Arial"/>
          <w:sz w:val="24"/>
          <w:szCs w:val="24"/>
          <w:lang w:val="es-DO"/>
        </w:rPr>
        <w:t xml:space="preserve"> mayoría de ellas</w:t>
      </w:r>
      <w:r w:rsidRPr="00717825">
        <w:rPr>
          <w:rFonts w:ascii="Arial" w:eastAsia="Times New Roman" w:hAnsi="Arial" w:cs="Arial"/>
          <w:color w:val="548DD4" w:themeColor="text2" w:themeTint="99"/>
          <w:sz w:val="24"/>
          <w:szCs w:val="24"/>
          <w:lang w:val="es-DO"/>
        </w:rPr>
        <w:t>,</w:t>
      </w:r>
      <w:r w:rsidRPr="00717825">
        <w:rPr>
          <w:rFonts w:ascii="Arial" w:eastAsia="Times New Roman" w:hAnsi="Arial" w:cs="Arial"/>
          <w:sz w:val="24"/>
          <w:szCs w:val="24"/>
          <w:lang w:val="es-DO"/>
        </w:rPr>
        <w:t xml:space="preserve"> descritas sobre cultivos agrícolas (</w:t>
      </w:r>
      <w:r w:rsidR="00445E72">
        <w:rPr>
          <w:rFonts w:ascii="Arial" w:eastAsia="Times New Roman" w:hAnsi="Arial" w:cs="Arial"/>
          <w:sz w:val="24"/>
          <w:szCs w:val="24"/>
          <w:lang w:val="es-DO"/>
        </w:rPr>
        <w:t>9</w:t>
      </w:r>
      <w:r w:rsidRPr="00717825">
        <w:rPr>
          <w:rFonts w:ascii="Arial" w:eastAsia="Times New Roman" w:hAnsi="Arial" w:cs="Arial"/>
          <w:sz w:val="24"/>
          <w:szCs w:val="24"/>
          <w:lang w:val="es-DO"/>
        </w:rPr>
        <w:t xml:space="preserve">), lo que sugiere que la riqueza en ecosistemas naturales o pocos perturbados y en la vegetación acompañante de los cultivos debe ser superior. </w:t>
      </w:r>
    </w:p>
    <w:p w:rsidR="00A11CE5" w:rsidRPr="00717825" w:rsidRDefault="00A11CE5" w:rsidP="00561736">
      <w:pPr>
        <w:autoSpaceDE w:val="0"/>
        <w:autoSpaceDN w:val="0"/>
        <w:adjustRightInd w:val="0"/>
        <w:spacing w:line="240" w:lineRule="auto"/>
        <w:jc w:val="both"/>
        <w:rPr>
          <w:rFonts w:ascii="Arial" w:hAnsi="Arial" w:cs="Arial"/>
          <w:color w:val="000000"/>
          <w:sz w:val="24"/>
          <w:szCs w:val="24"/>
        </w:rPr>
      </w:pPr>
      <w:r w:rsidRPr="00717825">
        <w:rPr>
          <w:rFonts w:ascii="Arial" w:hAnsi="Arial" w:cs="Arial"/>
          <w:color w:val="000000"/>
          <w:sz w:val="24"/>
          <w:szCs w:val="24"/>
        </w:rPr>
        <w:t>Estos elementos están poco estudiados en el país, por lo que la presente reseña es</w:t>
      </w:r>
      <w:r w:rsidR="0082380F">
        <w:rPr>
          <w:rFonts w:ascii="Arial" w:hAnsi="Arial" w:cs="Arial"/>
          <w:color w:val="000000"/>
          <w:sz w:val="24"/>
          <w:szCs w:val="24"/>
        </w:rPr>
        <w:t xml:space="preserve">tá encaminada </w:t>
      </w:r>
      <w:r w:rsidRPr="00717825">
        <w:rPr>
          <w:rFonts w:ascii="Arial" w:hAnsi="Arial" w:cs="Arial"/>
          <w:color w:val="000000"/>
          <w:sz w:val="24"/>
          <w:szCs w:val="24"/>
        </w:rPr>
        <w:t xml:space="preserve">a conocer la influencia que tienen las prácticas agrícolas sobre la diversidad y abundancia de los ácaros depredadores fitoseidos, como base para su conservación y uso sostenible en los agroecosistemas </w:t>
      </w:r>
    </w:p>
    <w:p w:rsidR="005C23E7" w:rsidRPr="00717825" w:rsidRDefault="004A7ADB" w:rsidP="00561736">
      <w:pPr>
        <w:spacing w:after="0" w:line="240" w:lineRule="auto"/>
        <w:jc w:val="both"/>
        <w:rPr>
          <w:rFonts w:ascii="Arial" w:hAnsi="Arial" w:cs="Arial"/>
          <w:b/>
          <w:sz w:val="24"/>
          <w:szCs w:val="24"/>
        </w:rPr>
      </w:pPr>
      <w:r w:rsidRPr="00717825">
        <w:rPr>
          <w:rFonts w:ascii="Arial" w:hAnsi="Arial" w:cs="Arial"/>
          <w:b/>
          <w:sz w:val="24"/>
          <w:szCs w:val="24"/>
        </w:rPr>
        <w:t>AGROECOSISTEMA</w:t>
      </w:r>
    </w:p>
    <w:p w:rsidR="00561736" w:rsidRDefault="00A97B3D" w:rsidP="00561736">
      <w:pPr>
        <w:spacing w:after="0" w:line="240" w:lineRule="auto"/>
        <w:jc w:val="both"/>
        <w:rPr>
          <w:rFonts w:ascii="Arial" w:hAnsi="Arial" w:cs="Arial"/>
          <w:b/>
          <w:sz w:val="24"/>
          <w:szCs w:val="24"/>
        </w:rPr>
      </w:pPr>
      <w:r w:rsidRPr="00717825">
        <w:rPr>
          <w:rFonts w:ascii="Arial" w:hAnsi="Arial" w:cs="Arial"/>
          <w:b/>
          <w:sz w:val="24"/>
          <w:szCs w:val="24"/>
        </w:rPr>
        <w:t>Definición y Generalidades</w:t>
      </w:r>
    </w:p>
    <w:p w:rsidR="005C23E7" w:rsidRPr="00561736" w:rsidRDefault="005C23E7" w:rsidP="002351B3">
      <w:pPr>
        <w:spacing w:line="240" w:lineRule="auto"/>
        <w:jc w:val="both"/>
        <w:rPr>
          <w:rFonts w:ascii="Arial" w:hAnsi="Arial" w:cs="Arial"/>
          <w:b/>
          <w:sz w:val="24"/>
          <w:szCs w:val="24"/>
        </w:rPr>
      </w:pPr>
      <w:r w:rsidRPr="00717825">
        <w:rPr>
          <w:rFonts w:ascii="Arial" w:hAnsi="Arial" w:cs="Arial"/>
          <w:sz w:val="24"/>
          <w:szCs w:val="24"/>
        </w:rPr>
        <w:lastRenderedPageBreak/>
        <w:t xml:space="preserve">El </w:t>
      </w:r>
      <w:r w:rsidRPr="00717825">
        <w:rPr>
          <w:rFonts w:ascii="Arial" w:hAnsi="Arial" w:cs="Arial"/>
          <w:bCs/>
          <w:sz w:val="24"/>
          <w:szCs w:val="24"/>
        </w:rPr>
        <w:t>agroecosistema (AGES)</w:t>
      </w:r>
      <w:r w:rsidRPr="00717825">
        <w:rPr>
          <w:rFonts w:ascii="Arial" w:hAnsi="Arial" w:cs="Arial"/>
          <w:sz w:val="24"/>
          <w:szCs w:val="24"/>
        </w:rPr>
        <w:t xml:space="preserve"> no es más que cualquier tipo de ecosistema modificado y gestionado por los seres humanos con el objetivo de obtener alimentos, fibras y otros materiales de origen biótico. El concepto incluye tanto los ejemplos propios de la agricultura tradicional -incluyendo sus nuevas versiones ecológica, orgánica, etc., que podemos caracterizar por su adaptación y ajuste a las posibilidades que ofrece la naturaleza, intentando mantener sus procesos básicos como las situaciones típicas de la agricultura convencional e industrial, en las que el objetivo dominante se asocia a maximizar la rentabilidad. Incluye también los sistemas ganaderos extensivos, con presencia o no de árboles; buena parte de los cuales mantienen usos mixtos y pueden calificarse como agrosilvopastorales(</w:t>
      </w:r>
      <w:r w:rsidR="00445E72">
        <w:rPr>
          <w:rFonts w:ascii="Arial" w:hAnsi="Arial" w:cs="Arial"/>
          <w:sz w:val="24"/>
          <w:szCs w:val="24"/>
        </w:rPr>
        <w:t>1</w:t>
      </w:r>
      <w:r w:rsidR="002E78B7" w:rsidRPr="00717825">
        <w:rPr>
          <w:rFonts w:ascii="Arial" w:hAnsi="Arial" w:cs="Arial"/>
          <w:sz w:val="24"/>
          <w:szCs w:val="24"/>
        </w:rPr>
        <w:t>0</w:t>
      </w:r>
      <w:r w:rsidRPr="00717825">
        <w:rPr>
          <w:rFonts w:ascii="Arial" w:hAnsi="Arial" w:cs="Arial"/>
          <w:sz w:val="24"/>
          <w:szCs w:val="24"/>
        </w:rPr>
        <w:t>).</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Aunque los agroecosistemas no son exactamente ecosistemas naturales, todavía pueden considerarse ecosistemas y, en general, todos los conceptos ecológicos tales como flujo de energía, ciclaje de materiales y otros, son aplicables en su estudio. </w:t>
      </w:r>
      <w:r w:rsidR="00A11CE5" w:rsidRPr="00717825">
        <w:rPr>
          <w:rFonts w:ascii="Arial" w:hAnsi="Arial" w:cs="Arial"/>
          <w:sz w:val="24"/>
          <w:szCs w:val="24"/>
        </w:rPr>
        <w:t>Por tanto, c</w:t>
      </w:r>
      <w:r w:rsidRPr="00717825">
        <w:rPr>
          <w:rFonts w:ascii="Arial" w:hAnsi="Arial" w:cs="Arial"/>
          <w:sz w:val="24"/>
          <w:szCs w:val="24"/>
        </w:rPr>
        <w:t>omo los agroecosistemas contienen poblaciones de plantas y animales que interactúan, otros conceptos ecológicos relacionados con la interacción entre poblaciones, tales como competencia y relación depredador-presa, también tienen aplicación.</w:t>
      </w:r>
    </w:p>
    <w:p w:rsidR="00EC6364" w:rsidRPr="00717825" w:rsidRDefault="00EC6364" w:rsidP="00561736">
      <w:pPr>
        <w:pStyle w:val="NormalWeb"/>
        <w:spacing w:after="0" w:afterAutospacing="0"/>
        <w:jc w:val="both"/>
        <w:rPr>
          <w:rFonts w:ascii="Arial" w:hAnsi="Arial" w:cs="Arial"/>
          <w:color w:val="548DD4" w:themeColor="text2" w:themeTint="99"/>
          <w:lang w:val="es-ES"/>
        </w:rPr>
      </w:pPr>
      <w:r w:rsidRPr="00717825">
        <w:rPr>
          <w:rFonts w:ascii="Arial" w:hAnsi="Arial" w:cs="Arial"/>
          <w:lang w:val="es-ES"/>
        </w:rPr>
        <w:t>Dentro de los agroecosistemas se pueden encontrar diferentes tipos</w:t>
      </w:r>
      <w:r w:rsidR="00D451AD" w:rsidRPr="00717825">
        <w:rPr>
          <w:rFonts w:ascii="Arial" w:hAnsi="Arial" w:cs="Arial"/>
          <w:lang w:val="es-ES"/>
        </w:rPr>
        <w:t>;</w:t>
      </w:r>
      <w:r w:rsidR="000E40AD" w:rsidRPr="00717825">
        <w:rPr>
          <w:rFonts w:ascii="Arial" w:hAnsi="Arial" w:cs="Arial"/>
          <w:lang w:val="es-ES"/>
        </w:rPr>
        <w:t xml:space="preserve">tales </w:t>
      </w:r>
      <w:r w:rsidRPr="00717825">
        <w:rPr>
          <w:rFonts w:ascii="Arial" w:hAnsi="Arial" w:cs="Arial"/>
          <w:lang w:val="es-ES"/>
        </w:rPr>
        <w:t>como</w:t>
      </w:r>
      <w:r w:rsidR="00B7539C" w:rsidRPr="00717825">
        <w:rPr>
          <w:rFonts w:ascii="Arial" w:hAnsi="Arial" w:cs="Arial"/>
          <w:lang w:val="es-ES"/>
        </w:rPr>
        <w:t>(</w:t>
      </w:r>
      <w:r w:rsidR="00445E72">
        <w:rPr>
          <w:rFonts w:ascii="Arial" w:hAnsi="Arial" w:cs="Arial"/>
          <w:lang w:val="es-ES"/>
        </w:rPr>
        <w:t>11</w:t>
      </w:r>
      <w:r w:rsidR="00B7539C" w:rsidRPr="00717825">
        <w:rPr>
          <w:rFonts w:ascii="Arial" w:hAnsi="Arial" w:cs="Arial"/>
          <w:lang w:val="es-ES"/>
        </w:rPr>
        <w:t>)</w:t>
      </w:r>
      <w:r w:rsidR="000E40AD" w:rsidRPr="00717825">
        <w:rPr>
          <w:rFonts w:ascii="Arial" w:hAnsi="Arial" w:cs="Arial"/>
          <w:lang w:val="es-ES"/>
        </w:rPr>
        <w:t xml:space="preserve">: </w:t>
      </w:r>
    </w:p>
    <w:p w:rsidR="005C23E7" w:rsidRPr="00717825" w:rsidRDefault="00445E72" w:rsidP="00561736">
      <w:pPr>
        <w:numPr>
          <w:ilvl w:val="0"/>
          <w:numId w:val="17"/>
        </w:numPr>
        <w:spacing w:before="100" w:beforeAutospacing="1" w:after="0" w:line="240" w:lineRule="auto"/>
        <w:jc w:val="both"/>
        <w:rPr>
          <w:rFonts w:ascii="Arial" w:hAnsi="Arial" w:cs="Arial"/>
          <w:sz w:val="24"/>
          <w:szCs w:val="24"/>
        </w:rPr>
      </w:pPr>
      <w:r>
        <w:rPr>
          <w:rFonts w:ascii="Arial" w:hAnsi="Arial" w:cs="Arial"/>
          <w:sz w:val="24"/>
          <w:szCs w:val="24"/>
        </w:rPr>
        <w:t>pastoriles</w:t>
      </w:r>
    </w:p>
    <w:p w:rsidR="005C23E7" w:rsidRPr="00717825" w:rsidRDefault="00445E72" w:rsidP="00561736">
      <w:pPr>
        <w:numPr>
          <w:ilvl w:val="0"/>
          <w:numId w:val="17"/>
        </w:numPr>
        <w:spacing w:before="100" w:beforeAutospacing="1" w:after="0" w:line="240" w:lineRule="auto"/>
        <w:jc w:val="both"/>
        <w:rPr>
          <w:rFonts w:ascii="Arial" w:hAnsi="Arial" w:cs="Arial"/>
          <w:sz w:val="24"/>
          <w:szCs w:val="24"/>
        </w:rPr>
      </w:pPr>
      <w:r>
        <w:rPr>
          <w:rFonts w:ascii="Arial" w:hAnsi="Arial" w:cs="Arial"/>
          <w:sz w:val="24"/>
          <w:szCs w:val="24"/>
        </w:rPr>
        <w:t>silvícolas</w:t>
      </w:r>
    </w:p>
    <w:p w:rsidR="005C23E7" w:rsidRPr="00717825" w:rsidRDefault="00D451AD" w:rsidP="00561736">
      <w:pPr>
        <w:numPr>
          <w:ilvl w:val="0"/>
          <w:numId w:val="17"/>
        </w:numPr>
        <w:spacing w:before="100" w:beforeAutospacing="1" w:after="0" w:line="240" w:lineRule="auto"/>
        <w:jc w:val="both"/>
        <w:rPr>
          <w:rFonts w:ascii="Arial" w:hAnsi="Arial" w:cs="Arial"/>
          <w:sz w:val="24"/>
          <w:szCs w:val="24"/>
        </w:rPr>
      </w:pPr>
      <w:r w:rsidRPr="00717825">
        <w:rPr>
          <w:rFonts w:ascii="Arial" w:hAnsi="Arial" w:cs="Arial"/>
          <w:sz w:val="24"/>
          <w:szCs w:val="24"/>
        </w:rPr>
        <w:t>agrícolas</w:t>
      </w:r>
    </w:p>
    <w:p w:rsidR="00445E72" w:rsidRDefault="00D451AD" w:rsidP="00561736">
      <w:pPr>
        <w:numPr>
          <w:ilvl w:val="0"/>
          <w:numId w:val="17"/>
        </w:numPr>
        <w:autoSpaceDE w:val="0"/>
        <w:autoSpaceDN w:val="0"/>
        <w:adjustRightInd w:val="0"/>
        <w:spacing w:before="100" w:beforeAutospacing="1" w:after="0" w:line="240" w:lineRule="auto"/>
        <w:jc w:val="both"/>
        <w:rPr>
          <w:rFonts w:ascii="Arial" w:hAnsi="Arial" w:cs="Arial"/>
          <w:sz w:val="24"/>
          <w:szCs w:val="24"/>
        </w:rPr>
      </w:pPr>
      <w:r w:rsidRPr="00445E72">
        <w:rPr>
          <w:rFonts w:ascii="Arial" w:hAnsi="Arial" w:cs="Arial"/>
          <w:sz w:val="24"/>
          <w:szCs w:val="24"/>
        </w:rPr>
        <w:t>mixtos</w:t>
      </w:r>
    </w:p>
    <w:p w:rsidR="00334EFF" w:rsidRPr="00445E72" w:rsidRDefault="00D451AD" w:rsidP="002351B3">
      <w:pPr>
        <w:autoSpaceDE w:val="0"/>
        <w:autoSpaceDN w:val="0"/>
        <w:adjustRightInd w:val="0"/>
        <w:spacing w:before="100" w:beforeAutospacing="1" w:line="240" w:lineRule="auto"/>
        <w:jc w:val="both"/>
        <w:rPr>
          <w:rFonts w:ascii="Arial" w:hAnsi="Arial" w:cs="Arial"/>
          <w:sz w:val="24"/>
          <w:szCs w:val="24"/>
        </w:rPr>
      </w:pPr>
      <w:r w:rsidRPr="00445E72">
        <w:rPr>
          <w:rFonts w:ascii="Arial" w:hAnsi="Arial" w:cs="Arial"/>
          <w:sz w:val="24"/>
          <w:szCs w:val="24"/>
        </w:rPr>
        <w:t xml:space="preserve">Los ácaros depredadores </w:t>
      </w:r>
      <w:r w:rsidR="00FC3A02" w:rsidRPr="00445E72">
        <w:rPr>
          <w:rFonts w:ascii="Arial" w:hAnsi="Arial" w:cs="Arial"/>
          <w:sz w:val="24"/>
          <w:szCs w:val="24"/>
        </w:rPr>
        <w:t xml:space="preserve">están presenten en dos de los agroecosistemas antes mencionados (silvícolas, agrícolas), los cuales </w:t>
      </w:r>
      <w:r w:rsidRPr="00445E72">
        <w:rPr>
          <w:rFonts w:ascii="Arial" w:hAnsi="Arial" w:cs="Arial"/>
          <w:sz w:val="24"/>
          <w:szCs w:val="24"/>
        </w:rPr>
        <w:t xml:space="preserve">tienen </w:t>
      </w:r>
      <w:r w:rsidR="00FC3A02" w:rsidRPr="00445E72">
        <w:rPr>
          <w:rFonts w:ascii="Arial" w:hAnsi="Arial" w:cs="Arial"/>
          <w:sz w:val="24"/>
          <w:szCs w:val="24"/>
        </w:rPr>
        <w:t>un comportamiento controlado</w:t>
      </w:r>
      <w:r w:rsidR="00334EFF" w:rsidRPr="00445E72">
        <w:rPr>
          <w:rFonts w:ascii="Arial" w:hAnsi="Arial" w:cs="Arial"/>
          <w:sz w:val="24"/>
          <w:szCs w:val="24"/>
        </w:rPr>
        <w:t>,</w:t>
      </w:r>
      <w:r w:rsidR="00FC3A02" w:rsidRPr="00445E72">
        <w:rPr>
          <w:rFonts w:ascii="Arial" w:hAnsi="Arial" w:cs="Arial"/>
          <w:sz w:val="24"/>
          <w:szCs w:val="24"/>
        </w:rPr>
        <w:t xml:space="preserve"> debi</w:t>
      </w:r>
      <w:r w:rsidR="00334EFF" w:rsidRPr="00445E72">
        <w:rPr>
          <w:rFonts w:ascii="Arial" w:hAnsi="Arial" w:cs="Arial"/>
          <w:sz w:val="24"/>
          <w:szCs w:val="24"/>
        </w:rPr>
        <w:t xml:space="preserve">do a su pequeño tamaño, ya que están considerados como fauna auxiliar. </w:t>
      </w:r>
    </w:p>
    <w:p w:rsidR="005C23E7" w:rsidRPr="00717825" w:rsidRDefault="004A7ADB" w:rsidP="002351B3">
      <w:pPr>
        <w:autoSpaceDE w:val="0"/>
        <w:autoSpaceDN w:val="0"/>
        <w:adjustRightInd w:val="0"/>
        <w:spacing w:before="100" w:beforeAutospacing="1" w:after="0" w:line="240" w:lineRule="auto"/>
        <w:jc w:val="both"/>
        <w:rPr>
          <w:rFonts w:ascii="Arial" w:hAnsi="Arial" w:cs="Arial"/>
          <w:sz w:val="24"/>
          <w:szCs w:val="24"/>
        </w:rPr>
      </w:pPr>
      <w:r w:rsidRPr="00717825">
        <w:rPr>
          <w:rFonts w:ascii="Arial" w:hAnsi="Arial" w:cs="Arial"/>
          <w:b/>
          <w:sz w:val="24"/>
          <w:szCs w:val="24"/>
        </w:rPr>
        <w:t>BIODIVERSIDAD</w:t>
      </w:r>
    </w:p>
    <w:p w:rsidR="005C23E7" w:rsidRPr="00717825" w:rsidRDefault="00A11CE5"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La biodiversidad es un resultado del proceso evolutivo que se manifiesta en la existencia de diferentes modos de ser para la vida. Mutación y selección determinan las características y la cantidad de diversidad que existen en un lugar y momento dados. Diferencias a nivel genético, diferencias en las respuestas morfológicas, fisiológicas y etológicas de los fenotipos, diferencias en las formas de desarrollo, en la demografía y en las historias de vida. La diversidad biológica abarca toda la escala de organización de los seres vivos</w:t>
      </w:r>
      <w:r w:rsidR="00B17FC9" w:rsidRPr="00717825">
        <w:rPr>
          <w:rFonts w:ascii="Arial" w:hAnsi="Arial" w:cs="Arial"/>
          <w:sz w:val="24"/>
          <w:szCs w:val="24"/>
        </w:rPr>
        <w:t xml:space="preserve"> (</w:t>
      </w:r>
      <w:r w:rsidR="00445E72">
        <w:rPr>
          <w:rFonts w:ascii="Arial" w:hAnsi="Arial" w:cs="Arial"/>
          <w:sz w:val="24"/>
          <w:szCs w:val="24"/>
        </w:rPr>
        <w:t>1</w:t>
      </w:r>
      <w:r w:rsidR="00252CBF" w:rsidRPr="00717825">
        <w:rPr>
          <w:rFonts w:ascii="Arial" w:hAnsi="Arial" w:cs="Arial"/>
          <w:sz w:val="24"/>
          <w:szCs w:val="24"/>
        </w:rPr>
        <w:t>2</w:t>
      </w:r>
      <w:r w:rsidR="00B17FC9" w:rsidRPr="00717825">
        <w:rPr>
          <w:rFonts w:ascii="Arial" w:hAnsi="Arial" w:cs="Arial"/>
          <w:sz w:val="24"/>
          <w:szCs w:val="24"/>
        </w:rPr>
        <w:t>)</w:t>
      </w:r>
      <w:r w:rsidRPr="00717825">
        <w:rPr>
          <w:rFonts w:ascii="Arial" w:hAnsi="Arial" w:cs="Arial"/>
          <w:sz w:val="24"/>
          <w:szCs w:val="24"/>
        </w:rPr>
        <w:t>.</w:t>
      </w:r>
    </w:p>
    <w:p w:rsidR="00B64C0D"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La diversidad biológica es reconocida a nivel internacional como un elemento fundamental para el desarrollo de planes de conservación y el uso sustentable de los recursos naturales. Su conocimiento, cuantificación y análisis es fundamental para entender el mundo natural y los cambios inducidos por la actividad humana (</w:t>
      </w:r>
      <w:r w:rsidR="00445E72">
        <w:rPr>
          <w:rFonts w:ascii="Arial" w:hAnsi="Arial" w:cs="Arial"/>
          <w:sz w:val="24"/>
          <w:szCs w:val="24"/>
        </w:rPr>
        <w:t>1</w:t>
      </w:r>
      <w:r w:rsidR="00252CBF" w:rsidRPr="00717825">
        <w:rPr>
          <w:rFonts w:ascii="Arial" w:hAnsi="Arial" w:cs="Arial"/>
          <w:sz w:val="24"/>
          <w:szCs w:val="24"/>
        </w:rPr>
        <w:t>2</w:t>
      </w:r>
      <w:r w:rsidR="00B64C0D" w:rsidRPr="00717825">
        <w:rPr>
          <w:rFonts w:ascii="Arial" w:hAnsi="Arial" w:cs="Arial"/>
          <w:sz w:val="24"/>
          <w:szCs w:val="24"/>
        </w:rPr>
        <w:t>).</w:t>
      </w:r>
    </w:p>
    <w:p w:rsidR="00B64C0D" w:rsidRPr="00717825" w:rsidRDefault="004D5609"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lastRenderedPageBreak/>
        <w:t>L</w:t>
      </w:r>
      <w:r w:rsidR="005C23E7" w:rsidRPr="00717825">
        <w:rPr>
          <w:rFonts w:ascii="Arial" w:hAnsi="Arial" w:cs="Arial"/>
          <w:sz w:val="24"/>
          <w:szCs w:val="24"/>
        </w:rPr>
        <w:t xml:space="preserve">a diversidad biológica o biodiversidad </w:t>
      </w:r>
      <w:r w:rsidRPr="00717825">
        <w:rPr>
          <w:rFonts w:ascii="Arial" w:hAnsi="Arial" w:cs="Arial"/>
          <w:sz w:val="24"/>
          <w:szCs w:val="24"/>
        </w:rPr>
        <w:t xml:space="preserve">se define </w:t>
      </w:r>
      <w:r w:rsidR="005C23E7" w:rsidRPr="00717825">
        <w:rPr>
          <w:rFonts w:ascii="Arial" w:hAnsi="Arial" w:cs="Arial"/>
          <w:sz w:val="24"/>
          <w:szCs w:val="24"/>
        </w:rPr>
        <w:t xml:space="preserve">como la propiedad de las distintas entidades vivas de ser variadas. </w:t>
      </w:r>
      <w:r w:rsidR="00C860FC">
        <w:rPr>
          <w:rFonts w:ascii="Arial" w:hAnsi="Arial" w:cs="Arial"/>
          <w:sz w:val="24"/>
          <w:szCs w:val="24"/>
        </w:rPr>
        <w:t>Así, cada clase de entidad -gen</w:t>
      </w:r>
      <w:r w:rsidR="005C23E7" w:rsidRPr="00717825">
        <w:rPr>
          <w:rFonts w:ascii="Arial" w:hAnsi="Arial" w:cs="Arial"/>
          <w:sz w:val="24"/>
          <w:szCs w:val="24"/>
        </w:rPr>
        <w:t>, célula, individuo, comunidad o ecosistema- tiene más de una manifestación</w:t>
      </w:r>
      <w:r w:rsidR="00445E72">
        <w:rPr>
          <w:rFonts w:ascii="Arial" w:hAnsi="Arial" w:cs="Arial"/>
          <w:sz w:val="24"/>
          <w:szCs w:val="24"/>
        </w:rPr>
        <w:t xml:space="preserve"> (1</w:t>
      </w:r>
      <w:r w:rsidR="00252CBF" w:rsidRPr="00717825">
        <w:rPr>
          <w:rFonts w:ascii="Arial" w:hAnsi="Arial" w:cs="Arial"/>
          <w:sz w:val="24"/>
          <w:szCs w:val="24"/>
        </w:rPr>
        <w:t>3</w:t>
      </w:r>
      <w:r w:rsidRPr="00717825">
        <w:rPr>
          <w:rFonts w:ascii="Arial" w:hAnsi="Arial" w:cs="Arial"/>
          <w:sz w:val="24"/>
          <w:szCs w:val="24"/>
        </w:rPr>
        <w:t>)</w:t>
      </w:r>
      <w:r w:rsidR="005C23E7" w:rsidRPr="00717825">
        <w:rPr>
          <w:rFonts w:ascii="Arial" w:hAnsi="Arial" w:cs="Arial"/>
          <w:sz w:val="24"/>
          <w:szCs w:val="24"/>
        </w:rPr>
        <w:t>.</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Una definición de Biodiversidad no es tarea fácil debido al gran número de autores que la citan y definen, además, por las dimensiones que engloba y </w:t>
      </w:r>
      <w:r w:rsidR="00A97B3D" w:rsidRPr="00717825">
        <w:rPr>
          <w:rFonts w:ascii="Arial" w:hAnsi="Arial" w:cs="Arial"/>
          <w:sz w:val="24"/>
          <w:szCs w:val="24"/>
        </w:rPr>
        <w:t>en</w:t>
      </w:r>
      <w:r w:rsidRPr="00717825">
        <w:rPr>
          <w:rFonts w:ascii="Arial" w:hAnsi="Arial" w:cs="Arial"/>
          <w:sz w:val="24"/>
          <w:szCs w:val="24"/>
        </w:rPr>
        <w:t xml:space="preserve"> dependencia del entorno donde se analice. Este es un tema crucial en los estudios ecológicos y por la necesidad de definirla consensuadamente y de medirla con herramientas y parámetros adecuados ha sido objeto de amplio debate, llegando al borde incluso de declarar la falta de validez del concepto (</w:t>
      </w:r>
      <w:r w:rsidR="00445E72">
        <w:rPr>
          <w:rFonts w:ascii="Arial" w:hAnsi="Arial" w:cs="Arial"/>
          <w:sz w:val="24"/>
          <w:szCs w:val="24"/>
        </w:rPr>
        <w:t>14</w:t>
      </w:r>
      <w:r w:rsidRPr="00717825">
        <w:rPr>
          <w:rFonts w:ascii="Arial" w:hAnsi="Arial" w:cs="Arial"/>
          <w:sz w:val="24"/>
          <w:szCs w:val="24"/>
        </w:rPr>
        <w:t>), aunque sin dudas el significado y la importancia de la biodiversidad logra una amplia funcionabilidad con fines de conservación, manejo y monitoreo ambiental (</w:t>
      </w:r>
      <w:r w:rsidR="00445E72">
        <w:rPr>
          <w:rFonts w:ascii="Arial" w:hAnsi="Arial" w:cs="Arial"/>
          <w:sz w:val="24"/>
          <w:szCs w:val="24"/>
        </w:rPr>
        <w:t>15</w:t>
      </w:r>
      <w:r w:rsidRPr="00717825">
        <w:rPr>
          <w:rFonts w:ascii="Arial" w:hAnsi="Arial" w:cs="Arial"/>
          <w:sz w:val="24"/>
          <w:szCs w:val="24"/>
        </w:rPr>
        <w:t>).</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La biodiversidad no tiene en cuenta solo la variedad de especies sino también la variabilidad de tipo genética, de los fenómenos fisiológicos, de las funciones ecológicas y de la gama de ecosistemas y paisajes donde habitan. Por tanto, la diversidad responde a la variedad y las interacciones entre las especies, depende de estas en gran medida la estabilidad de los ecosistemas y los flujos de materia y energía que transitan dentro de estos por lo que se relaciona con sus importancias ecológicas (</w:t>
      </w:r>
      <w:r w:rsidR="00445E72">
        <w:rPr>
          <w:rFonts w:ascii="Arial" w:hAnsi="Arial" w:cs="Arial"/>
          <w:sz w:val="24"/>
          <w:szCs w:val="24"/>
        </w:rPr>
        <w:t>16</w:t>
      </w:r>
      <w:r w:rsidRPr="00717825">
        <w:rPr>
          <w:rFonts w:ascii="Arial" w:hAnsi="Arial" w:cs="Arial"/>
          <w:sz w:val="24"/>
          <w:szCs w:val="24"/>
        </w:rPr>
        <w:t xml:space="preserve">). </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Fundamentalmente se reconocen tres componentes o tipos de diversidad </w:t>
      </w:r>
      <w:r w:rsidR="00445E72">
        <w:rPr>
          <w:rFonts w:ascii="Arial" w:hAnsi="Arial" w:cs="Arial"/>
          <w:sz w:val="24"/>
          <w:szCs w:val="24"/>
        </w:rPr>
        <w:t>(17</w:t>
      </w:r>
      <w:r w:rsidR="001F363B" w:rsidRPr="00717825">
        <w:rPr>
          <w:rFonts w:ascii="Arial" w:hAnsi="Arial" w:cs="Arial"/>
          <w:sz w:val="24"/>
          <w:szCs w:val="24"/>
        </w:rPr>
        <w:t>):</w:t>
      </w:r>
    </w:p>
    <w:p w:rsidR="005C23E7" w:rsidRPr="00717825" w:rsidRDefault="005C23E7" w:rsidP="002351B3">
      <w:pPr>
        <w:pStyle w:val="Prrafodelista"/>
        <w:numPr>
          <w:ilvl w:val="0"/>
          <w:numId w:val="7"/>
        </w:num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Diversidad alfa: responde a la riqueza de especies de una comunidad particular considerada como homogénea.</w:t>
      </w:r>
    </w:p>
    <w:p w:rsidR="005C23E7" w:rsidRPr="00717825" w:rsidRDefault="005C23E7" w:rsidP="002351B3">
      <w:pPr>
        <w:pStyle w:val="Prrafodelista"/>
        <w:numPr>
          <w:ilvl w:val="0"/>
          <w:numId w:val="7"/>
        </w:num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Diversidad beta: es el grado de cambio o reemplazo en la composición de especies entre diferentes comunidades de un paisaje.</w:t>
      </w:r>
    </w:p>
    <w:p w:rsidR="005C23E7" w:rsidRPr="00717825" w:rsidRDefault="005C23E7" w:rsidP="002351B3">
      <w:pPr>
        <w:pStyle w:val="Prrafodelista"/>
        <w:numPr>
          <w:ilvl w:val="0"/>
          <w:numId w:val="7"/>
        </w:num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Diversidad gamma: es la riqueza de especies del conjunto de comunidades que integran un paisaje o región y la misma es resultante de las diversidades alfa y beta</w:t>
      </w:r>
    </w:p>
    <w:p w:rsidR="005C23E7" w:rsidRPr="00717825" w:rsidRDefault="005C23E7" w:rsidP="002351B3">
      <w:pPr>
        <w:autoSpaceDE w:val="0"/>
        <w:autoSpaceDN w:val="0"/>
        <w:adjustRightInd w:val="0"/>
        <w:spacing w:line="240" w:lineRule="auto"/>
        <w:jc w:val="both"/>
        <w:rPr>
          <w:rFonts w:ascii="Arial" w:hAnsi="Arial" w:cs="Arial"/>
          <w:sz w:val="24"/>
          <w:szCs w:val="24"/>
          <w:lang w:eastAsia="es-ES"/>
        </w:rPr>
      </w:pPr>
      <w:r w:rsidRPr="00717825">
        <w:rPr>
          <w:rFonts w:ascii="Arial" w:hAnsi="Arial" w:cs="Arial"/>
          <w:sz w:val="24"/>
          <w:szCs w:val="24"/>
          <w:lang w:eastAsia="es-ES"/>
        </w:rPr>
        <w:t>Esta forma de analizar la biodiversidad resulta muy conveniente en el contexto actual ante la acelerada transformación de los ecosistemas naturales, ya que un simple listado de especies para una región dada no es suficiente. Para monitorear el efecto de los cambios en el ambiente es necesario contar con información de la diversidad biológica en comunidades naturales y modificadas (diversidad alfa) y también de la tasa de cambio en la biodiversidad entre distintas comunidades (diversidad beta), para conocer su contribución al nivel regional (diversidad gamma) y poder diseñar estrategias de conservación y llevar a cabo acciones concretas a escala local (</w:t>
      </w:r>
      <w:r w:rsidR="00445E72">
        <w:rPr>
          <w:rFonts w:ascii="Arial" w:hAnsi="Arial" w:cs="Arial"/>
          <w:sz w:val="24"/>
          <w:szCs w:val="24"/>
          <w:lang w:eastAsia="es-ES"/>
        </w:rPr>
        <w:t>18</w:t>
      </w:r>
      <w:r w:rsidRPr="00717825">
        <w:rPr>
          <w:rFonts w:ascii="Arial" w:hAnsi="Arial" w:cs="Arial"/>
          <w:sz w:val="24"/>
          <w:szCs w:val="24"/>
          <w:lang w:eastAsia="es-ES"/>
        </w:rPr>
        <w:t>).</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Evidentemente, cualquier política sólida de conservación debe partir de un conocimiento apropiado de la biodiversidad. Esto se logra a través de proyectos de medición de la biodiversidad que consisten en el muestreo, separación, catalogación, cuantificación y cartografiado de sus entidades, tales como los genes, individuos, poblaciones, especies, hábitats, ecosistemas y paisajes o sus componentes, y en la síntesis de la información resultante para analizar los procesos determinantes. Esta es la información base para posteriormente evaluar, mediante el monitoreo, el cambio asociado a distintos factores, especialmente, </w:t>
      </w:r>
      <w:r w:rsidRPr="00717825">
        <w:rPr>
          <w:rFonts w:ascii="Arial" w:hAnsi="Arial" w:cs="Arial"/>
          <w:sz w:val="24"/>
          <w:szCs w:val="24"/>
        </w:rPr>
        <w:lastRenderedPageBreak/>
        <w:t>factores antropogénicos. La correcta evaluación de la biodiversidad provee información esencial para muchas ciencias biológicas, tales como la sistemática, biología de poblaciones y ecología, así como muchas ciencias aplicadas, tales como la biotecnología, ciencias del suelo, agricultura, silvicultura, pesca, biología de la conservación y ciencias ambientales (</w:t>
      </w:r>
      <w:r w:rsidR="00445E72">
        <w:rPr>
          <w:rFonts w:ascii="Arial" w:hAnsi="Arial" w:cs="Arial"/>
          <w:sz w:val="24"/>
          <w:szCs w:val="24"/>
        </w:rPr>
        <w:t>19</w:t>
      </w:r>
      <w:r w:rsidRPr="00717825">
        <w:rPr>
          <w:rFonts w:ascii="Arial" w:hAnsi="Arial" w:cs="Arial"/>
          <w:sz w:val="24"/>
          <w:szCs w:val="24"/>
        </w:rPr>
        <w:t>).</w:t>
      </w:r>
    </w:p>
    <w:p w:rsidR="005C23E7" w:rsidRPr="00717825" w:rsidRDefault="004A7ADB" w:rsidP="00561736">
      <w:pPr>
        <w:autoSpaceDE w:val="0"/>
        <w:autoSpaceDN w:val="0"/>
        <w:adjustRightInd w:val="0"/>
        <w:spacing w:after="0" w:line="240" w:lineRule="auto"/>
        <w:jc w:val="both"/>
        <w:rPr>
          <w:rFonts w:ascii="Arial" w:hAnsi="Arial" w:cs="Arial"/>
          <w:b/>
          <w:sz w:val="24"/>
          <w:szCs w:val="24"/>
        </w:rPr>
      </w:pPr>
      <w:r w:rsidRPr="00717825">
        <w:rPr>
          <w:rFonts w:ascii="Arial" w:hAnsi="Arial" w:cs="Arial"/>
          <w:b/>
          <w:sz w:val="24"/>
          <w:szCs w:val="24"/>
        </w:rPr>
        <w:t>ÁCAROS EN LA AGRICULTURA</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Los ácaros son las plagas más importantes de las plantas cultivadas después de los insectos (</w:t>
      </w:r>
      <w:r w:rsidR="00445E72">
        <w:rPr>
          <w:rFonts w:ascii="Arial" w:hAnsi="Arial" w:cs="Arial"/>
          <w:sz w:val="24"/>
          <w:szCs w:val="24"/>
        </w:rPr>
        <w:t>20</w:t>
      </w:r>
      <w:r w:rsidRPr="00717825">
        <w:rPr>
          <w:rFonts w:ascii="Arial" w:hAnsi="Arial" w:cs="Arial"/>
          <w:sz w:val="24"/>
          <w:szCs w:val="24"/>
        </w:rPr>
        <w:t>). Estos pequeños arácnidos, ocasionan severos daños a muchos cultivos, sobre todo cuando se trata de elevados niveles poblacionales.</w:t>
      </w:r>
    </w:p>
    <w:p w:rsidR="00561736" w:rsidRDefault="00561736" w:rsidP="002351B3">
      <w:pPr>
        <w:pStyle w:val="Default"/>
        <w:spacing w:after="160"/>
        <w:jc w:val="both"/>
        <w:rPr>
          <w:rFonts w:ascii="Arial" w:hAnsi="Arial" w:cs="Arial"/>
          <w:lang w:val="es-ES"/>
        </w:rPr>
      </w:pPr>
    </w:p>
    <w:p w:rsidR="005C23E7" w:rsidRPr="00717825" w:rsidRDefault="005C23E7" w:rsidP="002351B3">
      <w:pPr>
        <w:pStyle w:val="Default"/>
        <w:spacing w:after="160"/>
        <w:jc w:val="both"/>
        <w:rPr>
          <w:rFonts w:ascii="Arial" w:hAnsi="Arial" w:cs="Arial"/>
          <w:lang w:val="es-ES"/>
        </w:rPr>
      </w:pPr>
      <w:r w:rsidRPr="00717825">
        <w:rPr>
          <w:rFonts w:ascii="Arial" w:hAnsi="Arial" w:cs="Arial"/>
          <w:lang w:val="es-ES"/>
        </w:rPr>
        <w:t>Los ácaros son en su gran mayoría microscópicos y biológicamente muy diversos; utilizan todas las asociaciones biológicas existentes ya que su radiación adaptativa ha sido de forma excepcional en todos los ecosistemas naturales e inclusive urbanos. Además, por su extraordinaria morfología son los únicos arácnidos acuáticos y el principal elemento descomponedor de la materia orgánica del suelo (</w:t>
      </w:r>
      <w:r w:rsidR="00445E72">
        <w:rPr>
          <w:rFonts w:ascii="Arial" w:hAnsi="Arial" w:cs="Arial"/>
          <w:lang w:val="es-ES"/>
        </w:rPr>
        <w:t>20</w:t>
      </w:r>
      <w:r w:rsidRPr="00717825">
        <w:rPr>
          <w:rFonts w:ascii="Arial" w:hAnsi="Arial" w:cs="Arial"/>
          <w:lang w:val="es-ES"/>
        </w:rPr>
        <w:t xml:space="preserve">). </w:t>
      </w:r>
    </w:p>
    <w:p w:rsidR="00217A3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Sus principales afectaciones se producen en la epidermis de las hojas y los frutos, de manera tal que las áreas lesionadas se decoloran y los bordes de las hojas se muestran deformadas como consecuencia de la extracción del contenido </w:t>
      </w:r>
      <w:r w:rsidR="00406F3F" w:rsidRPr="00717825">
        <w:rPr>
          <w:rFonts w:ascii="Arial" w:hAnsi="Arial" w:cs="Arial"/>
          <w:sz w:val="24"/>
          <w:szCs w:val="24"/>
        </w:rPr>
        <w:t>celular de los tejidos (</w:t>
      </w:r>
      <w:r w:rsidR="00445E72">
        <w:rPr>
          <w:rFonts w:ascii="Arial" w:hAnsi="Arial" w:cs="Arial"/>
          <w:sz w:val="24"/>
          <w:szCs w:val="24"/>
        </w:rPr>
        <w:t>21</w:t>
      </w:r>
      <w:r w:rsidRPr="00717825">
        <w:rPr>
          <w:rFonts w:ascii="Arial" w:hAnsi="Arial" w:cs="Arial"/>
          <w:sz w:val="24"/>
          <w:szCs w:val="24"/>
        </w:rPr>
        <w:t>).</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Como consecuencia de la alimentación de los fitoácaros, se produce una reducción considerable de la fotosíntesis y al mismo tiempo se incrementa la transpiración de las zonas dañadas, con lo que se altera el metabolismo de la planta, cuyos efectos generales influyen</w:t>
      </w:r>
      <w:r w:rsidR="00C860FC">
        <w:rPr>
          <w:rFonts w:ascii="Arial" w:hAnsi="Arial" w:cs="Arial"/>
          <w:sz w:val="24"/>
          <w:szCs w:val="24"/>
        </w:rPr>
        <w:t xml:space="preserve"> </w:t>
      </w:r>
      <w:r w:rsidRPr="00717825">
        <w:rPr>
          <w:rFonts w:ascii="Arial" w:hAnsi="Arial" w:cs="Arial"/>
          <w:sz w:val="24"/>
          <w:szCs w:val="24"/>
        </w:rPr>
        <w:t>negativamente en el crecimiento, la florac</w:t>
      </w:r>
      <w:r w:rsidR="00406F3F" w:rsidRPr="00717825">
        <w:rPr>
          <w:rFonts w:ascii="Arial" w:hAnsi="Arial" w:cs="Arial"/>
          <w:sz w:val="24"/>
          <w:szCs w:val="24"/>
        </w:rPr>
        <w:t>ión y los rendimientos (</w:t>
      </w:r>
      <w:r w:rsidR="00445E72">
        <w:rPr>
          <w:rFonts w:ascii="Arial" w:hAnsi="Arial" w:cs="Arial"/>
          <w:sz w:val="24"/>
          <w:szCs w:val="24"/>
        </w:rPr>
        <w:t>2</w:t>
      </w:r>
      <w:r w:rsidR="00252CBF" w:rsidRPr="00717825">
        <w:rPr>
          <w:rFonts w:ascii="Arial" w:hAnsi="Arial" w:cs="Arial"/>
          <w:sz w:val="24"/>
          <w:szCs w:val="24"/>
        </w:rPr>
        <w:t>2</w:t>
      </w:r>
      <w:r w:rsidRPr="00717825">
        <w:rPr>
          <w:rFonts w:ascii="Arial" w:hAnsi="Arial" w:cs="Arial"/>
          <w:sz w:val="24"/>
          <w:szCs w:val="24"/>
        </w:rPr>
        <w:t>).</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En los últimos años se ha producido un considerable aumento de los problemas fitosanitarios producto de la acción nociva de los fitoácaros. Esto se debe al desequilibrio de los agroecosistemas como consecuencia del uso </w:t>
      </w:r>
      <w:r w:rsidR="00A97B3D" w:rsidRPr="00717825">
        <w:rPr>
          <w:rFonts w:ascii="Arial" w:hAnsi="Arial" w:cs="Arial"/>
          <w:sz w:val="24"/>
          <w:szCs w:val="24"/>
        </w:rPr>
        <w:t>indiscriminado</w:t>
      </w:r>
      <w:r w:rsidRPr="00717825">
        <w:rPr>
          <w:rFonts w:ascii="Arial" w:hAnsi="Arial" w:cs="Arial"/>
          <w:sz w:val="24"/>
          <w:szCs w:val="24"/>
        </w:rPr>
        <w:t xml:space="preserve"> de los productos químicos,la aparición de plagas secundarias y el desarrollo acelerado de mecanismos de resistencias </w:t>
      </w:r>
      <w:r w:rsidR="001434E2" w:rsidRPr="00717825">
        <w:rPr>
          <w:rFonts w:ascii="Arial" w:hAnsi="Arial" w:cs="Arial"/>
          <w:sz w:val="24"/>
          <w:szCs w:val="24"/>
        </w:rPr>
        <w:t>(</w:t>
      </w:r>
      <w:r w:rsidR="00445E72">
        <w:rPr>
          <w:rFonts w:ascii="Arial" w:hAnsi="Arial" w:cs="Arial"/>
          <w:sz w:val="24"/>
          <w:szCs w:val="24"/>
        </w:rPr>
        <w:t>9</w:t>
      </w:r>
      <w:r w:rsidRPr="00717825">
        <w:rPr>
          <w:rFonts w:ascii="Arial" w:hAnsi="Arial" w:cs="Arial"/>
          <w:sz w:val="24"/>
          <w:szCs w:val="24"/>
        </w:rPr>
        <w:t>).</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La incapacidad que han mostrado los plaguicidas para resolver ciertos problemas de plagas, como los ácaros, ha promovido que en las últimas décadas se haya producido un incremento en el uso y aceptación del control biológico (</w:t>
      </w:r>
      <w:r w:rsidR="00445E72">
        <w:rPr>
          <w:rFonts w:ascii="Arial" w:hAnsi="Arial" w:cs="Arial"/>
          <w:sz w:val="24"/>
          <w:szCs w:val="24"/>
        </w:rPr>
        <w:t>20</w:t>
      </w:r>
      <w:r w:rsidR="006C2123" w:rsidRPr="00717825">
        <w:rPr>
          <w:rFonts w:ascii="Arial" w:hAnsi="Arial" w:cs="Arial"/>
          <w:sz w:val="24"/>
          <w:szCs w:val="24"/>
        </w:rPr>
        <w:t>), (</w:t>
      </w:r>
      <w:r w:rsidR="00445E72">
        <w:rPr>
          <w:rFonts w:ascii="Arial" w:hAnsi="Arial" w:cs="Arial"/>
          <w:sz w:val="24"/>
          <w:szCs w:val="24"/>
        </w:rPr>
        <w:t>9</w:t>
      </w:r>
      <w:r w:rsidRPr="00717825">
        <w:rPr>
          <w:rFonts w:ascii="Arial" w:hAnsi="Arial" w:cs="Arial"/>
          <w:sz w:val="24"/>
          <w:szCs w:val="24"/>
        </w:rPr>
        <w:t>), sin embargo, en la actualidad el control químico sigue siendo el más generalizado, aunque existe cierta tendencia hacia el aumento delas áreas tratadas con productos biológicos.</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En la actualidad existen múltiples organismos para desarrollar el control biológico de fitoácaros, entre ellos, microorganismos entomopatógenos, insectos y ácaros depredadores, estos últimos tienen gran relevancia en el manejo de los ácaros fitófagos.</w:t>
      </w:r>
    </w:p>
    <w:p w:rsidR="005C23E7" w:rsidRPr="00717825" w:rsidRDefault="00E7009B" w:rsidP="00561736">
      <w:pPr>
        <w:autoSpaceDE w:val="0"/>
        <w:autoSpaceDN w:val="0"/>
        <w:adjustRightInd w:val="0"/>
        <w:spacing w:after="0" w:line="240" w:lineRule="auto"/>
        <w:jc w:val="both"/>
        <w:rPr>
          <w:rFonts w:ascii="Arial" w:hAnsi="Arial" w:cs="Arial"/>
          <w:b/>
          <w:sz w:val="24"/>
          <w:szCs w:val="24"/>
        </w:rPr>
      </w:pPr>
      <w:r w:rsidRPr="00717825">
        <w:rPr>
          <w:rFonts w:ascii="Arial" w:hAnsi="Arial" w:cs="Arial"/>
          <w:b/>
          <w:sz w:val="24"/>
          <w:szCs w:val="24"/>
        </w:rPr>
        <w:t xml:space="preserve">ÁCAROS DEPREDADORES FITOSEIDOS </w:t>
      </w:r>
    </w:p>
    <w:p w:rsidR="005C23E7" w:rsidRPr="00717825" w:rsidRDefault="005C23E7" w:rsidP="00561736">
      <w:pPr>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lastRenderedPageBreak/>
        <w:t>Los ácaros depredadores han sido importantes agentes de control biológico, desde finales de los años 60´ e inicios de los 70´, constituyendo elementos esenciales en algunos programas de manejo de organismos nocivos (</w:t>
      </w:r>
      <w:r w:rsidR="00445E72">
        <w:rPr>
          <w:rFonts w:ascii="Arial" w:hAnsi="Arial" w:cs="Arial"/>
          <w:sz w:val="24"/>
          <w:szCs w:val="24"/>
        </w:rPr>
        <w:t>23</w:t>
      </w:r>
      <w:r w:rsidRPr="00717825">
        <w:rPr>
          <w:rFonts w:ascii="Arial" w:hAnsi="Arial" w:cs="Arial"/>
          <w:sz w:val="24"/>
          <w:szCs w:val="24"/>
        </w:rPr>
        <w:t>). Los ácaros depredadores generalistas se ali</w:t>
      </w:r>
      <w:r w:rsidR="004762E4" w:rsidRPr="00717825">
        <w:rPr>
          <w:rFonts w:ascii="Arial" w:hAnsi="Arial" w:cs="Arial"/>
          <w:sz w:val="24"/>
          <w:szCs w:val="24"/>
        </w:rPr>
        <w:t>mentan de nematodos, fitoácaros</w:t>
      </w:r>
      <w:r w:rsidRPr="00717825">
        <w:rPr>
          <w:rFonts w:ascii="Arial" w:hAnsi="Arial" w:cs="Arial"/>
          <w:sz w:val="24"/>
          <w:szCs w:val="24"/>
        </w:rPr>
        <w:t>y de pequeños insectos, los cuales han ejercido su acción biorreguladora sobre est</w:t>
      </w:r>
      <w:r w:rsidR="004A7ADB" w:rsidRPr="00717825">
        <w:rPr>
          <w:rFonts w:ascii="Arial" w:hAnsi="Arial" w:cs="Arial"/>
          <w:sz w:val="24"/>
          <w:szCs w:val="24"/>
        </w:rPr>
        <w:t xml:space="preserve">as plagas desde tiempos remotos </w:t>
      </w:r>
      <w:r w:rsidRPr="00717825">
        <w:rPr>
          <w:rFonts w:ascii="Arial" w:hAnsi="Arial" w:cs="Arial"/>
          <w:sz w:val="24"/>
          <w:szCs w:val="24"/>
        </w:rPr>
        <w:t>(</w:t>
      </w:r>
      <w:r w:rsidR="00445E72">
        <w:rPr>
          <w:rFonts w:ascii="Arial" w:hAnsi="Arial" w:cs="Arial"/>
          <w:sz w:val="24"/>
          <w:szCs w:val="24"/>
        </w:rPr>
        <w:t>2</w:t>
      </w:r>
      <w:r w:rsidR="00252CBF" w:rsidRPr="00717825">
        <w:rPr>
          <w:rFonts w:ascii="Arial" w:hAnsi="Arial" w:cs="Arial"/>
          <w:sz w:val="24"/>
          <w:szCs w:val="24"/>
        </w:rPr>
        <w:t>2</w:t>
      </w:r>
      <w:r w:rsidR="004A7ADB" w:rsidRPr="00717825">
        <w:rPr>
          <w:rFonts w:ascii="Arial" w:hAnsi="Arial" w:cs="Arial"/>
          <w:sz w:val="24"/>
          <w:szCs w:val="24"/>
        </w:rPr>
        <w:t>).</w:t>
      </w:r>
    </w:p>
    <w:p w:rsidR="00561736" w:rsidRDefault="00561736" w:rsidP="00561736">
      <w:pPr>
        <w:autoSpaceDE w:val="0"/>
        <w:autoSpaceDN w:val="0"/>
        <w:adjustRightInd w:val="0"/>
        <w:spacing w:after="0" w:line="240" w:lineRule="auto"/>
        <w:jc w:val="both"/>
        <w:rPr>
          <w:rFonts w:ascii="Arial" w:hAnsi="Arial" w:cs="Arial"/>
          <w:sz w:val="24"/>
          <w:szCs w:val="24"/>
        </w:rPr>
      </w:pPr>
    </w:p>
    <w:p w:rsidR="005C23E7" w:rsidRPr="00717825" w:rsidRDefault="00A97B3D"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Este tipo de </w:t>
      </w:r>
      <w:r w:rsidR="00C860FC" w:rsidRPr="00717825">
        <w:rPr>
          <w:rFonts w:ascii="Arial" w:hAnsi="Arial" w:cs="Arial"/>
          <w:sz w:val="24"/>
          <w:szCs w:val="24"/>
        </w:rPr>
        <w:t>arácnidos</w:t>
      </w:r>
      <w:r w:rsidR="005C23E7" w:rsidRPr="00717825">
        <w:rPr>
          <w:rFonts w:ascii="Arial" w:hAnsi="Arial" w:cs="Arial"/>
          <w:sz w:val="24"/>
          <w:szCs w:val="24"/>
        </w:rPr>
        <w:t xml:space="preserve"> son muy activos, de movimientos rápidos y regímenes alimenticios muy variados, que van desde ácaros fitófa</w:t>
      </w:r>
      <w:r w:rsidR="003E02D7">
        <w:rPr>
          <w:rFonts w:ascii="Arial" w:hAnsi="Arial" w:cs="Arial"/>
          <w:sz w:val="24"/>
          <w:szCs w:val="24"/>
        </w:rPr>
        <w:t>gos como tetraníquidos y tarsoné</w:t>
      </w:r>
      <w:r w:rsidR="005C23E7" w:rsidRPr="00717825">
        <w:rPr>
          <w:rFonts w:ascii="Arial" w:hAnsi="Arial" w:cs="Arial"/>
          <w:sz w:val="24"/>
          <w:szCs w:val="24"/>
        </w:rPr>
        <w:t>midos, hasta</w:t>
      </w:r>
      <w:r w:rsidR="003E02D7">
        <w:rPr>
          <w:rFonts w:ascii="Arial" w:hAnsi="Arial" w:cs="Arial"/>
          <w:sz w:val="24"/>
          <w:szCs w:val="24"/>
        </w:rPr>
        <w:t xml:space="preserve"> otros artrópodos como trips, có</w:t>
      </w:r>
      <w:r w:rsidR="005C23E7" w:rsidRPr="00717825">
        <w:rPr>
          <w:rFonts w:ascii="Arial" w:hAnsi="Arial" w:cs="Arial"/>
          <w:sz w:val="24"/>
          <w:szCs w:val="24"/>
        </w:rPr>
        <w:t>ccidos, moscas blancas e incluso algunas sustancias de origen vegetal como el polen de las plantas (</w:t>
      </w:r>
      <w:r w:rsidR="00445E72">
        <w:rPr>
          <w:rFonts w:ascii="Arial" w:hAnsi="Arial" w:cs="Arial"/>
          <w:sz w:val="24"/>
          <w:szCs w:val="24"/>
        </w:rPr>
        <w:t>24</w:t>
      </w:r>
      <w:r w:rsidR="005C23E7" w:rsidRPr="00717825">
        <w:rPr>
          <w:rFonts w:ascii="Arial" w:hAnsi="Arial" w:cs="Arial"/>
          <w:sz w:val="24"/>
          <w:szCs w:val="24"/>
        </w:rPr>
        <w:t>); (</w:t>
      </w:r>
      <w:r w:rsidR="00445E72">
        <w:rPr>
          <w:rFonts w:ascii="Arial" w:hAnsi="Arial" w:cs="Arial"/>
          <w:sz w:val="24"/>
          <w:szCs w:val="24"/>
        </w:rPr>
        <w:t>25</w:t>
      </w:r>
      <w:r w:rsidR="006C2123" w:rsidRPr="00717825">
        <w:rPr>
          <w:rFonts w:ascii="Arial" w:hAnsi="Arial" w:cs="Arial"/>
          <w:sz w:val="24"/>
          <w:szCs w:val="24"/>
        </w:rPr>
        <w:t>)</w:t>
      </w:r>
    </w:p>
    <w:p w:rsidR="005C23E7" w:rsidRPr="00717825" w:rsidRDefault="005C23E7" w:rsidP="002351B3">
      <w:pPr>
        <w:pStyle w:val="Default"/>
        <w:spacing w:after="160"/>
        <w:jc w:val="both"/>
        <w:rPr>
          <w:rFonts w:ascii="Arial" w:hAnsi="Arial" w:cs="Arial"/>
          <w:lang w:val="es-ES"/>
        </w:rPr>
      </w:pPr>
      <w:r w:rsidRPr="00717825">
        <w:rPr>
          <w:rFonts w:ascii="Arial" w:hAnsi="Arial" w:cs="Arial"/>
          <w:lang w:val="es-ES"/>
        </w:rPr>
        <w:t xml:space="preserve">En Acari existen nueve familias de ácaros que poseen un potencial significativo como agentes de control biológico. </w:t>
      </w:r>
      <w:r w:rsidR="00A97B3D" w:rsidRPr="00717825">
        <w:rPr>
          <w:rFonts w:ascii="Arial" w:hAnsi="Arial" w:cs="Arial"/>
          <w:lang w:val="es-ES"/>
        </w:rPr>
        <w:t>Dentro de estas familias se encuentran</w:t>
      </w:r>
      <w:r w:rsidR="00C860FC">
        <w:rPr>
          <w:rFonts w:ascii="Arial" w:hAnsi="Arial" w:cs="Arial"/>
          <w:lang w:val="es-ES"/>
        </w:rPr>
        <w:t xml:space="preserve"> </w:t>
      </w:r>
      <w:r w:rsidRPr="00717825">
        <w:rPr>
          <w:rFonts w:ascii="Arial" w:hAnsi="Arial" w:cs="Arial"/>
          <w:lang w:val="es-ES"/>
        </w:rPr>
        <w:t>Phytoseiidae, Stigmaeidae, Anystidae, Bdellidae, Cheyletidae, Hemisarcoptidae, Ascidae, Laelapidae y Macrochelidae. De todas ellas, la familia Phytoseiidae es la más importante y de la cual existe un mejor conocimiento (</w:t>
      </w:r>
      <w:r w:rsidR="00445E72">
        <w:rPr>
          <w:rFonts w:ascii="Arial" w:hAnsi="Arial" w:cs="Arial"/>
          <w:lang w:val="es-ES"/>
        </w:rPr>
        <w:t>26</w:t>
      </w:r>
      <w:r w:rsidRPr="00717825">
        <w:rPr>
          <w:rFonts w:ascii="Arial" w:hAnsi="Arial" w:cs="Arial"/>
          <w:lang w:val="es-ES"/>
        </w:rPr>
        <w:t xml:space="preserve">). </w:t>
      </w:r>
    </w:p>
    <w:p w:rsidR="00217A37" w:rsidRPr="00717825" w:rsidRDefault="005C23E7" w:rsidP="002351B3">
      <w:pPr>
        <w:pStyle w:val="Default"/>
        <w:spacing w:after="160"/>
        <w:jc w:val="both"/>
        <w:rPr>
          <w:rFonts w:ascii="Arial" w:hAnsi="Arial" w:cs="Arial"/>
          <w:lang w:val="es-ES"/>
        </w:rPr>
      </w:pPr>
      <w:r w:rsidRPr="00717825">
        <w:rPr>
          <w:rFonts w:ascii="Arial" w:hAnsi="Arial" w:cs="Arial"/>
          <w:lang w:val="es-ES"/>
        </w:rPr>
        <w:t>El estudio de la familia Phytoseiidae en Cuba comenzó en los años 70 del siglo pasado, cuando especialistas cubanos comenzaron a observar la presencia de estos pequeños artrópodos asociados con ácaros fitófagos, en cultivos de interés económico como cítricos, papa, plátano, banano, pimiento y arroz, entre otros. La reiterada observación de una adecuada sincronía de sus poblaciones con la de sus posibles presas estimuló el estudio taxonómico de esta familia. Hasta el presente se conoce la presencia de 24 géneros y 61 especies (</w:t>
      </w:r>
      <w:r w:rsidR="00445E72">
        <w:rPr>
          <w:rFonts w:ascii="Arial" w:hAnsi="Arial" w:cs="Arial"/>
          <w:lang w:val="es-ES"/>
        </w:rPr>
        <w:t>15</w:t>
      </w:r>
      <w:r w:rsidR="00402A97" w:rsidRPr="00717825">
        <w:rPr>
          <w:rFonts w:ascii="Arial" w:hAnsi="Arial" w:cs="Arial"/>
          <w:lang w:val="es-ES"/>
        </w:rPr>
        <w:t xml:space="preserve">); </w:t>
      </w:r>
      <w:r w:rsidR="001434E2" w:rsidRPr="00717825">
        <w:rPr>
          <w:rFonts w:ascii="Arial" w:hAnsi="Arial" w:cs="Arial"/>
          <w:lang w:val="es-ES"/>
        </w:rPr>
        <w:t>(</w:t>
      </w:r>
      <w:r w:rsidR="00445E72">
        <w:rPr>
          <w:rFonts w:ascii="Arial" w:hAnsi="Arial" w:cs="Arial"/>
          <w:lang w:val="es-ES"/>
        </w:rPr>
        <w:t>2</w:t>
      </w:r>
      <w:r w:rsidR="00252CBF" w:rsidRPr="00717825">
        <w:rPr>
          <w:rFonts w:ascii="Arial" w:hAnsi="Arial" w:cs="Arial"/>
          <w:lang w:val="es-ES"/>
        </w:rPr>
        <w:t>7</w:t>
      </w:r>
      <w:r w:rsidR="001434E2" w:rsidRPr="00717825">
        <w:rPr>
          <w:rFonts w:ascii="Arial" w:hAnsi="Arial" w:cs="Arial"/>
          <w:lang w:val="es-ES"/>
        </w:rPr>
        <w:t>)</w:t>
      </w:r>
    </w:p>
    <w:p w:rsidR="005C23E7" w:rsidRPr="00717825" w:rsidRDefault="0082380F" w:rsidP="00717825">
      <w:pPr>
        <w:pStyle w:val="Default"/>
        <w:spacing w:after="240"/>
        <w:jc w:val="both"/>
        <w:rPr>
          <w:rFonts w:ascii="Arial" w:hAnsi="Arial" w:cs="Arial"/>
          <w:lang w:val="es-ES"/>
        </w:rPr>
      </w:pPr>
      <w:r w:rsidRPr="00717825">
        <w:rPr>
          <w:rFonts w:ascii="Arial" w:eastAsia="Times New Roman" w:hAnsi="Arial" w:cs="Arial"/>
          <w:lang w:val="es-DO"/>
        </w:rPr>
        <w:t>La</w:t>
      </w:r>
      <w:r w:rsidR="005C23E7" w:rsidRPr="00717825">
        <w:rPr>
          <w:rFonts w:ascii="Arial" w:eastAsia="Times New Roman" w:hAnsi="Arial" w:cs="Arial"/>
          <w:lang w:val="es-DO"/>
        </w:rPr>
        <w:t xml:space="preserve"> familia Phytoseiidae está compuesta por 21 géneros y 53 especies (</w:t>
      </w:r>
      <w:r w:rsidR="00445E72">
        <w:rPr>
          <w:rFonts w:ascii="Arial" w:eastAsia="Times New Roman" w:hAnsi="Arial" w:cs="Arial"/>
          <w:lang w:val="es-DO"/>
        </w:rPr>
        <w:t>2</w:t>
      </w:r>
      <w:r w:rsidR="00402A97" w:rsidRPr="00717825">
        <w:rPr>
          <w:rFonts w:ascii="Arial" w:eastAsia="Times New Roman" w:hAnsi="Arial" w:cs="Arial"/>
          <w:lang w:val="es-DO"/>
        </w:rPr>
        <w:t>8</w:t>
      </w:r>
      <w:r w:rsidR="005C23E7" w:rsidRPr="00717825">
        <w:rPr>
          <w:rFonts w:ascii="Arial" w:eastAsia="Times New Roman" w:hAnsi="Arial" w:cs="Arial"/>
          <w:lang w:val="es-DO"/>
        </w:rPr>
        <w:t>),</w:t>
      </w:r>
      <w:r w:rsidR="005C23E7" w:rsidRPr="00717825">
        <w:rPr>
          <w:rFonts w:ascii="Arial" w:hAnsi="Arial" w:cs="Arial"/>
          <w:lang w:val="es-DO"/>
        </w:rPr>
        <w:t xml:space="preserve"> la</w:t>
      </w:r>
      <w:r w:rsidR="005C23E7" w:rsidRPr="00717825">
        <w:rPr>
          <w:rFonts w:ascii="Arial" w:eastAsia="Times New Roman" w:hAnsi="Arial" w:cs="Arial"/>
          <w:lang w:val="es-DO"/>
        </w:rPr>
        <w:t xml:space="preserve"> mayoría de ellas descritas sobre cultivos agrícolas (</w:t>
      </w:r>
      <w:r w:rsidR="00445E72">
        <w:rPr>
          <w:rFonts w:ascii="Arial" w:eastAsia="Times New Roman" w:hAnsi="Arial" w:cs="Arial"/>
          <w:lang w:val="es-DO"/>
        </w:rPr>
        <w:t>9</w:t>
      </w:r>
      <w:r w:rsidR="005C23E7" w:rsidRPr="00717825">
        <w:rPr>
          <w:rFonts w:ascii="Arial" w:eastAsia="Times New Roman" w:hAnsi="Arial" w:cs="Arial"/>
          <w:lang w:val="es-DO"/>
        </w:rPr>
        <w:t>), lo que sugiere que la riqueza en ecosistemas naturales o pocos perturbados y en la vegetación acompañante de los cultivos debe ser superior</w:t>
      </w:r>
      <w:r w:rsidR="00F314D4" w:rsidRPr="00717825">
        <w:rPr>
          <w:rFonts w:ascii="Arial" w:eastAsia="Times New Roman" w:hAnsi="Arial" w:cs="Arial"/>
          <w:lang w:val="es-DO"/>
        </w:rPr>
        <w:t>.</w:t>
      </w:r>
    </w:p>
    <w:p w:rsidR="005C23E7" w:rsidRPr="00717825" w:rsidRDefault="00A97B3D" w:rsidP="00561736">
      <w:pPr>
        <w:pStyle w:val="Default"/>
        <w:jc w:val="both"/>
        <w:rPr>
          <w:rFonts w:ascii="Arial" w:hAnsi="Arial" w:cs="Arial"/>
          <w:b/>
          <w:lang w:val="es-ES"/>
        </w:rPr>
      </w:pPr>
      <w:r w:rsidRPr="00717825">
        <w:rPr>
          <w:rFonts w:ascii="Arial" w:hAnsi="Arial" w:cs="Arial"/>
          <w:b/>
          <w:lang w:val="es-ES"/>
        </w:rPr>
        <w:t>Principales Características de la Familia Phytoseiidae</w:t>
      </w:r>
    </w:p>
    <w:p w:rsidR="00A11CE5" w:rsidRPr="00717825" w:rsidRDefault="005C23E7" w:rsidP="00561736">
      <w:pPr>
        <w:pStyle w:val="Default"/>
        <w:jc w:val="both"/>
        <w:rPr>
          <w:rFonts w:ascii="Arial" w:hAnsi="Arial" w:cs="Arial"/>
          <w:lang w:val="es-ES"/>
        </w:rPr>
      </w:pPr>
      <w:r w:rsidRPr="00717825">
        <w:rPr>
          <w:rFonts w:ascii="Arial" w:hAnsi="Arial" w:cs="Arial"/>
          <w:lang w:val="es-ES"/>
        </w:rPr>
        <w:t>El cuerpo de un ácaro de la familia Phytoseiidae está dividido, como en la mayoría de los ácaros, en gnatosoma e idiosoma. El gnatosoma tiene funciones sensoriales y también relacionadas con la alimentación y con la cópula en el caso del macho. Comprende un par de palpos cilíndricos, compuestos de cinco segmentos y un par de quelíceros quelados-dentados. Los palpos son sensoriales y ayudan a la detección del alimento; mientras que los quelíceros sirven para sujetar, desgarrar, trocear y manipular el alimento (</w:t>
      </w:r>
      <w:r w:rsidR="00445E72">
        <w:rPr>
          <w:rFonts w:ascii="Arial" w:hAnsi="Arial" w:cs="Arial"/>
          <w:lang w:val="es-ES"/>
        </w:rPr>
        <w:t>29</w:t>
      </w:r>
      <w:r w:rsidRPr="00717825">
        <w:rPr>
          <w:rFonts w:ascii="Arial" w:hAnsi="Arial" w:cs="Arial"/>
          <w:lang w:val="es-ES"/>
        </w:rPr>
        <w:t>).</w:t>
      </w:r>
    </w:p>
    <w:p w:rsidR="00561736" w:rsidRDefault="00561736" w:rsidP="00561736">
      <w:pPr>
        <w:spacing w:after="0" w:line="240" w:lineRule="auto"/>
        <w:jc w:val="both"/>
        <w:rPr>
          <w:rFonts w:ascii="Arial" w:hAnsi="Arial" w:cs="Arial"/>
          <w:b/>
          <w:sz w:val="24"/>
          <w:szCs w:val="24"/>
        </w:rPr>
      </w:pPr>
    </w:p>
    <w:p w:rsidR="005F269C" w:rsidRPr="00717825" w:rsidRDefault="005F269C" w:rsidP="00561736">
      <w:pPr>
        <w:spacing w:after="0" w:line="240" w:lineRule="auto"/>
        <w:jc w:val="both"/>
        <w:rPr>
          <w:rFonts w:ascii="Arial" w:hAnsi="Arial" w:cs="Arial"/>
          <w:b/>
          <w:sz w:val="24"/>
          <w:szCs w:val="24"/>
        </w:rPr>
      </w:pPr>
      <w:r w:rsidRPr="00717825">
        <w:rPr>
          <w:rFonts w:ascii="Arial" w:hAnsi="Arial" w:cs="Arial"/>
          <w:b/>
          <w:sz w:val="24"/>
          <w:szCs w:val="24"/>
        </w:rPr>
        <w:t xml:space="preserve">Reproducción </w:t>
      </w:r>
    </w:p>
    <w:p w:rsidR="005C23E7" w:rsidRPr="00717825" w:rsidRDefault="005C23E7" w:rsidP="002351B3">
      <w:pPr>
        <w:spacing w:line="240" w:lineRule="auto"/>
        <w:jc w:val="both"/>
        <w:rPr>
          <w:rFonts w:ascii="Arial" w:hAnsi="Arial" w:cs="Arial"/>
          <w:sz w:val="24"/>
          <w:szCs w:val="24"/>
        </w:rPr>
      </w:pPr>
      <w:r w:rsidRPr="00717825">
        <w:rPr>
          <w:rFonts w:ascii="Arial" w:hAnsi="Arial" w:cs="Arial"/>
          <w:sz w:val="24"/>
          <w:szCs w:val="24"/>
        </w:rPr>
        <w:t>La reproducción de los fitoseidos ocurre de forma sexual, necesitando, en la mayor parte delas especies, que se produzca la cópula para que la hembra oviposite. El</w:t>
      </w:r>
      <w:r w:rsidR="003E02D7">
        <w:rPr>
          <w:rFonts w:ascii="Arial" w:hAnsi="Arial" w:cs="Arial"/>
          <w:sz w:val="24"/>
          <w:szCs w:val="24"/>
        </w:rPr>
        <w:t xml:space="preserve"> </w:t>
      </w:r>
      <w:r w:rsidRPr="00717825">
        <w:rPr>
          <w:rFonts w:ascii="Arial" w:hAnsi="Arial" w:cs="Arial"/>
          <w:sz w:val="24"/>
          <w:szCs w:val="24"/>
        </w:rPr>
        <w:t>macho produce un paquete de esperma (espermatóforo) en su abertura genital ylo transfiere hasta el poro genital de la hembra mediante unas estructuras</w:t>
      </w:r>
      <w:r w:rsidR="003E02D7">
        <w:rPr>
          <w:rFonts w:ascii="Arial" w:hAnsi="Arial" w:cs="Arial"/>
          <w:sz w:val="24"/>
          <w:szCs w:val="24"/>
        </w:rPr>
        <w:t xml:space="preserve"> </w:t>
      </w:r>
      <w:r w:rsidRPr="00717825">
        <w:rPr>
          <w:rFonts w:ascii="Arial" w:hAnsi="Arial" w:cs="Arial"/>
          <w:sz w:val="24"/>
          <w:szCs w:val="24"/>
        </w:rPr>
        <w:t>especiales situadas en los quelíceros (los espermatodáctilos). La fecundidad</w:t>
      </w:r>
      <w:r w:rsidR="003E02D7">
        <w:rPr>
          <w:rFonts w:ascii="Arial" w:hAnsi="Arial" w:cs="Arial"/>
          <w:sz w:val="24"/>
          <w:szCs w:val="24"/>
        </w:rPr>
        <w:t xml:space="preserve"> </w:t>
      </w:r>
      <w:r w:rsidRPr="00717825">
        <w:rPr>
          <w:rFonts w:ascii="Arial" w:hAnsi="Arial" w:cs="Arial"/>
          <w:sz w:val="24"/>
          <w:szCs w:val="24"/>
        </w:rPr>
        <w:t xml:space="preserve">media de las hembras se encuentra entre 30 y 40 huevos, aunque </w:t>
      </w:r>
      <w:r w:rsidRPr="00717825">
        <w:rPr>
          <w:rFonts w:ascii="Arial" w:hAnsi="Arial" w:cs="Arial"/>
          <w:sz w:val="24"/>
          <w:szCs w:val="24"/>
        </w:rPr>
        <w:lastRenderedPageBreak/>
        <w:t>algunas</w:t>
      </w:r>
      <w:r w:rsidR="003E02D7">
        <w:rPr>
          <w:rFonts w:ascii="Arial" w:hAnsi="Arial" w:cs="Arial"/>
          <w:sz w:val="24"/>
          <w:szCs w:val="24"/>
        </w:rPr>
        <w:t xml:space="preserve"> </w:t>
      </w:r>
      <w:r w:rsidRPr="00717825">
        <w:rPr>
          <w:rFonts w:ascii="Arial" w:hAnsi="Arial" w:cs="Arial"/>
          <w:sz w:val="24"/>
          <w:szCs w:val="24"/>
        </w:rPr>
        <w:t>especies son muy fecundas, alcanzando los 60 y 80 huevos por hembra, como es</w:t>
      </w:r>
      <w:r w:rsidR="003E02D7">
        <w:rPr>
          <w:rFonts w:ascii="Arial" w:hAnsi="Arial" w:cs="Arial"/>
          <w:sz w:val="24"/>
          <w:szCs w:val="24"/>
        </w:rPr>
        <w:t xml:space="preserve"> </w:t>
      </w:r>
      <w:r w:rsidRPr="00717825">
        <w:rPr>
          <w:rFonts w:ascii="Arial" w:hAnsi="Arial" w:cs="Arial"/>
          <w:sz w:val="24"/>
          <w:szCs w:val="24"/>
        </w:rPr>
        <w:t>el caso de los fitoseidos especializados en alimentarse de ácaros tetraníquidos. Las hembras realizan la puesta durante un periodo de tiempo variable, dependiendo de la especie, la temperatura y otras condiciones ambientales, pero por término medio su duración se sitúa entre los 10 y 20 días</w:t>
      </w:r>
      <w:r w:rsidR="003E02D7">
        <w:rPr>
          <w:rFonts w:ascii="Arial" w:hAnsi="Arial" w:cs="Arial"/>
          <w:sz w:val="24"/>
          <w:szCs w:val="24"/>
        </w:rPr>
        <w:t xml:space="preserve"> </w:t>
      </w:r>
      <w:r w:rsidRPr="00717825">
        <w:rPr>
          <w:rFonts w:ascii="Arial" w:hAnsi="Arial" w:cs="Arial"/>
          <w:sz w:val="24"/>
          <w:szCs w:val="24"/>
        </w:rPr>
        <w:t>(</w:t>
      </w:r>
      <w:r w:rsidR="00445E72">
        <w:rPr>
          <w:rFonts w:ascii="Arial" w:hAnsi="Arial" w:cs="Arial"/>
          <w:sz w:val="24"/>
          <w:szCs w:val="24"/>
        </w:rPr>
        <w:t>30</w:t>
      </w:r>
      <w:r w:rsidRPr="00717825">
        <w:rPr>
          <w:rFonts w:ascii="Arial" w:hAnsi="Arial" w:cs="Arial"/>
          <w:sz w:val="24"/>
          <w:szCs w:val="24"/>
        </w:rPr>
        <w:t>).</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El cociente sexual también varía con la especie. Los datos obtenidos en campo sitúan la proporción de hembras entre el 66 y el 97,5%. La determinación del sexo se realiza a través de un mecanismo denominado parahaploidia o pseudoarrenotoquia, por el que machos y hembras presentan distinta dotación cromosómica. Ambos sexos se originan a partir de huevos fecundados, sin emb</w:t>
      </w:r>
      <w:r w:rsidR="00A11CE5" w:rsidRPr="00717825">
        <w:rPr>
          <w:rFonts w:ascii="Arial" w:hAnsi="Arial" w:cs="Arial"/>
          <w:sz w:val="24"/>
          <w:szCs w:val="24"/>
        </w:rPr>
        <w:t xml:space="preserve">argo, los machos son haploides </w:t>
      </w:r>
      <w:r w:rsidRPr="00717825">
        <w:rPr>
          <w:rFonts w:ascii="Arial" w:hAnsi="Arial" w:cs="Arial"/>
          <w:sz w:val="24"/>
          <w:szCs w:val="24"/>
        </w:rPr>
        <w:t>(</w:t>
      </w:r>
      <w:r w:rsidR="00445E72">
        <w:rPr>
          <w:rFonts w:ascii="Arial" w:hAnsi="Arial" w:cs="Arial"/>
          <w:sz w:val="24"/>
          <w:szCs w:val="24"/>
        </w:rPr>
        <w:t>31</w:t>
      </w:r>
      <w:r w:rsidRPr="00717825">
        <w:rPr>
          <w:rFonts w:ascii="Arial" w:hAnsi="Arial" w:cs="Arial"/>
          <w:sz w:val="24"/>
          <w:szCs w:val="24"/>
        </w:rPr>
        <w:t>).</w:t>
      </w:r>
    </w:p>
    <w:p w:rsidR="005C23E7" w:rsidRPr="00717825" w:rsidRDefault="005C23E7" w:rsidP="00561736">
      <w:pPr>
        <w:autoSpaceDE w:val="0"/>
        <w:autoSpaceDN w:val="0"/>
        <w:adjustRightInd w:val="0"/>
        <w:spacing w:after="0" w:line="240" w:lineRule="auto"/>
        <w:jc w:val="both"/>
        <w:rPr>
          <w:rFonts w:ascii="Arial" w:hAnsi="Arial" w:cs="Arial"/>
          <w:b/>
          <w:sz w:val="24"/>
          <w:szCs w:val="24"/>
        </w:rPr>
      </w:pPr>
      <w:r w:rsidRPr="00717825">
        <w:rPr>
          <w:rFonts w:ascii="Arial" w:hAnsi="Arial" w:cs="Arial"/>
          <w:b/>
          <w:sz w:val="24"/>
          <w:szCs w:val="24"/>
        </w:rPr>
        <w:t xml:space="preserve">Ciclo de vida </w:t>
      </w:r>
    </w:p>
    <w:p w:rsidR="005C23E7" w:rsidRPr="00717825" w:rsidRDefault="005C23E7" w:rsidP="00561736">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El ciclo de vida de los Phytoseiidae atraviesa por cinco estados biológicos: huevo, larva, protoninfa, deutoninfa y adulto, no se observan estados quiescentes propiamente dichos. Los huevos son colocados, por lo regular, en el envés de las hojas. Los estados ninfales se mueven rápidamente cuando son perturbados o cuando </w:t>
      </w:r>
      <w:r w:rsidR="005F269C" w:rsidRPr="00717825">
        <w:rPr>
          <w:rFonts w:ascii="Arial" w:hAnsi="Arial" w:cs="Arial"/>
          <w:sz w:val="24"/>
          <w:szCs w:val="24"/>
        </w:rPr>
        <w:t>están</w:t>
      </w:r>
      <w:r w:rsidRPr="00717825">
        <w:rPr>
          <w:rFonts w:ascii="Arial" w:hAnsi="Arial" w:cs="Arial"/>
          <w:sz w:val="24"/>
          <w:szCs w:val="24"/>
        </w:rPr>
        <w:t xml:space="preserve"> buscando alimento; su apariencia es brillante y casi transparente, en algunas especies la larva no se alimenta.</w:t>
      </w:r>
    </w:p>
    <w:p w:rsidR="00A02E13" w:rsidRPr="00717825" w:rsidRDefault="005C23E7" w:rsidP="00561736">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Generalmente, el período de desarrollo de</w:t>
      </w:r>
      <w:r w:rsidR="003E02D7">
        <w:rPr>
          <w:rFonts w:ascii="Arial" w:hAnsi="Arial" w:cs="Arial"/>
          <w:sz w:val="24"/>
          <w:szCs w:val="24"/>
        </w:rPr>
        <w:t xml:space="preserve"> </w:t>
      </w:r>
      <w:r w:rsidRPr="00717825">
        <w:rPr>
          <w:rFonts w:ascii="Arial" w:hAnsi="Arial" w:cs="Arial"/>
          <w:sz w:val="24"/>
          <w:szCs w:val="24"/>
        </w:rPr>
        <w:t>huevo a adulto de muchas especies de Phyoseiidae varía de 4 a 7 días, a una temperatura de 25</w:t>
      </w:r>
      <w:r w:rsidRPr="00717825">
        <w:rPr>
          <w:rFonts w:ascii="Arial" w:hAnsi="Arial" w:cs="Arial"/>
          <w:sz w:val="24"/>
          <w:szCs w:val="24"/>
          <w:vertAlign w:val="superscript"/>
        </w:rPr>
        <w:t>0</w:t>
      </w:r>
      <w:r w:rsidR="00A11CE5" w:rsidRPr="00717825">
        <w:rPr>
          <w:rFonts w:ascii="Arial" w:hAnsi="Arial" w:cs="Arial"/>
          <w:sz w:val="24"/>
          <w:szCs w:val="24"/>
        </w:rPr>
        <w:t>C. Esto</w:t>
      </w:r>
      <w:r w:rsidR="003E02D7">
        <w:rPr>
          <w:rFonts w:ascii="Arial" w:hAnsi="Arial" w:cs="Arial"/>
          <w:sz w:val="24"/>
          <w:szCs w:val="24"/>
        </w:rPr>
        <w:t xml:space="preserve"> </w:t>
      </w:r>
      <w:r w:rsidR="00A11CE5" w:rsidRPr="00717825">
        <w:rPr>
          <w:rFonts w:ascii="Arial" w:hAnsi="Arial" w:cs="Arial"/>
          <w:sz w:val="24"/>
          <w:szCs w:val="24"/>
        </w:rPr>
        <w:t xml:space="preserve">hace que el </w:t>
      </w:r>
      <w:r w:rsidRPr="00717825">
        <w:rPr>
          <w:rFonts w:ascii="Arial" w:hAnsi="Arial" w:cs="Arial"/>
          <w:sz w:val="24"/>
          <w:szCs w:val="24"/>
        </w:rPr>
        <w:t xml:space="preserve">ciclo de vida </w:t>
      </w:r>
      <w:r w:rsidR="00A11CE5" w:rsidRPr="00717825">
        <w:rPr>
          <w:rFonts w:ascii="Arial" w:hAnsi="Arial" w:cs="Arial"/>
          <w:sz w:val="24"/>
          <w:szCs w:val="24"/>
        </w:rPr>
        <w:t xml:space="preserve">sea en </w:t>
      </w:r>
      <w:r w:rsidR="006036A7" w:rsidRPr="00717825">
        <w:rPr>
          <w:rFonts w:ascii="Arial" w:hAnsi="Arial" w:cs="Arial"/>
          <w:sz w:val="24"/>
          <w:szCs w:val="24"/>
        </w:rPr>
        <w:t>corto tiempo, y que</w:t>
      </w:r>
      <w:r w:rsidRPr="00717825">
        <w:rPr>
          <w:rFonts w:ascii="Arial" w:hAnsi="Arial" w:cs="Arial"/>
          <w:sz w:val="24"/>
          <w:szCs w:val="24"/>
        </w:rPr>
        <w:t xml:space="preserve"> se les considere candidatos importantes para el control biológico de ácaros, puesto que, mientras transcurre una generación (huevo a adulto) de la presa, se pueden desarrollar dos generaciones de Phytoseiidae.</w:t>
      </w:r>
    </w:p>
    <w:p w:rsidR="005C23E7" w:rsidRPr="00717825" w:rsidRDefault="003E02D7" w:rsidP="00561736">
      <w:pPr>
        <w:pStyle w:val="Default"/>
        <w:jc w:val="both"/>
        <w:rPr>
          <w:rFonts w:ascii="Arial" w:hAnsi="Arial" w:cs="Arial"/>
          <w:b/>
          <w:lang w:val="es-ES"/>
        </w:rPr>
      </w:pPr>
      <w:r>
        <w:rPr>
          <w:rFonts w:ascii="Arial" w:hAnsi="Arial" w:cs="Arial"/>
          <w:b/>
          <w:lang w:val="es-ES"/>
        </w:rPr>
        <w:t>Uso de los Á</w:t>
      </w:r>
      <w:r w:rsidR="005C23E7" w:rsidRPr="00717825">
        <w:rPr>
          <w:rFonts w:ascii="Arial" w:hAnsi="Arial" w:cs="Arial"/>
          <w:b/>
          <w:lang w:val="es-ES"/>
        </w:rPr>
        <w:t>caros Fitoseidos</w:t>
      </w:r>
    </w:p>
    <w:p w:rsidR="005C23E7" w:rsidRPr="00717825" w:rsidRDefault="00E7009B" w:rsidP="002351B3">
      <w:pPr>
        <w:autoSpaceDE w:val="0"/>
        <w:autoSpaceDN w:val="0"/>
        <w:adjustRightInd w:val="0"/>
        <w:spacing w:line="240" w:lineRule="auto"/>
        <w:jc w:val="both"/>
        <w:rPr>
          <w:rFonts w:ascii="Arial" w:hAnsi="Arial" w:cs="Arial"/>
          <w:i/>
          <w:iCs/>
          <w:sz w:val="24"/>
          <w:szCs w:val="24"/>
        </w:rPr>
      </w:pPr>
      <w:r w:rsidRPr="00717825">
        <w:rPr>
          <w:rFonts w:ascii="Arial" w:hAnsi="Arial" w:cs="Arial"/>
          <w:sz w:val="24"/>
          <w:szCs w:val="24"/>
        </w:rPr>
        <w:t>E</w:t>
      </w:r>
      <w:r w:rsidR="005C23E7" w:rsidRPr="00717825">
        <w:rPr>
          <w:rFonts w:ascii="Arial" w:hAnsi="Arial" w:cs="Arial"/>
          <w:sz w:val="24"/>
          <w:szCs w:val="24"/>
        </w:rPr>
        <w:t>l uso de fitoseidos para el control de plagas agrícolas se desarrolló</w:t>
      </w:r>
      <w:r w:rsidR="003E02D7">
        <w:rPr>
          <w:rFonts w:ascii="Arial" w:hAnsi="Arial" w:cs="Arial"/>
          <w:sz w:val="24"/>
          <w:szCs w:val="24"/>
        </w:rPr>
        <w:t xml:space="preserve"> </w:t>
      </w:r>
      <w:r w:rsidR="005C23E7" w:rsidRPr="00717825">
        <w:rPr>
          <w:rFonts w:ascii="Arial" w:hAnsi="Arial" w:cs="Arial"/>
          <w:sz w:val="24"/>
          <w:szCs w:val="24"/>
        </w:rPr>
        <w:t>en cultivos protegidos de Europa, a principios de los años 60</w:t>
      </w:r>
      <w:r w:rsidRPr="00717825">
        <w:rPr>
          <w:rFonts w:ascii="Arial" w:hAnsi="Arial" w:cs="Arial"/>
          <w:sz w:val="24"/>
          <w:szCs w:val="24"/>
        </w:rPr>
        <w:t>; donde</w:t>
      </w:r>
      <w:r w:rsidR="005C23E7" w:rsidRPr="00717825">
        <w:rPr>
          <w:rFonts w:ascii="Arial" w:hAnsi="Arial" w:cs="Arial"/>
          <w:sz w:val="24"/>
          <w:szCs w:val="24"/>
        </w:rPr>
        <w:t xml:space="preserve"> se</w:t>
      </w:r>
      <w:r w:rsidR="003E02D7">
        <w:rPr>
          <w:rFonts w:ascii="Arial" w:hAnsi="Arial" w:cs="Arial"/>
          <w:sz w:val="24"/>
          <w:szCs w:val="24"/>
        </w:rPr>
        <w:t xml:space="preserve"> </w:t>
      </w:r>
      <w:r w:rsidR="005C23E7" w:rsidRPr="00717825">
        <w:rPr>
          <w:rFonts w:ascii="Arial" w:hAnsi="Arial" w:cs="Arial"/>
          <w:sz w:val="24"/>
          <w:szCs w:val="24"/>
        </w:rPr>
        <w:t xml:space="preserve">comprobó la relación de estos ácaros depredadores con las colonias del ácarofitófago </w:t>
      </w:r>
      <w:r w:rsidR="00D56D27" w:rsidRPr="00717825">
        <w:rPr>
          <w:rFonts w:ascii="Arial" w:hAnsi="Arial" w:cs="Arial"/>
          <w:sz w:val="24"/>
          <w:szCs w:val="24"/>
        </w:rPr>
        <w:t>(</w:t>
      </w:r>
      <w:r w:rsidR="005C23E7" w:rsidRPr="00717825">
        <w:rPr>
          <w:rFonts w:ascii="Arial" w:hAnsi="Arial" w:cs="Arial"/>
          <w:i/>
          <w:iCs/>
          <w:sz w:val="24"/>
          <w:szCs w:val="24"/>
        </w:rPr>
        <w:t>TetranychusurticaeC.L. Koch</w:t>
      </w:r>
      <w:r w:rsidR="00D56D27" w:rsidRPr="00717825">
        <w:rPr>
          <w:rFonts w:ascii="Arial" w:hAnsi="Arial" w:cs="Arial"/>
          <w:i/>
          <w:iCs/>
          <w:sz w:val="24"/>
          <w:szCs w:val="24"/>
        </w:rPr>
        <w:t xml:space="preserve">) </w:t>
      </w:r>
      <w:r w:rsidR="005C23E7" w:rsidRPr="00717825">
        <w:rPr>
          <w:rFonts w:ascii="Arial" w:hAnsi="Arial" w:cs="Arial"/>
          <w:i/>
          <w:iCs/>
          <w:sz w:val="24"/>
          <w:szCs w:val="24"/>
        </w:rPr>
        <w:t>y</w:t>
      </w:r>
      <w:r w:rsidR="005C23E7" w:rsidRPr="00717825">
        <w:rPr>
          <w:rFonts w:ascii="Arial" w:hAnsi="Arial" w:cs="Arial"/>
          <w:sz w:val="24"/>
          <w:szCs w:val="24"/>
        </w:rPr>
        <w:t xml:space="preserve"> se demostró que sueltas masivas de </w:t>
      </w:r>
      <w:r w:rsidR="00D56D27" w:rsidRPr="00717825">
        <w:rPr>
          <w:rFonts w:ascii="Arial" w:hAnsi="Arial" w:cs="Arial"/>
          <w:sz w:val="24"/>
          <w:szCs w:val="24"/>
        </w:rPr>
        <w:t>(</w:t>
      </w:r>
      <w:r w:rsidR="005C23E7" w:rsidRPr="00717825">
        <w:rPr>
          <w:rFonts w:ascii="Arial" w:hAnsi="Arial" w:cs="Arial"/>
          <w:i/>
          <w:iCs/>
          <w:sz w:val="24"/>
          <w:szCs w:val="24"/>
        </w:rPr>
        <w:t>P</w:t>
      </w:r>
      <w:r w:rsidR="00D56D27" w:rsidRPr="00717825">
        <w:rPr>
          <w:rFonts w:ascii="Arial" w:hAnsi="Arial" w:cs="Arial"/>
          <w:i/>
          <w:iCs/>
          <w:sz w:val="24"/>
          <w:szCs w:val="24"/>
        </w:rPr>
        <w:t>hytoseiulus</w:t>
      </w:r>
      <w:r w:rsidR="005C23E7" w:rsidRPr="00717825">
        <w:rPr>
          <w:rFonts w:ascii="Arial" w:hAnsi="Arial" w:cs="Arial"/>
          <w:i/>
          <w:iCs/>
          <w:sz w:val="24"/>
          <w:szCs w:val="24"/>
        </w:rPr>
        <w:t>. persimili</w:t>
      </w:r>
      <w:r w:rsidR="00D56D27" w:rsidRPr="00717825">
        <w:rPr>
          <w:rFonts w:ascii="Arial" w:hAnsi="Arial" w:cs="Arial"/>
          <w:i/>
          <w:iCs/>
          <w:sz w:val="24"/>
          <w:szCs w:val="24"/>
        </w:rPr>
        <w:t>sAthias-Henriot)</w:t>
      </w:r>
      <w:r w:rsidR="003E02D7">
        <w:rPr>
          <w:rFonts w:ascii="Arial" w:hAnsi="Arial" w:cs="Arial"/>
          <w:i/>
          <w:iCs/>
          <w:sz w:val="24"/>
          <w:szCs w:val="24"/>
        </w:rPr>
        <w:t xml:space="preserve"> </w:t>
      </w:r>
      <w:r w:rsidR="003E02D7">
        <w:rPr>
          <w:rFonts w:ascii="Arial" w:hAnsi="Arial" w:cs="Arial"/>
          <w:sz w:val="24"/>
          <w:szCs w:val="24"/>
        </w:rPr>
        <w:t>era</w:t>
      </w:r>
      <w:r w:rsidR="005C23E7" w:rsidRPr="00717825">
        <w:rPr>
          <w:rFonts w:ascii="Arial" w:hAnsi="Arial" w:cs="Arial"/>
          <w:sz w:val="24"/>
          <w:szCs w:val="24"/>
        </w:rPr>
        <w:t>n capaces de controlar la plaga. Actualmente, las principales</w:t>
      </w:r>
      <w:r w:rsidR="003E02D7">
        <w:rPr>
          <w:rFonts w:ascii="Arial" w:hAnsi="Arial" w:cs="Arial"/>
          <w:sz w:val="24"/>
          <w:szCs w:val="24"/>
        </w:rPr>
        <w:t xml:space="preserve"> </w:t>
      </w:r>
      <w:r w:rsidR="005C23E7" w:rsidRPr="00717825">
        <w:rPr>
          <w:rFonts w:ascii="Arial" w:hAnsi="Arial" w:cs="Arial"/>
          <w:sz w:val="24"/>
          <w:szCs w:val="24"/>
        </w:rPr>
        <w:t xml:space="preserve">empresas productoras de enemigos naturales comercializan </w:t>
      </w:r>
      <w:r w:rsidR="005C23E7" w:rsidRPr="00717825">
        <w:rPr>
          <w:rFonts w:ascii="Arial" w:hAnsi="Arial" w:cs="Arial"/>
          <w:i/>
          <w:iCs/>
          <w:sz w:val="24"/>
          <w:szCs w:val="24"/>
        </w:rPr>
        <w:t>P. persimilis</w:t>
      </w:r>
      <w:r w:rsidR="005C23E7" w:rsidRPr="00717825">
        <w:rPr>
          <w:rFonts w:ascii="Arial" w:hAnsi="Arial" w:cs="Arial"/>
          <w:sz w:val="24"/>
          <w:szCs w:val="24"/>
        </w:rPr>
        <w:t>, al igual</w:t>
      </w:r>
      <w:r w:rsidR="003E02D7">
        <w:rPr>
          <w:rFonts w:ascii="Arial" w:hAnsi="Arial" w:cs="Arial"/>
          <w:sz w:val="24"/>
          <w:szCs w:val="24"/>
        </w:rPr>
        <w:t xml:space="preserve"> </w:t>
      </w:r>
      <w:r w:rsidR="005C23E7" w:rsidRPr="00717825">
        <w:rPr>
          <w:rFonts w:ascii="Arial" w:hAnsi="Arial" w:cs="Arial"/>
          <w:sz w:val="24"/>
          <w:szCs w:val="24"/>
        </w:rPr>
        <w:t xml:space="preserve">que otros fitoseidos destinados al control de plagas, como </w:t>
      </w:r>
      <w:r w:rsidR="00D56D27" w:rsidRPr="00717825">
        <w:rPr>
          <w:rFonts w:ascii="Arial" w:hAnsi="Arial" w:cs="Arial"/>
          <w:sz w:val="24"/>
          <w:szCs w:val="24"/>
        </w:rPr>
        <w:t>(</w:t>
      </w:r>
      <w:r w:rsidR="005C23E7" w:rsidRPr="00717825">
        <w:rPr>
          <w:rFonts w:ascii="Arial" w:hAnsi="Arial" w:cs="Arial"/>
          <w:i/>
          <w:iCs/>
          <w:sz w:val="24"/>
          <w:szCs w:val="24"/>
        </w:rPr>
        <w:t>Neoseiulus</w:t>
      </w:r>
      <w:r w:rsidR="003E02D7">
        <w:rPr>
          <w:rFonts w:ascii="Arial" w:hAnsi="Arial" w:cs="Arial"/>
          <w:i/>
          <w:iCs/>
          <w:sz w:val="24"/>
          <w:szCs w:val="24"/>
        </w:rPr>
        <w:t xml:space="preserve"> </w:t>
      </w:r>
      <w:r w:rsidR="005C23E7" w:rsidRPr="00717825">
        <w:rPr>
          <w:rFonts w:ascii="Arial" w:hAnsi="Arial" w:cs="Arial"/>
          <w:i/>
          <w:iCs/>
          <w:sz w:val="24"/>
          <w:szCs w:val="24"/>
        </w:rPr>
        <w:t>californicus Mc Gregor</w:t>
      </w:r>
      <w:r w:rsidR="00D56D27" w:rsidRPr="00717825">
        <w:rPr>
          <w:rFonts w:ascii="Arial" w:hAnsi="Arial" w:cs="Arial"/>
          <w:i/>
          <w:iCs/>
          <w:sz w:val="24"/>
          <w:szCs w:val="24"/>
        </w:rPr>
        <w:t>)</w:t>
      </w:r>
      <w:r w:rsidR="005C23E7" w:rsidRPr="00717825">
        <w:rPr>
          <w:rFonts w:ascii="Arial" w:hAnsi="Arial" w:cs="Arial"/>
          <w:sz w:val="24"/>
          <w:szCs w:val="24"/>
        </w:rPr>
        <w:t>,</w:t>
      </w:r>
      <w:r w:rsidR="00D56D27" w:rsidRPr="00717825">
        <w:rPr>
          <w:rFonts w:ascii="Arial" w:hAnsi="Arial" w:cs="Arial"/>
          <w:sz w:val="24"/>
          <w:szCs w:val="24"/>
        </w:rPr>
        <w:t>(</w:t>
      </w:r>
      <w:r w:rsidR="005C23E7" w:rsidRPr="00717825">
        <w:rPr>
          <w:rFonts w:ascii="Arial" w:hAnsi="Arial" w:cs="Arial"/>
          <w:i/>
          <w:iCs/>
          <w:sz w:val="24"/>
          <w:szCs w:val="24"/>
        </w:rPr>
        <w:t>Amblyseius</w:t>
      </w:r>
      <w:r w:rsidR="003E02D7">
        <w:rPr>
          <w:rFonts w:ascii="Arial" w:hAnsi="Arial" w:cs="Arial"/>
          <w:i/>
          <w:iCs/>
          <w:sz w:val="24"/>
          <w:szCs w:val="24"/>
        </w:rPr>
        <w:t xml:space="preserve"> </w:t>
      </w:r>
      <w:r w:rsidR="005C23E7" w:rsidRPr="00717825">
        <w:rPr>
          <w:rFonts w:ascii="Arial" w:hAnsi="Arial" w:cs="Arial"/>
          <w:i/>
          <w:iCs/>
          <w:sz w:val="24"/>
          <w:szCs w:val="24"/>
        </w:rPr>
        <w:t>andersoni</w:t>
      </w:r>
      <w:r w:rsidR="003E02D7">
        <w:rPr>
          <w:rFonts w:ascii="Arial" w:hAnsi="Arial" w:cs="Arial"/>
          <w:i/>
          <w:iCs/>
          <w:sz w:val="24"/>
          <w:szCs w:val="24"/>
        </w:rPr>
        <w:t xml:space="preserve"> </w:t>
      </w:r>
      <w:r w:rsidR="005C23E7" w:rsidRPr="00717825">
        <w:rPr>
          <w:rFonts w:ascii="Arial" w:hAnsi="Arial" w:cs="Arial"/>
          <w:i/>
          <w:iCs/>
          <w:sz w:val="24"/>
          <w:szCs w:val="24"/>
        </w:rPr>
        <w:t>Berlese</w:t>
      </w:r>
      <w:r w:rsidR="005C23E7" w:rsidRPr="00717825">
        <w:rPr>
          <w:rFonts w:ascii="Arial" w:hAnsi="Arial" w:cs="Arial"/>
          <w:sz w:val="24"/>
          <w:szCs w:val="24"/>
        </w:rPr>
        <w:t>o</w:t>
      </w:r>
      <w:r w:rsidR="00D56D27" w:rsidRPr="00717825">
        <w:rPr>
          <w:rFonts w:ascii="Arial" w:hAnsi="Arial" w:cs="Arial"/>
          <w:sz w:val="24"/>
          <w:szCs w:val="24"/>
        </w:rPr>
        <w:t>), (</w:t>
      </w:r>
      <w:r w:rsidR="005C23E7" w:rsidRPr="00717825">
        <w:rPr>
          <w:rFonts w:ascii="Arial" w:hAnsi="Arial" w:cs="Arial"/>
          <w:i/>
          <w:iCs/>
          <w:sz w:val="24"/>
          <w:szCs w:val="24"/>
        </w:rPr>
        <w:t>Amblyseius</w:t>
      </w:r>
      <w:r w:rsidR="003E02D7">
        <w:rPr>
          <w:rFonts w:ascii="Arial" w:hAnsi="Arial" w:cs="Arial"/>
          <w:i/>
          <w:iCs/>
          <w:sz w:val="24"/>
          <w:szCs w:val="24"/>
        </w:rPr>
        <w:t xml:space="preserve"> </w:t>
      </w:r>
      <w:r w:rsidR="005C23E7" w:rsidRPr="00717825">
        <w:rPr>
          <w:rFonts w:ascii="Arial" w:hAnsi="Arial" w:cs="Arial"/>
          <w:i/>
          <w:iCs/>
          <w:sz w:val="24"/>
          <w:szCs w:val="24"/>
        </w:rPr>
        <w:t>swirskii</w:t>
      </w:r>
      <w:r w:rsidR="003E02D7">
        <w:rPr>
          <w:rFonts w:ascii="Arial" w:hAnsi="Arial" w:cs="Arial"/>
          <w:i/>
          <w:iCs/>
          <w:sz w:val="24"/>
          <w:szCs w:val="24"/>
        </w:rPr>
        <w:t xml:space="preserve"> </w:t>
      </w:r>
      <w:r w:rsidR="005C23E7" w:rsidRPr="00717825">
        <w:rPr>
          <w:rFonts w:ascii="Arial" w:hAnsi="Arial" w:cs="Arial"/>
          <w:i/>
          <w:iCs/>
          <w:sz w:val="24"/>
          <w:szCs w:val="24"/>
        </w:rPr>
        <w:t>Athias-Henriot</w:t>
      </w:r>
      <w:r w:rsidR="00D56D27" w:rsidRPr="00717825">
        <w:rPr>
          <w:rFonts w:ascii="Arial" w:hAnsi="Arial" w:cs="Arial"/>
          <w:i/>
          <w:iCs/>
          <w:sz w:val="24"/>
          <w:szCs w:val="24"/>
        </w:rPr>
        <w:t>)</w:t>
      </w:r>
      <w:r w:rsidRPr="00717825">
        <w:rPr>
          <w:rFonts w:ascii="Arial" w:hAnsi="Arial" w:cs="Arial"/>
          <w:sz w:val="24"/>
          <w:szCs w:val="24"/>
        </w:rPr>
        <w:t xml:space="preserve"> (</w:t>
      </w:r>
      <w:r w:rsidR="00680490">
        <w:rPr>
          <w:rFonts w:ascii="Arial" w:hAnsi="Arial" w:cs="Arial"/>
          <w:sz w:val="24"/>
          <w:szCs w:val="24"/>
        </w:rPr>
        <w:t>32</w:t>
      </w:r>
      <w:r w:rsidRPr="00717825">
        <w:rPr>
          <w:rFonts w:ascii="Arial" w:hAnsi="Arial" w:cs="Arial"/>
          <w:sz w:val="24"/>
          <w:szCs w:val="24"/>
        </w:rPr>
        <w:t>)</w:t>
      </w:r>
      <w:r w:rsidR="006036A7" w:rsidRPr="00717825">
        <w:rPr>
          <w:rFonts w:ascii="Arial" w:hAnsi="Arial" w:cs="Arial"/>
          <w:sz w:val="24"/>
          <w:szCs w:val="24"/>
        </w:rPr>
        <w:t xml:space="preserve">. </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El desarrollo y uso de los fitoseidos ha venido creciendo a partir de la potencialidad que estos agentes de control biológico han mostrado en condiciones de producción, principalmente de hortalizas, flores y frutas, unido a la diversidad de plagas que pueden controlar (</w:t>
      </w:r>
      <w:r w:rsidR="00680490">
        <w:rPr>
          <w:rFonts w:ascii="Arial" w:hAnsi="Arial" w:cs="Arial"/>
          <w:sz w:val="24"/>
          <w:szCs w:val="24"/>
        </w:rPr>
        <w:t>33</w:t>
      </w:r>
      <w:r w:rsidR="00402A97" w:rsidRPr="00717825">
        <w:rPr>
          <w:rFonts w:ascii="Arial" w:hAnsi="Arial" w:cs="Arial"/>
          <w:sz w:val="24"/>
          <w:szCs w:val="24"/>
        </w:rPr>
        <w:t>)</w:t>
      </w:r>
      <w:r w:rsidRPr="00717825">
        <w:rPr>
          <w:rFonts w:ascii="Arial" w:hAnsi="Arial" w:cs="Arial"/>
          <w:sz w:val="24"/>
          <w:szCs w:val="24"/>
        </w:rPr>
        <w:t xml:space="preserve">; </w:t>
      </w:r>
      <w:r w:rsidR="00680490">
        <w:rPr>
          <w:rFonts w:ascii="Arial" w:hAnsi="Arial" w:cs="Arial"/>
          <w:sz w:val="24"/>
          <w:szCs w:val="24"/>
        </w:rPr>
        <w:t>(34</w:t>
      </w:r>
      <w:r w:rsidR="00402A97" w:rsidRPr="00717825">
        <w:rPr>
          <w:rFonts w:ascii="Arial" w:hAnsi="Arial" w:cs="Arial"/>
          <w:sz w:val="24"/>
          <w:szCs w:val="24"/>
        </w:rPr>
        <w:t>)</w:t>
      </w:r>
      <w:r w:rsidRPr="00717825">
        <w:rPr>
          <w:rFonts w:ascii="Arial" w:hAnsi="Arial" w:cs="Arial"/>
          <w:sz w:val="24"/>
          <w:szCs w:val="24"/>
        </w:rPr>
        <w:t xml:space="preserve"> La variedad de presas que pueden llegar a consumir varía mucho en función de la especie que se trate, abarcando desde los depredadores especialistas como los integrantes del género </w:t>
      </w:r>
      <w:r w:rsidRPr="00717825">
        <w:rPr>
          <w:rFonts w:ascii="Arial" w:hAnsi="Arial" w:cs="Arial"/>
          <w:i/>
          <w:iCs/>
          <w:sz w:val="24"/>
          <w:szCs w:val="24"/>
        </w:rPr>
        <w:t>Phytoseiulus</w:t>
      </w:r>
      <w:r w:rsidR="003E02D7">
        <w:rPr>
          <w:rFonts w:ascii="Arial" w:hAnsi="Arial" w:cs="Arial"/>
          <w:i/>
          <w:iCs/>
          <w:sz w:val="24"/>
          <w:szCs w:val="24"/>
        </w:rPr>
        <w:t xml:space="preserve"> </w:t>
      </w:r>
      <w:r w:rsidRPr="00717825">
        <w:rPr>
          <w:rFonts w:ascii="Arial" w:hAnsi="Arial" w:cs="Arial"/>
          <w:sz w:val="24"/>
          <w:szCs w:val="24"/>
        </w:rPr>
        <w:t xml:space="preserve">Evans hasta los generalistas de amplio espectro como los de </w:t>
      </w:r>
      <w:r w:rsidRPr="00717825">
        <w:rPr>
          <w:rFonts w:ascii="Arial" w:hAnsi="Arial" w:cs="Arial"/>
          <w:i/>
          <w:iCs/>
          <w:sz w:val="24"/>
          <w:szCs w:val="24"/>
        </w:rPr>
        <w:t>Amblyseius</w:t>
      </w:r>
      <w:r w:rsidR="003E02D7">
        <w:rPr>
          <w:rFonts w:ascii="Arial" w:hAnsi="Arial" w:cs="Arial"/>
          <w:i/>
          <w:iCs/>
          <w:sz w:val="24"/>
          <w:szCs w:val="24"/>
        </w:rPr>
        <w:t xml:space="preserve"> </w:t>
      </w:r>
      <w:r w:rsidRPr="00717825">
        <w:rPr>
          <w:rFonts w:ascii="Arial" w:hAnsi="Arial" w:cs="Arial"/>
          <w:sz w:val="24"/>
          <w:szCs w:val="24"/>
        </w:rPr>
        <w:t>Berlese (</w:t>
      </w:r>
      <w:r w:rsidR="00680490">
        <w:rPr>
          <w:rFonts w:ascii="Arial" w:hAnsi="Arial" w:cs="Arial"/>
          <w:sz w:val="24"/>
          <w:szCs w:val="24"/>
        </w:rPr>
        <w:t>23</w:t>
      </w:r>
      <w:r w:rsidR="00402A97" w:rsidRPr="00717825">
        <w:rPr>
          <w:rFonts w:ascii="Arial" w:hAnsi="Arial" w:cs="Arial"/>
          <w:sz w:val="24"/>
          <w:szCs w:val="24"/>
        </w:rPr>
        <w:t>)</w:t>
      </w:r>
      <w:r w:rsidRPr="00717825">
        <w:rPr>
          <w:rFonts w:ascii="Arial" w:hAnsi="Arial" w:cs="Arial"/>
          <w:sz w:val="24"/>
          <w:szCs w:val="24"/>
        </w:rPr>
        <w:t xml:space="preserve">; </w:t>
      </w:r>
      <w:r w:rsidR="00680490">
        <w:rPr>
          <w:rFonts w:ascii="Arial" w:hAnsi="Arial" w:cs="Arial"/>
          <w:sz w:val="24"/>
          <w:szCs w:val="24"/>
        </w:rPr>
        <w:t>(35</w:t>
      </w:r>
      <w:r w:rsidRPr="00717825">
        <w:rPr>
          <w:rFonts w:ascii="Arial" w:hAnsi="Arial" w:cs="Arial"/>
          <w:sz w:val="24"/>
          <w:szCs w:val="24"/>
        </w:rPr>
        <w:t>).</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lastRenderedPageBreak/>
        <w:t>El uso de los ácaros fitoseidos, constituye una nueva forma de manejar las poblaciones del ácaro blanco. Estos tienen la ventaja de llegar a cualquier sitio de la hoja para ejercer un control eficiente, adicionalmente se reduce la importación de productos químicos y se protegen los enemigos naturales presentes en el agroecosistema, contribuyendo a la preservación del medio ambiente (</w:t>
      </w:r>
      <w:r w:rsidR="00680490">
        <w:rPr>
          <w:rFonts w:ascii="Arial" w:hAnsi="Arial" w:cs="Arial"/>
          <w:sz w:val="24"/>
          <w:szCs w:val="24"/>
        </w:rPr>
        <w:t>36</w:t>
      </w:r>
      <w:r w:rsidR="00402A97" w:rsidRPr="00717825">
        <w:rPr>
          <w:rFonts w:ascii="Arial" w:hAnsi="Arial" w:cs="Arial"/>
          <w:sz w:val="24"/>
          <w:szCs w:val="24"/>
        </w:rPr>
        <w:t>)</w:t>
      </w:r>
      <w:r w:rsidRPr="00717825">
        <w:rPr>
          <w:rFonts w:ascii="Arial" w:hAnsi="Arial" w:cs="Arial"/>
          <w:sz w:val="24"/>
          <w:szCs w:val="24"/>
        </w:rPr>
        <w:t xml:space="preserve">; </w:t>
      </w:r>
      <w:r w:rsidR="00680490">
        <w:rPr>
          <w:rFonts w:ascii="Arial" w:hAnsi="Arial" w:cs="Arial"/>
          <w:sz w:val="24"/>
          <w:szCs w:val="24"/>
        </w:rPr>
        <w:t>(37</w:t>
      </w:r>
      <w:r w:rsidRPr="00717825">
        <w:rPr>
          <w:rFonts w:ascii="Arial" w:hAnsi="Arial" w:cs="Arial"/>
          <w:sz w:val="24"/>
          <w:szCs w:val="24"/>
        </w:rPr>
        <w:t>).</w:t>
      </w:r>
    </w:p>
    <w:p w:rsidR="00F94E39"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Por otra parte, la densidad poblacional de los fitoseidos en el cultivo varía deforma natural a lo largo del ciclo vegetativo de la planta. Los principales factoresque determinan estas oscilaciones son el estado fenológico del cultivo y los</w:t>
      </w:r>
      <w:r w:rsidR="003E02D7">
        <w:rPr>
          <w:rFonts w:ascii="Arial" w:hAnsi="Arial" w:cs="Arial"/>
          <w:sz w:val="24"/>
          <w:szCs w:val="24"/>
        </w:rPr>
        <w:t xml:space="preserve"> </w:t>
      </w:r>
      <w:r w:rsidRPr="00717825">
        <w:rPr>
          <w:rFonts w:ascii="Arial" w:hAnsi="Arial" w:cs="Arial"/>
          <w:sz w:val="24"/>
          <w:szCs w:val="24"/>
        </w:rPr>
        <w:t>parámetros climáticos (</w:t>
      </w:r>
      <w:r w:rsidR="00680490">
        <w:rPr>
          <w:rFonts w:ascii="Arial" w:hAnsi="Arial" w:cs="Arial"/>
          <w:sz w:val="24"/>
          <w:szCs w:val="24"/>
        </w:rPr>
        <w:t>38</w:t>
      </w:r>
      <w:r w:rsidRPr="00717825">
        <w:rPr>
          <w:rFonts w:ascii="Arial" w:hAnsi="Arial" w:cs="Arial"/>
          <w:sz w:val="24"/>
          <w:szCs w:val="24"/>
        </w:rPr>
        <w:t>). En épocas muy cálidas y secas las</w:t>
      </w:r>
      <w:r w:rsidR="003E02D7">
        <w:rPr>
          <w:rFonts w:ascii="Arial" w:hAnsi="Arial" w:cs="Arial"/>
          <w:sz w:val="24"/>
          <w:szCs w:val="24"/>
        </w:rPr>
        <w:t xml:space="preserve"> </w:t>
      </w:r>
      <w:r w:rsidRPr="00717825">
        <w:rPr>
          <w:rFonts w:ascii="Arial" w:hAnsi="Arial" w:cs="Arial"/>
          <w:sz w:val="24"/>
          <w:szCs w:val="24"/>
        </w:rPr>
        <w:t>poblaciones suelen disminuir, ya que las altas temperaturas y bajas humedades</w:t>
      </w:r>
      <w:r w:rsidR="003E02D7">
        <w:rPr>
          <w:rFonts w:ascii="Arial" w:hAnsi="Arial" w:cs="Arial"/>
          <w:sz w:val="24"/>
          <w:szCs w:val="24"/>
        </w:rPr>
        <w:t xml:space="preserve"> </w:t>
      </w:r>
      <w:r w:rsidRPr="00717825">
        <w:rPr>
          <w:rFonts w:ascii="Arial" w:hAnsi="Arial" w:cs="Arial"/>
          <w:sz w:val="24"/>
          <w:szCs w:val="24"/>
        </w:rPr>
        <w:t>relativas producen elevada morta</w:t>
      </w:r>
      <w:r w:rsidR="004762E4" w:rsidRPr="00717825">
        <w:rPr>
          <w:rFonts w:ascii="Arial" w:hAnsi="Arial" w:cs="Arial"/>
          <w:sz w:val="24"/>
          <w:szCs w:val="24"/>
        </w:rPr>
        <w:t>lidad</w:t>
      </w:r>
      <w:r w:rsidR="003E02D7">
        <w:rPr>
          <w:rFonts w:ascii="Arial" w:hAnsi="Arial" w:cs="Arial"/>
          <w:sz w:val="24"/>
          <w:szCs w:val="24"/>
        </w:rPr>
        <w:t xml:space="preserve"> </w:t>
      </w:r>
      <w:r w:rsidR="004762E4" w:rsidRPr="00717825">
        <w:rPr>
          <w:rFonts w:ascii="Arial" w:hAnsi="Arial" w:cs="Arial"/>
          <w:sz w:val="24"/>
          <w:szCs w:val="24"/>
        </w:rPr>
        <w:t>entre los fitoseidos</w:t>
      </w:r>
      <w:r w:rsidR="003E02D7">
        <w:rPr>
          <w:rFonts w:ascii="Arial" w:hAnsi="Arial" w:cs="Arial"/>
          <w:sz w:val="24"/>
          <w:szCs w:val="24"/>
        </w:rPr>
        <w:t xml:space="preserve"> </w:t>
      </w:r>
      <w:r w:rsidR="000E40AD" w:rsidRPr="00717825">
        <w:rPr>
          <w:rFonts w:ascii="Arial" w:hAnsi="Arial" w:cs="Arial"/>
          <w:sz w:val="24"/>
          <w:szCs w:val="24"/>
        </w:rPr>
        <w:t>y,</w:t>
      </w:r>
      <w:r w:rsidRPr="00717825">
        <w:rPr>
          <w:rFonts w:ascii="Arial" w:hAnsi="Arial" w:cs="Arial"/>
          <w:sz w:val="24"/>
          <w:szCs w:val="24"/>
        </w:rPr>
        <w:t xml:space="preserve"> además, afectan</w:t>
      </w:r>
      <w:r w:rsidR="003E02D7">
        <w:rPr>
          <w:rFonts w:ascii="Arial" w:hAnsi="Arial" w:cs="Arial"/>
          <w:sz w:val="24"/>
          <w:szCs w:val="24"/>
        </w:rPr>
        <w:t xml:space="preserve"> </w:t>
      </w:r>
      <w:r w:rsidRPr="00717825">
        <w:rPr>
          <w:rFonts w:ascii="Arial" w:hAnsi="Arial" w:cs="Arial"/>
          <w:sz w:val="24"/>
          <w:szCs w:val="24"/>
        </w:rPr>
        <w:t>directamente al proceso reproductivo (</w:t>
      </w:r>
      <w:r w:rsidR="00680490">
        <w:rPr>
          <w:rFonts w:ascii="Arial" w:hAnsi="Arial" w:cs="Arial"/>
          <w:sz w:val="24"/>
          <w:szCs w:val="24"/>
        </w:rPr>
        <w:t>39</w:t>
      </w:r>
      <w:r w:rsidRPr="00717825">
        <w:rPr>
          <w:rFonts w:ascii="Arial" w:hAnsi="Arial" w:cs="Arial"/>
          <w:sz w:val="24"/>
          <w:szCs w:val="24"/>
        </w:rPr>
        <w:t>). Correlaciones</w:t>
      </w:r>
      <w:r w:rsidR="003E02D7">
        <w:rPr>
          <w:rFonts w:ascii="Arial" w:hAnsi="Arial" w:cs="Arial"/>
          <w:sz w:val="24"/>
          <w:szCs w:val="24"/>
        </w:rPr>
        <w:t xml:space="preserve"> </w:t>
      </w:r>
      <w:r w:rsidRPr="00717825">
        <w:rPr>
          <w:rFonts w:ascii="Arial" w:hAnsi="Arial" w:cs="Arial"/>
          <w:sz w:val="24"/>
          <w:szCs w:val="24"/>
        </w:rPr>
        <w:t>positivas se han observado entre la época de floración del cultivo o de otras</w:t>
      </w:r>
      <w:r w:rsidR="003E02D7">
        <w:rPr>
          <w:rFonts w:ascii="Arial" w:hAnsi="Arial" w:cs="Arial"/>
          <w:sz w:val="24"/>
          <w:szCs w:val="24"/>
        </w:rPr>
        <w:t xml:space="preserve"> </w:t>
      </w:r>
      <w:r w:rsidRPr="00717825">
        <w:rPr>
          <w:rFonts w:ascii="Arial" w:hAnsi="Arial" w:cs="Arial"/>
          <w:sz w:val="24"/>
          <w:szCs w:val="24"/>
        </w:rPr>
        <w:t>plantas presentes en el ecosistema agrícola, y el incremento de la densidad</w:t>
      </w:r>
      <w:r w:rsidR="003E02D7">
        <w:rPr>
          <w:rFonts w:ascii="Arial" w:hAnsi="Arial" w:cs="Arial"/>
          <w:sz w:val="24"/>
          <w:szCs w:val="24"/>
        </w:rPr>
        <w:t xml:space="preserve"> </w:t>
      </w:r>
      <w:r w:rsidRPr="00717825">
        <w:rPr>
          <w:rFonts w:ascii="Arial" w:hAnsi="Arial" w:cs="Arial"/>
          <w:sz w:val="24"/>
          <w:szCs w:val="24"/>
        </w:rPr>
        <w:t>poblacional de a</w:t>
      </w:r>
      <w:r w:rsidR="00680490">
        <w:rPr>
          <w:rFonts w:ascii="Arial" w:hAnsi="Arial" w:cs="Arial"/>
          <w:sz w:val="24"/>
          <w:szCs w:val="24"/>
        </w:rPr>
        <w:t>lgunas especies de fitoseidos (40</w:t>
      </w:r>
      <w:r w:rsidR="00402A97" w:rsidRPr="00717825">
        <w:rPr>
          <w:rFonts w:ascii="Arial" w:hAnsi="Arial" w:cs="Arial"/>
          <w:sz w:val="24"/>
          <w:szCs w:val="24"/>
        </w:rPr>
        <w:t>)</w:t>
      </w:r>
      <w:r w:rsidRPr="00717825">
        <w:rPr>
          <w:rFonts w:ascii="Arial" w:hAnsi="Arial" w:cs="Arial"/>
          <w:sz w:val="24"/>
          <w:szCs w:val="24"/>
        </w:rPr>
        <w:t xml:space="preserve">; </w:t>
      </w:r>
      <w:r w:rsidR="00680490">
        <w:rPr>
          <w:rFonts w:ascii="Arial" w:hAnsi="Arial" w:cs="Arial"/>
          <w:sz w:val="24"/>
          <w:szCs w:val="24"/>
        </w:rPr>
        <w:t>(4</w:t>
      </w:r>
      <w:r w:rsidR="00AE5A71" w:rsidRPr="00717825">
        <w:rPr>
          <w:rFonts w:ascii="Arial" w:hAnsi="Arial" w:cs="Arial"/>
          <w:sz w:val="24"/>
          <w:szCs w:val="24"/>
        </w:rPr>
        <w:t>1</w:t>
      </w:r>
      <w:r w:rsidRPr="00717825">
        <w:rPr>
          <w:rFonts w:ascii="Arial" w:hAnsi="Arial" w:cs="Arial"/>
          <w:sz w:val="24"/>
          <w:szCs w:val="24"/>
        </w:rPr>
        <w:t xml:space="preserve">). </w:t>
      </w:r>
    </w:p>
    <w:p w:rsidR="005C23E7" w:rsidRPr="00717825" w:rsidRDefault="005C23E7" w:rsidP="00561736">
      <w:pPr>
        <w:autoSpaceDE w:val="0"/>
        <w:autoSpaceDN w:val="0"/>
        <w:adjustRightInd w:val="0"/>
        <w:spacing w:after="0" w:line="240" w:lineRule="auto"/>
        <w:jc w:val="both"/>
        <w:rPr>
          <w:rFonts w:ascii="Arial" w:hAnsi="Arial" w:cs="Arial"/>
          <w:sz w:val="24"/>
          <w:szCs w:val="24"/>
        </w:rPr>
      </w:pPr>
      <w:r w:rsidRPr="00717825">
        <w:rPr>
          <w:rFonts w:ascii="Arial" w:hAnsi="Arial" w:cs="Arial"/>
          <w:b/>
          <w:sz w:val="24"/>
          <w:szCs w:val="24"/>
        </w:rPr>
        <w:t>Prácticas de manejo</w:t>
      </w:r>
      <w:r w:rsidR="00D56D27" w:rsidRPr="00717825">
        <w:rPr>
          <w:rFonts w:ascii="Arial" w:hAnsi="Arial" w:cs="Arial"/>
          <w:b/>
          <w:sz w:val="24"/>
          <w:szCs w:val="24"/>
        </w:rPr>
        <w:t xml:space="preserve"> que influyen en el desarrollo de</w:t>
      </w:r>
      <w:r w:rsidR="003E02D7">
        <w:rPr>
          <w:rFonts w:ascii="Arial" w:hAnsi="Arial" w:cs="Arial"/>
          <w:b/>
          <w:sz w:val="24"/>
          <w:szCs w:val="24"/>
        </w:rPr>
        <w:t xml:space="preserve"> </w:t>
      </w:r>
      <w:r w:rsidR="00D56D27" w:rsidRPr="00717825">
        <w:rPr>
          <w:rFonts w:ascii="Arial" w:hAnsi="Arial" w:cs="Arial"/>
          <w:b/>
          <w:sz w:val="24"/>
          <w:szCs w:val="24"/>
        </w:rPr>
        <w:t>los ácaros depredadores</w:t>
      </w:r>
    </w:p>
    <w:p w:rsidR="005C23E7" w:rsidRPr="00717825" w:rsidRDefault="005C23E7" w:rsidP="00561736">
      <w:pPr>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t>La labranza mínima o mínimo movimiento del suelo consiste en intervenir lo menos posible el suelo al momento de cultivarlo, de tal manera que no se interfiera en los procesos naturales que</w:t>
      </w:r>
      <w:r w:rsidR="00680490">
        <w:rPr>
          <w:rFonts w:ascii="Arial" w:hAnsi="Arial" w:cs="Arial"/>
          <w:sz w:val="24"/>
          <w:szCs w:val="24"/>
        </w:rPr>
        <w:t xml:space="preserve"> se desarrollan en él (4</w:t>
      </w:r>
      <w:r w:rsidR="00AE5A71" w:rsidRPr="00717825">
        <w:rPr>
          <w:rFonts w:ascii="Arial" w:hAnsi="Arial" w:cs="Arial"/>
          <w:sz w:val="24"/>
          <w:szCs w:val="24"/>
        </w:rPr>
        <w:t>2</w:t>
      </w:r>
      <w:r w:rsidR="001F363B" w:rsidRPr="00717825">
        <w:rPr>
          <w:rFonts w:ascii="Arial" w:hAnsi="Arial" w:cs="Arial"/>
          <w:sz w:val="24"/>
          <w:szCs w:val="24"/>
        </w:rPr>
        <w:t>)</w:t>
      </w:r>
      <w:r w:rsidRPr="00717825">
        <w:rPr>
          <w:rFonts w:ascii="Arial" w:hAnsi="Arial" w:cs="Arial"/>
          <w:sz w:val="24"/>
          <w:szCs w:val="24"/>
        </w:rPr>
        <w:t xml:space="preserve">; </w:t>
      </w:r>
      <w:r w:rsidR="001F363B" w:rsidRPr="00717825">
        <w:rPr>
          <w:rFonts w:ascii="Arial" w:hAnsi="Arial" w:cs="Arial"/>
          <w:sz w:val="24"/>
          <w:szCs w:val="24"/>
        </w:rPr>
        <w:t>(</w:t>
      </w:r>
      <w:r w:rsidR="00680490">
        <w:rPr>
          <w:rFonts w:ascii="Arial" w:hAnsi="Arial" w:cs="Arial"/>
          <w:sz w:val="24"/>
          <w:szCs w:val="24"/>
        </w:rPr>
        <w:t>43</w:t>
      </w:r>
      <w:r w:rsidRPr="00717825">
        <w:rPr>
          <w:rFonts w:ascii="Arial" w:hAnsi="Arial" w:cs="Arial"/>
          <w:sz w:val="24"/>
          <w:szCs w:val="24"/>
        </w:rPr>
        <w:t>).</w:t>
      </w:r>
    </w:p>
    <w:p w:rsidR="00561736" w:rsidRDefault="00561736" w:rsidP="00717825">
      <w:pPr>
        <w:autoSpaceDE w:val="0"/>
        <w:autoSpaceDN w:val="0"/>
        <w:adjustRightInd w:val="0"/>
        <w:spacing w:after="0" w:line="240" w:lineRule="auto"/>
        <w:jc w:val="both"/>
        <w:rPr>
          <w:rFonts w:ascii="Arial" w:hAnsi="Arial" w:cs="Arial"/>
          <w:sz w:val="24"/>
          <w:szCs w:val="24"/>
        </w:rPr>
      </w:pPr>
    </w:p>
    <w:p w:rsidR="005C23E7" w:rsidRPr="00717825" w:rsidRDefault="00402A97" w:rsidP="00717825">
      <w:pPr>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t>Ésta presenta</w:t>
      </w:r>
      <w:r w:rsidR="005C23E7" w:rsidRPr="00717825">
        <w:rPr>
          <w:rFonts w:ascii="Arial" w:hAnsi="Arial" w:cs="Arial"/>
          <w:sz w:val="24"/>
          <w:szCs w:val="24"/>
        </w:rPr>
        <w:t xml:space="preserve"> beneficios </w:t>
      </w:r>
      <w:r w:rsidR="0061283D" w:rsidRPr="00717825">
        <w:rPr>
          <w:rFonts w:ascii="Arial" w:hAnsi="Arial" w:cs="Arial"/>
          <w:sz w:val="24"/>
          <w:szCs w:val="24"/>
        </w:rPr>
        <w:t>tales como: protege la estructura y humedad del suelo, regula su temperatura y contribuye al control de los extremos de calor y radiación, mejorando el microclima del suelo, controla la erosión y estimula actividad biológica del mismo</w:t>
      </w:r>
      <w:r w:rsidR="005C23E7" w:rsidRPr="00717825">
        <w:rPr>
          <w:rFonts w:ascii="Arial" w:hAnsi="Arial" w:cs="Arial"/>
          <w:sz w:val="24"/>
          <w:szCs w:val="24"/>
        </w:rPr>
        <w:t xml:space="preserve"> (</w:t>
      </w:r>
      <w:r w:rsidR="00680490">
        <w:rPr>
          <w:rFonts w:ascii="Arial" w:hAnsi="Arial" w:cs="Arial"/>
          <w:sz w:val="24"/>
          <w:szCs w:val="24"/>
        </w:rPr>
        <w:t>44</w:t>
      </w:r>
      <w:r w:rsidR="006C2123" w:rsidRPr="00717825">
        <w:rPr>
          <w:rFonts w:ascii="Arial" w:hAnsi="Arial" w:cs="Arial"/>
          <w:sz w:val="24"/>
          <w:szCs w:val="24"/>
        </w:rPr>
        <w:t>)</w:t>
      </w:r>
      <w:r w:rsidR="0061283D" w:rsidRPr="00717825">
        <w:rPr>
          <w:rFonts w:ascii="Arial" w:hAnsi="Arial" w:cs="Arial"/>
          <w:sz w:val="24"/>
          <w:szCs w:val="24"/>
        </w:rPr>
        <w:t>;(</w:t>
      </w:r>
      <w:r w:rsidR="00680490">
        <w:rPr>
          <w:rFonts w:ascii="Arial" w:hAnsi="Arial" w:cs="Arial"/>
          <w:sz w:val="24"/>
          <w:szCs w:val="24"/>
        </w:rPr>
        <w:t>4</w:t>
      </w:r>
      <w:r w:rsidR="00AE5A71" w:rsidRPr="00717825">
        <w:rPr>
          <w:rFonts w:ascii="Arial" w:hAnsi="Arial" w:cs="Arial"/>
          <w:sz w:val="24"/>
          <w:szCs w:val="24"/>
        </w:rPr>
        <w:t>2</w:t>
      </w:r>
      <w:r w:rsidR="0061283D" w:rsidRPr="00717825">
        <w:rPr>
          <w:rFonts w:ascii="Arial" w:hAnsi="Arial" w:cs="Arial"/>
          <w:sz w:val="24"/>
          <w:szCs w:val="24"/>
        </w:rPr>
        <w:t>)</w:t>
      </w:r>
      <w:r w:rsidR="005C23E7" w:rsidRPr="00717825">
        <w:rPr>
          <w:rFonts w:ascii="Arial" w:hAnsi="Arial" w:cs="Arial"/>
          <w:sz w:val="24"/>
          <w:szCs w:val="24"/>
        </w:rPr>
        <w:t xml:space="preserve">; </w:t>
      </w:r>
      <w:r w:rsidR="0061283D" w:rsidRPr="00717825">
        <w:rPr>
          <w:rFonts w:ascii="Arial" w:hAnsi="Arial" w:cs="Arial"/>
          <w:sz w:val="24"/>
          <w:szCs w:val="24"/>
        </w:rPr>
        <w:t>(</w:t>
      </w:r>
      <w:r w:rsidR="00680490">
        <w:rPr>
          <w:rFonts w:ascii="Arial" w:hAnsi="Arial" w:cs="Arial"/>
          <w:sz w:val="24"/>
          <w:szCs w:val="24"/>
        </w:rPr>
        <w:t>45</w:t>
      </w:r>
      <w:r w:rsidR="0061283D" w:rsidRPr="00717825">
        <w:rPr>
          <w:rFonts w:ascii="Arial" w:hAnsi="Arial" w:cs="Arial"/>
          <w:sz w:val="24"/>
          <w:szCs w:val="24"/>
        </w:rPr>
        <w:t>)</w:t>
      </w:r>
    </w:p>
    <w:p w:rsidR="005C23E7" w:rsidRPr="00717825" w:rsidRDefault="005C23E7" w:rsidP="00717825">
      <w:pPr>
        <w:pStyle w:val="Prrafodelista"/>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t>.</w:t>
      </w:r>
    </w:p>
    <w:p w:rsidR="005C23E7" w:rsidRPr="00717825" w:rsidRDefault="0061283D" w:rsidP="00717825">
      <w:pPr>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t>Otra de las prácticas es l</w:t>
      </w:r>
      <w:r w:rsidR="005C23E7" w:rsidRPr="00717825">
        <w:rPr>
          <w:rFonts w:ascii="Arial" w:hAnsi="Arial" w:cs="Arial"/>
          <w:sz w:val="24"/>
          <w:szCs w:val="24"/>
        </w:rPr>
        <w:t>a rotación de cultivos</w:t>
      </w:r>
      <w:r w:rsidRPr="00717825">
        <w:rPr>
          <w:rFonts w:ascii="Arial" w:hAnsi="Arial" w:cs="Arial"/>
          <w:sz w:val="24"/>
          <w:szCs w:val="24"/>
        </w:rPr>
        <w:t xml:space="preserve"> que es </w:t>
      </w:r>
      <w:r w:rsidR="005C23E7" w:rsidRPr="00717825">
        <w:rPr>
          <w:rFonts w:ascii="Arial" w:hAnsi="Arial" w:cs="Arial"/>
          <w:sz w:val="24"/>
          <w:szCs w:val="24"/>
        </w:rPr>
        <w:t>un conjunto de secuencias, en las cuales se ocupa el suelo con cultivos diferentes que se suceden en el tiempo con la finalidad de mantener la fertilidad del suelo (</w:t>
      </w:r>
      <w:r w:rsidR="00680490">
        <w:rPr>
          <w:rFonts w:ascii="Arial" w:hAnsi="Arial" w:cs="Arial"/>
          <w:sz w:val="24"/>
          <w:szCs w:val="24"/>
        </w:rPr>
        <w:t>46</w:t>
      </w:r>
      <w:r w:rsidR="005C23E7" w:rsidRPr="00717825">
        <w:rPr>
          <w:rFonts w:ascii="Arial" w:hAnsi="Arial" w:cs="Arial"/>
          <w:sz w:val="24"/>
          <w:szCs w:val="24"/>
        </w:rPr>
        <w:t xml:space="preserve">). </w:t>
      </w:r>
      <w:r w:rsidRPr="00717825">
        <w:rPr>
          <w:rFonts w:ascii="Arial" w:hAnsi="Arial" w:cs="Arial"/>
          <w:sz w:val="24"/>
          <w:szCs w:val="24"/>
        </w:rPr>
        <w:t>Ésta</w:t>
      </w:r>
      <w:r w:rsidR="005C23E7" w:rsidRPr="00717825">
        <w:rPr>
          <w:rFonts w:ascii="Arial" w:hAnsi="Arial" w:cs="Arial"/>
          <w:sz w:val="24"/>
          <w:szCs w:val="24"/>
        </w:rPr>
        <w:t xml:space="preserve"> tiene como objetivo el desarrollo de sistemas de producción diversificados, que aseguren la sostenibilidad del suelo, promoviendo cultivos que se alternen año a año para mantener la fertilidad de los suelos y reducir los procesos de degradación de suelos por erosión. </w:t>
      </w:r>
    </w:p>
    <w:p w:rsidR="005C23E7" w:rsidRPr="00717825" w:rsidRDefault="005C23E7" w:rsidP="00717825">
      <w:pPr>
        <w:pStyle w:val="Default"/>
        <w:jc w:val="both"/>
        <w:rPr>
          <w:rFonts w:ascii="Arial" w:hAnsi="Arial" w:cs="Arial"/>
          <w:lang w:val="es-ES"/>
        </w:rPr>
      </w:pPr>
    </w:p>
    <w:p w:rsidR="005C23E7" w:rsidRPr="00717825" w:rsidRDefault="001F363B" w:rsidP="00717825">
      <w:pPr>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t xml:space="preserve">Se </w:t>
      </w:r>
      <w:r w:rsidR="0061283D" w:rsidRPr="00717825">
        <w:rPr>
          <w:rFonts w:ascii="Arial" w:hAnsi="Arial" w:cs="Arial"/>
          <w:sz w:val="24"/>
          <w:szCs w:val="24"/>
        </w:rPr>
        <w:t xml:space="preserve">beneficia haciendo que disminuyan </w:t>
      </w:r>
      <w:r w:rsidR="005C23E7" w:rsidRPr="00717825">
        <w:rPr>
          <w:rFonts w:ascii="Arial" w:hAnsi="Arial" w:cs="Arial"/>
          <w:sz w:val="24"/>
          <w:szCs w:val="24"/>
        </w:rPr>
        <w:t>los problemas de arvenses, insectos plaga y enfermedades, disminuyendo la utilización de plaguicidas y previniendo problemát</w:t>
      </w:r>
      <w:r w:rsidR="0061283D" w:rsidRPr="00717825">
        <w:rPr>
          <w:rFonts w:ascii="Arial" w:hAnsi="Arial" w:cs="Arial"/>
          <w:sz w:val="24"/>
          <w:szCs w:val="24"/>
        </w:rPr>
        <w:t xml:space="preserve">icas de contaminación de suelos; incrementando </w:t>
      </w:r>
      <w:r w:rsidR="005C23E7" w:rsidRPr="00717825">
        <w:rPr>
          <w:rFonts w:ascii="Arial" w:hAnsi="Arial" w:cs="Arial"/>
          <w:sz w:val="24"/>
          <w:szCs w:val="24"/>
        </w:rPr>
        <w:t>el rendimiento de los cultivos, adicionando materia orgánica a los s</w:t>
      </w:r>
      <w:r w:rsidR="008107EF" w:rsidRPr="00717825">
        <w:rPr>
          <w:rFonts w:ascii="Arial" w:hAnsi="Arial" w:cs="Arial"/>
          <w:sz w:val="24"/>
          <w:szCs w:val="24"/>
        </w:rPr>
        <w:t>uelos y mejorando la fertilidad; y a su vez a</w:t>
      </w:r>
      <w:r w:rsidR="005C23E7" w:rsidRPr="00717825">
        <w:rPr>
          <w:rFonts w:ascii="Arial" w:hAnsi="Arial" w:cs="Arial"/>
          <w:sz w:val="24"/>
          <w:szCs w:val="24"/>
        </w:rPr>
        <w:t>umenta los contenidos de nitrógeno disponible en el suelo y reducen la necesidad de fertilizantes sintéticos</w:t>
      </w:r>
      <w:r w:rsidR="00680490">
        <w:rPr>
          <w:rFonts w:ascii="Arial" w:hAnsi="Arial" w:cs="Arial"/>
          <w:sz w:val="24"/>
          <w:szCs w:val="24"/>
        </w:rPr>
        <w:t xml:space="preserve"> (47</w:t>
      </w:r>
      <w:r w:rsidRPr="00717825">
        <w:rPr>
          <w:rFonts w:ascii="Arial" w:hAnsi="Arial" w:cs="Arial"/>
          <w:sz w:val="24"/>
          <w:szCs w:val="24"/>
        </w:rPr>
        <w:t>); (</w:t>
      </w:r>
      <w:r w:rsidR="00680490">
        <w:rPr>
          <w:rFonts w:ascii="Arial" w:hAnsi="Arial" w:cs="Arial"/>
          <w:sz w:val="24"/>
          <w:szCs w:val="24"/>
        </w:rPr>
        <w:t>44</w:t>
      </w:r>
      <w:r w:rsidRPr="00717825">
        <w:rPr>
          <w:rFonts w:ascii="Arial" w:hAnsi="Arial" w:cs="Arial"/>
          <w:sz w:val="24"/>
          <w:szCs w:val="24"/>
        </w:rPr>
        <w:t xml:space="preserve">); </w:t>
      </w:r>
      <w:r w:rsidR="00680490">
        <w:rPr>
          <w:rFonts w:ascii="Arial" w:hAnsi="Arial" w:cs="Arial"/>
          <w:sz w:val="24"/>
          <w:szCs w:val="24"/>
        </w:rPr>
        <w:t>(48</w:t>
      </w:r>
      <w:r w:rsidRPr="00717825">
        <w:rPr>
          <w:rFonts w:ascii="Arial" w:hAnsi="Arial" w:cs="Arial"/>
          <w:sz w:val="24"/>
          <w:szCs w:val="24"/>
        </w:rPr>
        <w:t>)</w:t>
      </w:r>
      <w:r w:rsidR="005C23E7" w:rsidRPr="00717825">
        <w:rPr>
          <w:rFonts w:ascii="Arial" w:hAnsi="Arial" w:cs="Arial"/>
          <w:sz w:val="24"/>
          <w:szCs w:val="24"/>
        </w:rPr>
        <w:t>.</w:t>
      </w:r>
    </w:p>
    <w:p w:rsidR="008107EF" w:rsidRPr="00717825" w:rsidRDefault="008107EF" w:rsidP="00717825">
      <w:pPr>
        <w:autoSpaceDE w:val="0"/>
        <w:autoSpaceDN w:val="0"/>
        <w:adjustRightInd w:val="0"/>
        <w:spacing w:after="0" w:line="240" w:lineRule="auto"/>
        <w:jc w:val="both"/>
        <w:rPr>
          <w:rFonts w:ascii="Arial" w:hAnsi="Arial" w:cs="Arial"/>
          <w:sz w:val="24"/>
          <w:szCs w:val="24"/>
        </w:rPr>
      </w:pPr>
    </w:p>
    <w:p w:rsidR="005C23E7" w:rsidRPr="00717825" w:rsidRDefault="005C23E7" w:rsidP="00717825">
      <w:pPr>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t>Es importante rotar un cultivo que produce gran cantidad de residuos con uno que produce pocos residuos, para mejorar la rentabilidad de los mismos. La rotación de cultivos se puede realizar con cultivos comerciales y de cobertura (</w:t>
      </w:r>
      <w:r w:rsidR="00680490">
        <w:rPr>
          <w:rFonts w:ascii="Arial" w:hAnsi="Arial" w:cs="Arial"/>
          <w:sz w:val="24"/>
          <w:szCs w:val="24"/>
        </w:rPr>
        <w:t>48</w:t>
      </w:r>
      <w:r w:rsidRPr="00717825">
        <w:rPr>
          <w:rFonts w:ascii="Arial" w:hAnsi="Arial" w:cs="Arial"/>
          <w:sz w:val="24"/>
          <w:szCs w:val="24"/>
        </w:rPr>
        <w:t>).</w:t>
      </w:r>
    </w:p>
    <w:p w:rsidR="008107EF" w:rsidRPr="00717825" w:rsidRDefault="008107EF" w:rsidP="00717825">
      <w:pPr>
        <w:autoSpaceDE w:val="0"/>
        <w:autoSpaceDN w:val="0"/>
        <w:adjustRightInd w:val="0"/>
        <w:spacing w:after="0" w:line="240" w:lineRule="auto"/>
        <w:jc w:val="both"/>
        <w:rPr>
          <w:rFonts w:ascii="Arial" w:hAnsi="Arial" w:cs="Arial"/>
          <w:b/>
          <w:sz w:val="24"/>
          <w:szCs w:val="24"/>
          <w:u w:val="single"/>
        </w:rPr>
      </w:pPr>
    </w:p>
    <w:p w:rsidR="005C23E7" w:rsidRPr="00717825" w:rsidRDefault="005C23E7" w:rsidP="00717825">
      <w:pPr>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lastRenderedPageBreak/>
        <w:t>Los policultivos o cultivos asociados son sistemas de plantación simultánea de diversas especies vegetales en una misma parcela, que han demostrado ser complementarias entre sí y no generan competencias interespecíficas (</w:t>
      </w:r>
      <w:r w:rsidR="00680490">
        <w:rPr>
          <w:rFonts w:ascii="Arial" w:hAnsi="Arial" w:cs="Arial"/>
          <w:sz w:val="24"/>
          <w:szCs w:val="24"/>
        </w:rPr>
        <w:t>43</w:t>
      </w:r>
      <w:r w:rsidRPr="00717825">
        <w:rPr>
          <w:rFonts w:ascii="Arial" w:hAnsi="Arial" w:cs="Arial"/>
          <w:sz w:val="24"/>
          <w:szCs w:val="24"/>
        </w:rPr>
        <w:t>).</w:t>
      </w:r>
    </w:p>
    <w:p w:rsidR="005C23E7" w:rsidRPr="00717825" w:rsidRDefault="005C23E7" w:rsidP="00717825">
      <w:pPr>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t>Al cultivar varias especies simultáneamente, se obtiene una serie de objetivos de manejo, sin que se requiera mayor subsidio o complementación. Los policultivos o cultivos asociados, presentan muchas ventajas y beneficios frente al monocultivo, como son (</w:t>
      </w:r>
      <w:r w:rsidR="00680490">
        <w:rPr>
          <w:rFonts w:ascii="Arial" w:hAnsi="Arial" w:cs="Arial"/>
          <w:sz w:val="24"/>
          <w:szCs w:val="24"/>
        </w:rPr>
        <w:t>44); (43</w:t>
      </w:r>
      <w:r w:rsidR="008107EF" w:rsidRPr="00717825">
        <w:rPr>
          <w:rFonts w:ascii="Arial" w:hAnsi="Arial" w:cs="Arial"/>
          <w:sz w:val="24"/>
          <w:szCs w:val="24"/>
        </w:rPr>
        <w:t>)</w:t>
      </w:r>
      <w:r w:rsidRPr="00717825">
        <w:rPr>
          <w:rFonts w:ascii="Arial" w:hAnsi="Arial" w:cs="Arial"/>
          <w:sz w:val="24"/>
          <w:szCs w:val="24"/>
        </w:rPr>
        <w:t xml:space="preserve">; </w:t>
      </w:r>
      <w:r w:rsidR="00680490">
        <w:rPr>
          <w:rFonts w:ascii="Arial" w:hAnsi="Arial" w:cs="Arial"/>
          <w:sz w:val="24"/>
          <w:szCs w:val="24"/>
        </w:rPr>
        <w:t>(46</w:t>
      </w:r>
      <w:r w:rsidR="008107EF" w:rsidRPr="00717825">
        <w:rPr>
          <w:rFonts w:ascii="Arial" w:hAnsi="Arial" w:cs="Arial"/>
          <w:sz w:val="24"/>
          <w:szCs w:val="24"/>
        </w:rPr>
        <w:t>)</w:t>
      </w:r>
      <w:r w:rsidRPr="00717825">
        <w:rPr>
          <w:rFonts w:ascii="Arial" w:hAnsi="Arial" w:cs="Arial"/>
          <w:sz w:val="24"/>
          <w:szCs w:val="24"/>
        </w:rPr>
        <w:t xml:space="preserve">; </w:t>
      </w:r>
      <w:r w:rsidR="00680490">
        <w:rPr>
          <w:rFonts w:ascii="Arial" w:hAnsi="Arial" w:cs="Arial"/>
          <w:sz w:val="24"/>
          <w:szCs w:val="24"/>
        </w:rPr>
        <w:t>(49</w:t>
      </w:r>
      <w:r w:rsidR="008107EF" w:rsidRPr="00717825">
        <w:rPr>
          <w:rFonts w:ascii="Arial" w:hAnsi="Arial" w:cs="Arial"/>
          <w:sz w:val="24"/>
          <w:szCs w:val="24"/>
        </w:rPr>
        <w:t>)</w:t>
      </w:r>
      <w:r w:rsidRPr="00717825">
        <w:rPr>
          <w:rFonts w:ascii="Arial" w:hAnsi="Arial" w:cs="Arial"/>
          <w:sz w:val="24"/>
          <w:szCs w:val="24"/>
        </w:rPr>
        <w:t xml:space="preserve">; </w:t>
      </w:r>
      <w:r w:rsidR="00680490">
        <w:rPr>
          <w:rFonts w:ascii="Arial" w:hAnsi="Arial" w:cs="Arial"/>
          <w:sz w:val="24"/>
          <w:szCs w:val="24"/>
        </w:rPr>
        <w:t>(50</w:t>
      </w:r>
      <w:r w:rsidRPr="00717825">
        <w:rPr>
          <w:rFonts w:ascii="Arial" w:hAnsi="Arial" w:cs="Arial"/>
          <w:sz w:val="24"/>
          <w:szCs w:val="24"/>
        </w:rPr>
        <w:t>):</w:t>
      </w:r>
      <w:r w:rsidR="008107EF" w:rsidRPr="00717825">
        <w:rPr>
          <w:rFonts w:ascii="Arial" w:hAnsi="Arial" w:cs="Arial"/>
          <w:sz w:val="24"/>
          <w:szCs w:val="24"/>
        </w:rPr>
        <w:t xml:space="preserve"> m</w:t>
      </w:r>
      <w:r w:rsidRPr="00717825">
        <w:rPr>
          <w:rFonts w:ascii="Arial" w:hAnsi="Arial" w:cs="Arial"/>
          <w:sz w:val="24"/>
          <w:szCs w:val="24"/>
        </w:rPr>
        <w:t xml:space="preserve">ejoran la captura y reciclaje de </w:t>
      </w:r>
      <w:r w:rsidR="008107EF" w:rsidRPr="00717825">
        <w:rPr>
          <w:rFonts w:ascii="Arial" w:hAnsi="Arial" w:cs="Arial"/>
          <w:sz w:val="24"/>
          <w:szCs w:val="24"/>
        </w:rPr>
        <w:t>nutrientes; r</w:t>
      </w:r>
      <w:r w:rsidRPr="00717825">
        <w:rPr>
          <w:rFonts w:ascii="Arial" w:hAnsi="Arial" w:cs="Arial"/>
          <w:sz w:val="24"/>
          <w:szCs w:val="24"/>
        </w:rPr>
        <w:t xml:space="preserve">educen la </w:t>
      </w:r>
      <w:r w:rsidR="003E02D7">
        <w:rPr>
          <w:rFonts w:ascii="Arial" w:hAnsi="Arial" w:cs="Arial"/>
          <w:sz w:val="24"/>
          <w:szCs w:val="24"/>
        </w:rPr>
        <w:t>población</w:t>
      </w:r>
      <w:r w:rsidRPr="00717825">
        <w:rPr>
          <w:rFonts w:ascii="Arial" w:hAnsi="Arial" w:cs="Arial"/>
          <w:sz w:val="24"/>
          <w:szCs w:val="24"/>
        </w:rPr>
        <w:t xml:space="preserve"> de plagas, principalmente al incrementar la actividad de los enemigos naturales artrópodos depredadores y parasitoides, por hacer menos llamativo el cultivo, disminuyendo la aplicación y residual</w:t>
      </w:r>
      <w:r w:rsidR="008107EF" w:rsidRPr="00717825">
        <w:rPr>
          <w:rFonts w:ascii="Arial" w:hAnsi="Arial" w:cs="Arial"/>
          <w:sz w:val="24"/>
          <w:szCs w:val="24"/>
        </w:rPr>
        <w:t>idad de plaguicidas en el suelo y  r</w:t>
      </w:r>
      <w:r w:rsidRPr="00717825">
        <w:rPr>
          <w:rFonts w:ascii="Arial" w:hAnsi="Arial" w:cs="Arial"/>
          <w:sz w:val="24"/>
          <w:szCs w:val="24"/>
        </w:rPr>
        <w:t>egulan las arvenses disminuyendo el uso de herbicidas.</w:t>
      </w:r>
    </w:p>
    <w:p w:rsidR="00344B8E" w:rsidRDefault="00344B8E" w:rsidP="00717825">
      <w:pPr>
        <w:autoSpaceDE w:val="0"/>
        <w:autoSpaceDN w:val="0"/>
        <w:adjustRightInd w:val="0"/>
        <w:spacing w:after="0" w:line="240" w:lineRule="auto"/>
        <w:jc w:val="both"/>
        <w:rPr>
          <w:rFonts w:ascii="Arial" w:hAnsi="Arial" w:cs="Arial"/>
          <w:sz w:val="24"/>
          <w:szCs w:val="24"/>
        </w:rPr>
      </w:pPr>
    </w:p>
    <w:p w:rsidR="005C23E7" w:rsidRPr="00717825" w:rsidRDefault="005C23E7" w:rsidP="00717825">
      <w:pPr>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t>Para implementar policultivos, en lo posible, se deben asociar cultivos que presenten características vegetativas y desarrollo radicular diferente, para aprovechar los diferentes niveles en la superficie y dentro del suelo, y así utilizar mejor la disponibilidad de los nutrientes y la humedad en los diferentes estratos del suelo (</w:t>
      </w:r>
      <w:r w:rsidR="00680490">
        <w:rPr>
          <w:rFonts w:ascii="Arial" w:hAnsi="Arial" w:cs="Arial"/>
          <w:sz w:val="24"/>
          <w:szCs w:val="24"/>
        </w:rPr>
        <w:t>46</w:t>
      </w:r>
      <w:r w:rsidRPr="00717825">
        <w:rPr>
          <w:rFonts w:ascii="Arial" w:hAnsi="Arial" w:cs="Arial"/>
          <w:sz w:val="24"/>
          <w:szCs w:val="24"/>
        </w:rPr>
        <w:t>).</w:t>
      </w:r>
    </w:p>
    <w:p w:rsidR="00344B8E" w:rsidRDefault="00344B8E" w:rsidP="00717825">
      <w:pPr>
        <w:autoSpaceDE w:val="0"/>
        <w:autoSpaceDN w:val="0"/>
        <w:adjustRightInd w:val="0"/>
        <w:spacing w:after="0" w:line="240" w:lineRule="auto"/>
        <w:jc w:val="both"/>
        <w:rPr>
          <w:rFonts w:ascii="Arial" w:hAnsi="Arial" w:cs="Arial"/>
          <w:sz w:val="24"/>
          <w:szCs w:val="24"/>
        </w:rPr>
      </w:pPr>
    </w:p>
    <w:p w:rsidR="005C23E7" w:rsidRPr="00717825" w:rsidRDefault="001C0F99" w:rsidP="00717825">
      <w:pPr>
        <w:autoSpaceDE w:val="0"/>
        <w:autoSpaceDN w:val="0"/>
        <w:adjustRightInd w:val="0"/>
        <w:spacing w:after="0" w:line="240" w:lineRule="auto"/>
        <w:jc w:val="both"/>
        <w:rPr>
          <w:rFonts w:ascii="Arial" w:hAnsi="Arial" w:cs="Arial"/>
          <w:b/>
          <w:sz w:val="24"/>
          <w:szCs w:val="24"/>
        </w:rPr>
      </w:pPr>
      <w:r w:rsidRPr="00717825">
        <w:rPr>
          <w:rFonts w:ascii="Arial" w:hAnsi="Arial" w:cs="Arial"/>
          <w:sz w:val="24"/>
          <w:szCs w:val="24"/>
        </w:rPr>
        <w:t>También se encuentra el pastoreo controlado o rotativo que</w:t>
      </w:r>
      <w:r w:rsidR="009753E8">
        <w:rPr>
          <w:rFonts w:ascii="Arial" w:hAnsi="Arial" w:cs="Arial"/>
          <w:sz w:val="24"/>
          <w:szCs w:val="24"/>
        </w:rPr>
        <w:t xml:space="preserve"> </w:t>
      </w:r>
      <w:r w:rsidRPr="00717825">
        <w:rPr>
          <w:rFonts w:ascii="Arial" w:hAnsi="Arial" w:cs="Arial"/>
          <w:sz w:val="24"/>
          <w:szCs w:val="24"/>
        </w:rPr>
        <w:t>c</w:t>
      </w:r>
      <w:r w:rsidR="005C23E7" w:rsidRPr="00717825">
        <w:rPr>
          <w:rFonts w:ascii="Arial" w:hAnsi="Arial" w:cs="Arial"/>
          <w:sz w:val="24"/>
          <w:szCs w:val="24"/>
        </w:rPr>
        <w:t>onsiste en rotar el ganado dentro del terreno, para evitar que los suelos se compacten (especialmente en época de lluvias), de esta manera se permite que el suelo descanse y mejora el rebrote de praderas (</w:t>
      </w:r>
      <w:r w:rsidR="00680490">
        <w:rPr>
          <w:rFonts w:ascii="Arial" w:hAnsi="Arial" w:cs="Arial"/>
          <w:sz w:val="24"/>
          <w:szCs w:val="24"/>
        </w:rPr>
        <w:t>48</w:t>
      </w:r>
      <w:r w:rsidR="005C23E7" w:rsidRPr="00717825">
        <w:rPr>
          <w:rFonts w:ascii="Arial" w:hAnsi="Arial" w:cs="Arial"/>
          <w:sz w:val="24"/>
          <w:szCs w:val="24"/>
        </w:rPr>
        <w:t>).</w:t>
      </w:r>
    </w:p>
    <w:p w:rsidR="00344B8E" w:rsidRDefault="00344B8E" w:rsidP="00717825">
      <w:pPr>
        <w:autoSpaceDE w:val="0"/>
        <w:autoSpaceDN w:val="0"/>
        <w:adjustRightInd w:val="0"/>
        <w:spacing w:after="0" w:line="240" w:lineRule="auto"/>
        <w:jc w:val="both"/>
        <w:rPr>
          <w:rFonts w:ascii="Arial" w:hAnsi="Arial" w:cs="Arial"/>
          <w:sz w:val="24"/>
          <w:szCs w:val="24"/>
        </w:rPr>
      </w:pPr>
    </w:p>
    <w:p w:rsidR="005C23E7" w:rsidRPr="00717825" w:rsidRDefault="005C23E7" w:rsidP="00717825">
      <w:pPr>
        <w:autoSpaceDE w:val="0"/>
        <w:autoSpaceDN w:val="0"/>
        <w:adjustRightInd w:val="0"/>
        <w:spacing w:after="0" w:line="240" w:lineRule="auto"/>
        <w:jc w:val="both"/>
        <w:rPr>
          <w:rFonts w:ascii="Arial" w:hAnsi="Arial" w:cs="Arial"/>
          <w:sz w:val="24"/>
          <w:szCs w:val="24"/>
        </w:rPr>
      </w:pPr>
      <w:r w:rsidRPr="00717825">
        <w:rPr>
          <w:rFonts w:ascii="Arial" w:hAnsi="Arial" w:cs="Arial"/>
          <w:sz w:val="24"/>
          <w:szCs w:val="24"/>
        </w:rPr>
        <w:t>Abonos verdes y cobertura permanente del suelo</w:t>
      </w:r>
      <w:r w:rsidR="001C0F99" w:rsidRPr="00717825">
        <w:rPr>
          <w:rFonts w:ascii="Arial" w:hAnsi="Arial" w:cs="Arial"/>
          <w:sz w:val="24"/>
          <w:szCs w:val="24"/>
        </w:rPr>
        <w:t xml:space="preserve"> es entre otras una práctica</w:t>
      </w:r>
      <w:r w:rsidR="00F36661">
        <w:rPr>
          <w:rFonts w:ascii="Arial" w:hAnsi="Arial" w:cs="Arial"/>
          <w:sz w:val="24"/>
          <w:szCs w:val="24"/>
        </w:rPr>
        <w:t xml:space="preserve"> </w:t>
      </w:r>
      <w:r w:rsidR="001C0F99" w:rsidRPr="00717825">
        <w:rPr>
          <w:rFonts w:ascii="Arial" w:hAnsi="Arial" w:cs="Arial"/>
          <w:sz w:val="24"/>
          <w:szCs w:val="24"/>
        </w:rPr>
        <w:t xml:space="preserve">que </w:t>
      </w:r>
      <w:r w:rsidRPr="00717825">
        <w:rPr>
          <w:rFonts w:ascii="Arial" w:hAnsi="Arial" w:cs="Arial"/>
          <w:sz w:val="24"/>
          <w:szCs w:val="24"/>
        </w:rPr>
        <w:t>consisten en la incorporación al suelo de plantas sembradas o biomasa vegetal no descompuesta con el fin de mejorar la fertilidad y calidad del suelo. Los abonos verdes son capaces de reciclar grandes cantidades de nutrientes en formas asimilables por las demás especies</w:t>
      </w:r>
      <w:r w:rsidR="005F5DEF" w:rsidRPr="00717825">
        <w:rPr>
          <w:rFonts w:ascii="Arial" w:hAnsi="Arial" w:cs="Arial"/>
          <w:sz w:val="24"/>
          <w:szCs w:val="24"/>
        </w:rPr>
        <w:t xml:space="preserve">; promueven un considerable y continuo aporte de biomasa al suelo, de manera que mantienen e incluso elevan, a lo largo de los años el contenido de su materia orgánica, reducen la incidencia de plagas con respecto a las plantaciones sin cobertura, disminuyendo la necesidad de plaguicidas y por tanto los efectos de residualidad de sustancias químicas contaminantes en el suelo; reducen la competencia de arvenses y por tanto su población a través del efecto supresor y/o alelopático, ocasionado por el rápido crecimiento inicial y exuberante desarrollo de la biomasa y mejoran la fertilidad e incrementan el rendimiento de los cultivos </w:t>
      </w:r>
      <w:r w:rsidRPr="00717825">
        <w:rPr>
          <w:rFonts w:ascii="Arial" w:hAnsi="Arial" w:cs="Arial"/>
          <w:sz w:val="24"/>
          <w:szCs w:val="24"/>
        </w:rPr>
        <w:t>(</w:t>
      </w:r>
      <w:r w:rsidR="00680490">
        <w:rPr>
          <w:rFonts w:ascii="Arial" w:hAnsi="Arial" w:cs="Arial"/>
          <w:sz w:val="24"/>
          <w:szCs w:val="24"/>
        </w:rPr>
        <w:t>44</w:t>
      </w:r>
      <w:r w:rsidR="001C0F99" w:rsidRPr="00717825">
        <w:rPr>
          <w:rFonts w:ascii="Arial" w:hAnsi="Arial" w:cs="Arial"/>
          <w:sz w:val="24"/>
          <w:szCs w:val="24"/>
        </w:rPr>
        <w:t>)</w:t>
      </w:r>
      <w:r w:rsidRPr="00717825">
        <w:rPr>
          <w:rFonts w:ascii="Arial" w:hAnsi="Arial" w:cs="Arial"/>
          <w:sz w:val="24"/>
          <w:szCs w:val="24"/>
        </w:rPr>
        <w:t xml:space="preserve">; </w:t>
      </w:r>
      <w:r w:rsidR="00680490">
        <w:rPr>
          <w:rFonts w:ascii="Arial" w:hAnsi="Arial" w:cs="Arial"/>
          <w:sz w:val="24"/>
          <w:szCs w:val="24"/>
        </w:rPr>
        <w:t>(51</w:t>
      </w:r>
      <w:r w:rsidR="005F5DEF" w:rsidRPr="00717825">
        <w:rPr>
          <w:rFonts w:ascii="Arial" w:hAnsi="Arial" w:cs="Arial"/>
          <w:sz w:val="24"/>
          <w:szCs w:val="24"/>
        </w:rPr>
        <w:t>); (</w:t>
      </w:r>
      <w:r w:rsidR="00680490">
        <w:rPr>
          <w:rFonts w:ascii="Arial" w:hAnsi="Arial" w:cs="Arial"/>
          <w:sz w:val="24"/>
          <w:szCs w:val="24"/>
        </w:rPr>
        <w:t>52</w:t>
      </w:r>
      <w:r w:rsidR="005F5DEF" w:rsidRPr="00717825">
        <w:rPr>
          <w:rFonts w:ascii="Arial" w:hAnsi="Arial" w:cs="Arial"/>
          <w:sz w:val="24"/>
          <w:szCs w:val="24"/>
        </w:rPr>
        <w:t>); (</w:t>
      </w:r>
      <w:r w:rsidR="00680490">
        <w:rPr>
          <w:rFonts w:ascii="Arial" w:hAnsi="Arial" w:cs="Arial"/>
          <w:sz w:val="24"/>
          <w:szCs w:val="24"/>
        </w:rPr>
        <w:t>53); (54</w:t>
      </w:r>
      <w:r w:rsidR="005F5DEF" w:rsidRPr="00717825">
        <w:rPr>
          <w:rFonts w:ascii="Arial" w:hAnsi="Arial" w:cs="Arial"/>
          <w:sz w:val="24"/>
          <w:szCs w:val="24"/>
        </w:rPr>
        <w:t>).</w:t>
      </w:r>
    </w:p>
    <w:p w:rsidR="005C23E7" w:rsidRPr="00717825" w:rsidRDefault="005C23E7" w:rsidP="00717825">
      <w:pPr>
        <w:autoSpaceDE w:val="0"/>
        <w:autoSpaceDN w:val="0"/>
        <w:adjustRightInd w:val="0"/>
        <w:spacing w:after="0" w:line="240" w:lineRule="auto"/>
        <w:jc w:val="both"/>
        <w:rPr>
          <w:rFonts w:ascii="Arial" w:hAnsi="Arial" w:cs="Arial"/>
          <w:sz w:val="24"/>
          <w:szCs w:val="24"/>
        </w:rPr>
      </w:pPr>
    </w:p>
    <w:p w:rsidR="005C23E7" w:rsidRPr="00717825" w:rsidRDefault="005C23E7" w:rsidP="00561736">
      <w:pPr>
        <w:autoSpaceDE w:val="0"/>
        <w:autoSpaceDN w:val="0"/>
        <w:adjustRightInd w:val="0"/>
        <w:spacing w:after="0" w:line="240" w:lineRule="auto"/>
        <w:jc w:val="both"/>
        <w:rPr>
          <w:rFonts w:ascii="Arial" w:eastAsia="Calibri" w:hAnsi="Arial" w:cs="Arial"/>
          <w:b/>
          <w:sz w:val="24"/>
          <w:szCs w:val="24"/>
          <w:lang w:val="es-DO"/>
        </w:rPr>
      </w:pPr>
      <w:r w:rsidRPr="00717825">
        <w:rPr>
          <w:rFonts w:ascii="Arial" w:eastAsia="Calibri" w:hAnsi="Arial" w:cs="Arial"/>
          <w:b/>
          <w:sz w:val="24"/>
          <w:szCs w:val="24"/>
          <w:lang w:val="es-DO"/>
        </w:rPr>
        <w:t xml:space="preserve">Impacto de las prácticas de manejo </w:t>
      </w:r>
      <w:r w:rsidR="00AE0F9E" w:rsidRPr="00717825">
        <w:rPr>
          <w:rFonts w:ascii="Arial" w:eastAsia="Calibri" w:hAnsi="Arial" w:cs="Arial"/>
          <w:b/>
          <w:sz w:val="24"/>
          <w:szCs w:val="24"/>
          <w:lang w:val="es-DO"/>
        </w:rPr>
        <w:t>en el</w:t>
      </w:r>
      <w:r w:rsidRPr="00717825">
        <w:rPr>
          <w:rFonts w:ascii="Arial" w:eastAsia="Calibri" w:hAnsi="Arial" w:cs="Arial"/>
          <w:b/>
          <w:sz w:val="24"/>
          <w:szCs w:val="24"/>
          <w:lang w:val="es-DO"/>
        </w:rPr>
        <w:t xml:space="preserve"> agroecosistema sobre la biodiversidad  </w:t>
      </w:r>
    </w:p>
    <w:p w:rsidR="00561736" w:rsidRDefault="005C23E7" w:rsidP="00561736">
      <w:pPr>
        <w:spacing w:line="240" w:lineRule="auto"/>
        <w:jc w:val="both"/>
        <w:rPr>
          <w:rFonts w:ascii="Arial" w:hAnsi="Arial" w:cs="Arial"/>
          <w:sz w:val="24"/>
          <w:szCs w:val="24"/>
        </w:rPr>
      </w:pPr>
      <w:r w:rsidRPr="00717825">
        <w:rPr>
          <w:rFonts w:ascii="Arial" w:hAnsi="Arial" w:cs="Arial"/>
          <w:sz w:val="24"/>
          <w:szCs w:val="24"/>
        </w:rPr>
        <w:t>Actualmente las prácticas agrícolas están cuesti</w:t>
      </w:r>
      <w:r w:rsidR="00F36661">
        <w:rPr>
          <w:rFonts w:ascii="Arial" w:hAnsi="Arial" w:cs="Arial"/>
          <w:sz w:val="24"/>
          <w:szCs w:val="24"/>
        </w:rPr>
        <w:t>onadas y necesitan cambios glob</w:t>
      </w:r>
      <w:r w:rsidRPr="00717825">
        <w:rPr>
          <w:rFonts w:ascii="Arial" w:hAnsi="Arial" w:cs="Arial"/>
          <w:sz w:val="24"/>
          <w:szCs w:val="24"/>
        </w:rPr>
        <w:t>ales para incrementar la producción de los cultivos para alimentar a la creciente población mundial, brindar más calidad a los alimentos para evitar problemas a la salud e impedir la contami</w:t>
      </w:r>
      <w:r w:rsidR="00E7009B" w:rsidRPr="00717825">
        <w:rPr>
          <w:rFonts w:ascii="Arial" w:hAnsi="Arial" w:cs="Arial"/>
          <w:sz w:val="24"/>
          <w:szCs w:val="24"/>
        </w:rPr>
        <w:t>nación ambiental (</w:t>
      </w:r>
      <w:r w:rsidR="00680490">
        <w:rPr>
          <w:rFonts w:ascii="Arial" w:hAnsi="Arial" w:cs="Arial"/>
          <w:sz w:val="24"/>
          <w:szCs w:val="24"/>
        </w:rPr>
        <w:t>55</w:t>
      </w:r>
      <w:r w:rsidR="00E7009B" w:rsidRPr="00717825">
        <w:rPr>
          <w:rFonts w:ascii="Arial" w:hAnsi="Arial" w:cs="Arial"/>
          <w:sz w:val="24"/>
          <w:szCs w:val="24"/>
        </w:rPr>
        <w:t>).</w:t>
      </w:r>
    </w:p>
    <w:p w:rsidR="00E7009B" w:rsidRPr="00717825" w:rsidRDefault="005C23E7" w:rsidP="00561736">
      <w:pPr>
        <w:spacing w:line="240" w:lineRule="auto"/>
        <w:jc w:val="both"/>
        <w:rPr>
          <w:rFonts w:ascii="Arial" w:hAnsi="Arial" w:cs="Arial"/>
          <w:sz w:val="24"/>
          <w:szCs w:val="24"/>
        </w:rPr>
      </w:pPr>
      <w:r w:rsidRPr="00717825">
        <w:rPr>
          <w:rFonts w:ascii="Arial" w:hAnsi="Arial" w:cs="Arial"/>
          <w:sz w:val="24"/>
          <w:szCs w:val="24"/>
        </w:rPr>
        <w:t>La relación entre la biodiversidad y el control de plaga es de interés para la producción sostenible de los cultivos (</w:t>
      </w:r>
      <w:r w:rsidR="000A7357" w:rsidRPr="00717825">
        <w:rPr>
          <w:rFonts w:ascii="Arial" w:hAnsi="Arial" w:cs="Arial"/>
          <w:sz w:val="24"/>
          <w:szCs w:val="24"/>
        </w:rPr>
        <w:t>5</w:t>
      </w:r>
      <w:r w:rsidR="00680490">
        <w:rPr>
          <w:rFonts w:ascii="Arial" w:hAnsi="Arial" w:cs="Arial"/>
          <w:sz w:val="24"/>
          <w:szCs w:val="24"/>
        </w:rPr>
        <w:t>6</w:t>
      </w:r>
      <w:r w:rsidRPr="00717825">
        <w:rPr>
          <w:rFonts w:ascii="Arial" w:hAnsi="Arial" w:cs="Arial"/>
          <w:sz w:val="24"/>
          <w:szCs w:val="24"/>
        </w:rPr>
        <w:t xml:space="preserve">). En diversos trabajos se ha demostrado que la supresión de los herbívoros y la disminución de los daños a los cultivos </w:t>
      </w:r>
      <w:r w:rsidRPr="00717825">
        <w:rPr>
          <w:rFonts w:ascii="Arial" w:hAnsi="Arial" w:cs="Arial"/>
          <w:sz w:val="24"/>
          <w:szCs w:val="24"/>
        </w:rPr>
        <w:lastRenderedPageBreak/>
        <w:t>están significativamente asociadas con la diversificación de los cultivos (</w:t>
      </w:r>
      <w:r w:rsidR="00680490">
        <w:rPr>
          <w:rFonts w:ascii="Arial" w:hAnsi="Arial" w:cs="Arial"/>
          <w:sz w:val="24"/>
          <w:szCs w:val="24"/>
        </w:rPr>
        <w:t>57</w:t>
      </w:r>
      <w:r w:rsidRPr="00717825">
        <w:rPr>
          <w:rFonts w:ascii="Arial" w:hAnsi="Arial" w:cs="Arial"/>
          <w:sz w:val="24"/>
          <w:szCs w:val="24"/>
        </w:rPr>
        <w:t>). Los principales mecanismos ecológicos que soporta esta conclusión son (i) el efecto de la diversificación de los cultivos sobre el microclima y la fisiología</w:t>
      </w:r>
      <w:r w:rsidR="00AE0F9E" w:rsidRPr="00717825">
        <w:rPr>
          <w:rFonts w:ascii="Arial" w:hAnsi="Arial" w:cs="Arial"/>
          <w:sz w:val="24"/>
          <w:szCs w:val="24"/>
        </w:rPr>
        <w:t>,además</w:t>
      </w:r>
      <w:r w:rsidRPr="00717825">
        <w:rPr>
          <w:rFonts w:ascii="Arial" w:hAnsi="Arial" w:cs="Arial"/>
          <w:sz w:val="24"/>
          <w:szCs w:val="24"/>
        </w:rPr>
        <w:t xml:space="preserve"> sobre la comunidad de fauna asociada, (ii) la hipótesis de concentración de los recursos, que establece que en los cultivos diversificados, los herbívoros especializados tienen menos concentrado el suministro de alimento que en los monocultivos y (iii) la hipótesis de los enemigos naturales, que establece que en los cultivos diversificados, la abundancia y diversidad de enemigos naturales son mayores debido a la más continua y diversificada disponibilidad de recursos (presas, polen, néctar, refugio y micro hábitats), en comparación con los monocultivos (</w:t>
      </w:r>
      <w:r w:rsidR="00680490">
        <w:rPr>
          <w:rFonts w:ascii="Arial" w:hAnsi="Arial" w:cs="Arial"/>
          <w:sz w:val="24"/>
          <w:szCs w:val="24"/>
        </w:rPr>
        <w:t>58</w:t>
      </w:r>
      <w:r w:rsidRPr="00717825">
        <w:rPr>
          <w:rFonts w:ascii="Arial" w:hAnsi="Arial" w:cs="Arial"/>
          <w:sz w:val="24"/>
          <w:szCs w:val="24"/>
        </w:rPr>
        <w:t>).</w:t>
      </w:r>
    </w:p>
    <w:p w:rsidR="005C23E7" w:rsidRPr="00717825" w:rsidRDefault="005C23E7" w:rsidP="00717825">
      <w:pPr>
        <w:spacing w:line="240" w:lineRule="auto"/>
        <w:jc w:val="both"/>
        <w:rPr>
          <w:rFonts w:ascii="Arial" w:hAnsi="Arial" w:cs="Arial"/>
          <w:sz w:val="24"/>
          <w:szCs w:val="24"/>
        </w:rPr>
      </w:pPr>
      <w:r w:rsidRPr="00717825">
        <w:rPr>
          <w:rFonts w:ascii="Arial" w:hAnsi="Arial" w:cs="Arial"/>
          <w:sz w:val="24"/>
          <w:szCs w:val="24"/>
        </w:rPr>
        <w:t>Varios estudios han tratado los factores que afectan la ocurrencia natural de los ácaros fitoseidos generalistas en los cultivos, especialmente en relación a la diversificación del agroecosistema. Diversos autores han documentado que los rasgos de las áreas no cultivada que rodean los cultivos (composición de plantas, estructura) afectan la ocurrencia de los ácaros fitoseidos en estos últimos (</w:t>
      </w:r>
      <w:r w:rsidR="00575001">
        <w:rPr>
          <w:rFonts w:ascii="Arial" w:hAnsi="Arial" w:cs="Arial"/>
          <w:sz w:val="24"/>
          <w:szCs w:val="24"/>
        </w:rPr>
        <w:t>59</w:t>
      </w:r>
      <w:r w:rsidR="001F363B" w:rsidRPr="00717825">
        <w:rPr>
          <w:rFonts w:ascii="Arial" w:hAnsi="Arial" w:cs="Arial"/>
          <w:sz w:val="24"/>
          <w:szCs w:val="24"/>
        </w:rPr>
        <w:t>)</w:t>
      </w:r>
      <w:r w:rsidRPr="00717825">
        <w:rPr>
          <w:rFonts w:ascii="Arial" w:hAnsi="Arial" w:cs="Arial"/>
          <w:sz w:val="24"/>
          <w:szCs w:val="24"/>
        </w:rPr>
        <w:t xml:space="preserve">; </w:t>
      </w:r>
      <w:r w:rsidR="00575001">
        <w:rPr>
          <w:rFonts w:ascii="Arial" w:hAnsi="Arial" w:cs="Arial"/>
          <w:sz w:val="24"/>
          <w:szCs w:val="24"/>
        </w:rPr>
        <w:t>(60</w:t>
      </w:r>
      <w:r w:rsidRPr="00717825">
        <w:rPr>
          <w:rFonts w:ascii="Arial" w:hAnsi="Arial" w:cs="Arial"/>
          <w:sz w:val="24"/>
          <w:szCs w:val="24"/>
        </w:rPr>
        <w:t xml:space="preserve">). </w:t>
      </w:r>
    </w:p>
    <w:p w:rsidR="005C23E7" w:rsidRPr="00717825" w:rsidRDefault="005C23E7" w:rsidP="00717825">
      <w:pPr>
        <w:autoSpaceDE w:val="0"/>
        <w:autoSpaceDN w:val="0"/>
        <w:adjustRightInd w:val="0"/>
        <w:spacing w:line="240" w:lineRule="auto"/>
        <w:jc w:val="both"/>
        <w:rPr>
          <w:rFonts w:ascii="Arial" w:hAnsi="Arial" w:cs="Arial"/>
          <w:color w:val="000000"/>
          <w:sz w:val="24"/>
          <w:szCs w:val="24"/>
        </w:rPr>
      </w:pPr>
      <w:r w:rsidRPr="00717825">
        <w:rPr>
          <w:rFonts w:ascii="Arial" w:hAnsi="Arial" w:cs="Arial"/>
          <w:color w:val="000000"/>
          <w:sz w:val="24"/>
          <w:szCs w:val="24"/>
        </w:rPr>
        <w:t>La capacidad de las especies para adaptarse al paisaje agrícola puede estar limitada directamente por los regímenes de perturbación del</w:t>
      </w:r>
      <w:r w:rsidR="00AE0F9E" w:rsidRPr="00717825">
        <w:rPr>
          <w:rFonts w:ascii="Arial" w:hAnsi="Arial" w:cs="Arial"/>
          <w:color w:val="000000"/>
          <w:sz w:val="24"/>
          <w:szCs w:val="24"/>
        </w:rPr>
        <w:t xml:space="preserve"> pastoreo, plantación y cosecha</w:t>
      </w:r>
      <w:r w:rsidRPr="00717825">
        <w:rPr>
          <w:rFonts w:ascii="Arial" w:hAnsi="Arial" w:cs="Arial"/>
          <w:color w:val="000000"/>
          <w:sz w:val="24"/>
          <w:szCs w:val="24"/>
        </w:rPr>
        <w:t xml:space="preserve"> e indirectamente por la abundancia de planta y la disponibilidad de comida para los depredadores. Algunas técnicas de manejo, como el drenaje, provocan cambios en el hábitat que inducen cambios significativos en la composición de las especies (</w:t>
      </w:r>
      <w:r w:rsidR="00575001">
        <w:rPr>
          <w:rFonts w:ascii="Arial" w:hAnsi="Arial" w:cs="Arial"/>
          <w:color w:val="000000"/>
          <w:sz w:val="24"/>
          <w:szCs w:val="24"/>
        </w:rPr>
        <w:t>61</w:t>
      </w:r>
      <w:r w:rsidRPr="00717825">
        <w:rPr>
          <w:rFonts w:ascii="Arial" w:hAnsi="Arial" w:cs="Arial"/>
          <w:color w:val="000000"/>
          <w:sz w:val="24"/>
          <w:szCs w:val="24"/>
        </w:rPr>
        <w:t>).</w:t>
      </w:r>
    </w:p>
    <w:p w:rsidR="00E7009B" w:rsidRPr="00717825" w:rsidRDefault="005C23E7" w:rsidP="00717825">
      <w:pPr>
        <w:autoSpaceDE w:val="0"/>
        <w:autoSpaceDN w:val="0"/>
        <w:adjustRightInd w:val="0"/>
        <w:spacing w:line="240" w:lineRule="auto"/>
        <w:jc w:val="both"/>
        <w:rPr>
          <w:rFonts w:ascii="Arial" w:hAnsi="Arial" w:cs="Arial"/>
          <w:sz w:val="24"/>
          <w:szCs w:val="24"/>
        </w:rPr>
      </w:pPr>
      <w:r w:rsidRPr="00717825">
        <w:rPr>
          <w:rFonts w:ascii="Arial" w:hAnsi="Arial" w:cs="Arial"/>
          <w:color w:val="000000"/>
          <w:sz w:val="24"/>
          <w:szCs w:val="24"/>
        </w:rPr>
        <w:t>La labranza altera varios aspectos del ambiente físico del suelo donde se incluye: el agua, aireación, compactación, porosidad y temperatura del suelo (</w:t>
      </w:r>
      <w:r w:rsidR="00575001">
        <w:rPr>
          <w:rFonts w:ascii="Arial" w:hAnsi="Arial" w:cs="Arial"/>
          <w:color w:val="000000"/>
          <w:sz w:val="24"/>
          <w:szCs w:val="24"/>
        </w:rPr>
        <w:t>62</w:t>
      </w:r>
      <w:r w:rsidRPr="00717825">
        <w:rPr>
          <w:rFonts w:ascii="Arial" w:hAnsi="Arial" w:cs="Arial"/>
          <w:color w:val="000000"/>
          <w:sz w:val="24"/>
          <w:szCs w:val="24"/>
        </w:rPr>
        <w:t xml:space="preserve">). La labranza hace al suelo más susceptible a la erosión hídrica y eólica, los cuales </w:t>
      </w:r>
      <w:r w:rsidRPr="00717825">
        <w:rPr>
          <w:rFonts w:ascii="Arial" w:hAnsi="Arial" w:cs="Arial"/>
          <w:sz w:val="24"/>
          <w:szCs w:val="24"/>
        </w:rPr>
        <w:t>pueden afectar los niveles de materia orgánica y nitrógeno de las capas superiores del suelo y con ello la biodiversidad presente en la misma (</w:t>
      </w:r>
      <w:r w:rsidR="00575001">
        <w:rPr>
          <w:rFonts w:ascii="Arial" w:hAnsi="Arial" w:cs="Arial"/>
          <w:sz w:val="24"/>
          <w:szCs w:val="24"/>
        </w:rPr>
        <w:t>63</w:t>
      </w:r>
      <w:r w:rsidRPr="00717825">
        <w:rPr>
          <w:rFonts w:ascii="Arial" w:hAnsi="Arial" w:cs="Arial"/>
          <w:sz w:val="24"/>
          <w:szCs w:val="24"/>
        </w:rPr>
        <w:t>).</w:t>
      </w:r>
    </w:p>
    <w:p w:rsidR="005C23E7" w:rsidRPr="00717825" w:rsidRDefault="005C23E7" w:rsidP="00717825">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Diversos estudios muestran que los cultivos de coberturas y/o las malezas constituyen reservorios para los ácaros depredadores fitoseidos (</w:t>
      </w:r>
      <w:r w:rsidR="00575001">
        <w:rPr>
          <w:rFonts w:ascii="Arial" w:hAnsi="Arial" w:cs="Arial"/>
          <w:sz w:val="24"/>
          <w:szCs w:val="24"/>
        </w:rPr>
        <w:t>64</w:t>
      </w:r>
      <w:r w:rsidRPr="00717825">
        <w:rPr>
          <w:rFonts w:ascii="Arial" w:hAnsi="Arial" w:cs="Arial"/>
          <w:sz w:val="24"/>
          <w:szCs w:val="24"/>
        </w:rPr>
        <w:t xml:space="preserve">). Los </w:t>
      </w:r>
      <w:r w:rsidR="00AE0F9E" w:rsidRPr="00717825">
        <w:rPr>
          <w:rFonts w:ascii="Arial" w:hAnsi="Arial" w:cs="Arial"/>
          <w:sz w:val="24"/>
          <w:szCs w:val="24"/>
        </w:rPr>
        <w:t>mismos</w:t>
      </w:r>
      <w:r w:rsidRPr="00717825">
        <w:rPr>
          <w:rFonts w:ascii="Arial" w:hAnsi="Arial" w:cs="Arial"/>
          <w:sz w:val="24"/>
          <w:szCs w:val="24"/>
        </w:rPr>
        <w:t xml:space="preserve"> proveen alimento para los ácaros depredadores, especialmente polen y presas. También pueden brindar hábitats y en dependencia de las características de las hojas de la planta de cobertura, la diversidad y abundancia de los </w:t>
      </w:r>
      <w:r w:rsidR="00F36661">
        <w:rPr>
          <w:rFonts w:ascii="Arial" w:hAnsi="Arial" w:cs="Arial"/>
          <w:sz w:val="24"/>
          <w:szCs w:val="24"/>
        </w:rPr>
        <w:t>mismos</w:t>
      </w:r>
      <w:r w:rsidRPr="00717825">
        <w:rPr>
          <w:rFonts w:ascii="Arial" w:hAnsi="Arial" w:cs="Arial"/>
          <w:sz w:val="24"/>
          <w:szCs w:val="24"/>
        </w:rPr>
        <w:t xml:space="preserve"> puede diferir. </w:t>
      </w:r>
      <w:r w:rsidR="00AE0F9E" w:rsidRPr="00717825">
        <w:rPr>
          <w:rFonts w:ascii="Arial" w:hAnsi="Arial" w:cs="Arial"/>
          <w:sz w:val="24"/>
          <w:szCs w:val="24"/>
        </w:rPr>
        <w:t>Estos</w:t>
      </w:r>
      <w:r w:rsidRPr="00717825">
        <w:rPr>
          <w:rFonts w:ascii="Arial" w:hAnsi="Arial" w:cs="Arial"/>
          <w:sz w:val="24"/>
          <w:szCs w:val="24"/>
        </w:rPr>
        <w:t xml:space="preserve"> pueden modificar las condiciones del microclima en los cultivos, con implicaciones para el desarrollo de los ácaros (</w:t>
      </w:r>
      <w:r w:rsidR="00575001">
        <w:rPr>
          <w:rFonts w:ascii="Arial" w:hAnsi="Arial" w:cs="Arial"/>
          <w:sz w:val="24"/>
          <w:szCs w:val="24"/>
        </w:rPr>
        <w:t>65</w:t>
      </w:r>
      <w:r w:rsidRPr="00717825">
        <w:rPr>
          <w:rFonts w:ascii="Arial" w:hAnsi="Arial" w:cs="Arial"/>
          <w:sz w:val="24"/>
          <w:szCs w:val="24"/>
        </w:rPr>
        <w:t>).</w:t>
      </w:r>
    </w:p>
    <w:p w:rsidR="005C23E7" w:rsidRPr="00717825" w:rsidRDefault="005C23E7" w:rsidP="00717825">
      <w:pPr>
        <w:pStyle w:val="HTMLconformatoprevio"/>
        <w:spacing w:after="240"/>
        <w:jc w:val="both"/>
        <w:rPr>
          <w:rFonts w:ascii="Arial" w:hAnsi="Arial" w:cs="Arial"/>
          <w:sz w:val="24"/>
          <w:szCs w:val="24"/>
        </w:rPr>
      </w:pPr>
      <w:r w:rsidRPr="00717825">
        <w:rPr>
          <w:rFonts w:ascii="Arial" w:hAnsi="Arial" w:cs="Arial"/>
          <w:sz w:val="24"/>
          <w:szCs w:val="24"/>
        </w:rPr>
        <w:t>El reconocimiento d</w:t>
      </w:r>
      <w:r w:rsidR="00AE0F9E" w:rsidRPr="00717825">
        <w:rPr>
          <w:rFonts w:ascii="Arial" w:hAnsi="Arial" w:cs="Arial"/>
          <w:sz w:val="24"/>
          <w:szCs w:val="24"/>
        </w:rPr>
        <w:t>el</w:t>
      </w:r>
      <w:r w:rsidRPr="00717825">
        <w:rPr>
          <w:rFonts w:ascii="Arial" w:hAnsi="Arial" w:cs="Arial"/>
          <w:sz w:val="24"/>
          <w:szCs w:val="24"/>
        </w:rPr>
        <w:t xml:space="preserve"> impa</w:t>
      </w:r>
      <w:r w:rsidR="00AE0F9E" w:rsidRPr="00717825">
        <w:rPr>
          <w:rFonts w:ascii="Arial" w:hAnsi="Arial" w:cs="Arial"/>
          <w:sz w:val="24"/>
          <w:szCs w:val="24"/>
        </w:rPr>
        <w:t>cto</w:t>
      </w:r>
      <w:r w:rsidRPr="00717825">
        <w:rPr>
          <w:rFonts w:ascii="Arial" w:hAnsi="Arial" w:cs="Arial"/>
          <w:sz w:val="24"/>
          <w:szCs w:val="24"/>
        </w:rPr>
        <w:t xml:space="preserve"> en la biodiversidad derivados de las actividades agrícolas ha llevado, en muchos países, a un mayor interés en métodos agrícolas más sostenibles, como la agricultura orgánica, esquemas agroambientales y agroforestales. La cantidad de tierra cultivada orgánicamente, de baja intensidad, el sistema que utiliza la rotación de cultivos, el compost y el control biológico de plagas, se ha expandido enormemente, aumentando en 135% en la década 2001-2011y en 2012 se situó en 37,5 millones de hectáreas, aunque esto sigue siendo solo el 1% del total de tierras agrícolas en todo el mundo (</w:t>
      </w:r>
      <w:r w:rsidR="00575001">
        <w:rPr>
          <w:rFonts w:ascii="Arial" w:hAnsi="Arial" w:cs="Arial"/>
          <w:sz w:val="24"/>
          <w:szCs w:val="24"/>
        </w:rPr>
        <w:t>66</w:t>
      </w:r>
      <w:r w:rsidRPr="00717825">
        <w:rPr>
          <w:rFonts w:ascii="Arial" w:hAnsi="Arial" w:cs="Arial"/>
          <w:sz w:val="24"/>
          <w:szCs w:val="24"/>
        </w:rPr>
        <w:t>).</w:t>
      </w:r>
    </w:p>
    <w:p w:rsidR="00E7009B" w:rsidRPr="00717825" w:rsidRDefault="005C23E7" w:rsidP="00717825">
      <w:pPr>
        <w:autoSpaceDE w:val="0"/>
        <w:autoSpaceDN w:val="0"/>
        <w:adjustRightInd w:val="0"/>
        <w:spacing w:after="240" w:line="240" w:lineRule="auto"/>
        <w:jc w:val="both"/>
        <w:rPr>
          <w:rFonts w:ascii="Arial" w:hAnsi="Arial" w:cs="Arial"/>
          <w:sz w:val="24"/>
          <w:szCs w:val="24"/>
        </w:rPr>
      </w:pPr>
      <w:r w:rsidRPr="00717825">
        <w:rPr>
          <w:rFonts w:ascii="Arial" w:hAnsi="Arial" w:cs="Arial"/>
          <w:sz w:val="24"/>
          <w:szCs w:val="24"/>
        </w:rPr>
        <w:lastRenderedPageBreak/>
        <w:t>La presencia de vegetación espontánea en el agroecosistema también puede influir en la población de fitoseidos (</w:t>
      </w:r>
      <w:r w:rsidR="00575001">
        <w:rPr>
          <w:rFonts w:ascii="Arial" w:hAnsi="Arial" w:cs="Arial"/>
          <w:sz w:val="24"/>
          <w:szCs w:val="24"/>
        </w:rPr>
        <w:t>64</w:t>
      </w:r>
      <w:r w:rsidRPr="00717825">
        <w:rPr>
          <w:rFonts w:ascii="Arial" w:hAnsi="Arial" w:cs="Arial"/>
          <w:sz w:val="24"/>
          <w:szCs w:val="24"/>
        </w:rPr>
        <w:t xml:space="preserve">). En muchas ocasiones, las especies de fitófagos y fitoseidos que colonizan los cultivos se encuentran también en la vegetación espontánea, de la cual proceden. El desplazamiento de las poblaciones tiene lugar en ambos sentidos, dependiendo de las características de la zona y naturaleza de los cultivos. La vegetación espontánea puede jugar, por tanto, un importante papel en el mantenimiento de una elevada diversidad de fitoseidos en el ecosistema. </w:t>
      </w:r>
    </w:p>
    <w:p w:rsidR="005C23E7" w:rsidRPr="00717825" w:rsidRDefault="005C23E7" w:rsidP="00717825">
      <w:pPr>
        <w:autoSpaceDE w:val="0"/>
        <w:autoSpaceDN w:val="0"/>
        <w:adjustRightInd w:val="0"/>
        <w:spacing w:after="240" w:line="240" w:lineRule="auto"/>
        <w:jc w:val="both"/>
        <w:rPr>
          <w:rFonts w:ascii="Arial" w:hAnsi="Arial" w:cs="Arial"/>
          <w:sz w:val="24"/>
          <w:szCs w:val="24"/>
        </w:rPr>
      </w:pPr>
      <w:r w:rsidRPr="00717825">
        <w:rPr>
          <w:rFonts w:ascii="Arial" w:hAnsi="Arial" w:cs="Arial"/>
          <w:color w:val="000000"/>
          <w:sz w:val="24"/>
          <w:szCs w:val="24"/>
        </w:rPr>
        <w:t xml:space="preserve">El manejo de la biodiversidad de ácaros en las zonas no cultivadas adyacentes a las parcelas donde crecen los cultivos podría acentuar el control biológico de ácaros fitófagos, limitando la desventaja de la introducción artificial. Sin embargo, para la implementación de este manejo es necesario más información concerniente a la ocurrencia de los ácaros depredadores en zonas no cultivadas y los factores que afectan la estructura de las comunidades y especialmente </w:t>
      </w:r>
      <w:r w:rsidRPr="00717825">
        <w:rPr>
          <w:rFonts w:ascii="Arial" w:hAnsi="Arial" w:cs="Arial"/>
          <w:sz w:val="24"/>
          <w:szCs w:val="24"/>
        </w:rPr>
        <w:t>la presencia, abundancia y diversidad de estos depredadores (</w:t>
      </w:r>
      <w:r w:rsidR="00575001">
        <w:rPr>
          <w:rFonts w:ascii="Arial" w:hAnsi="Arial" w:cs="Arial"/>
          <w:sz w:val="24"/>
          <w:szCs w:val="24"/>
        </w:rPr>
        <w:t>67</w:t>
      </w:r>
      <w:r w:rsidRPr="00717825">
        <w:rPr>
          <w:rFonts w:ascii="Arial" w:hAnsi="Arial" w:cs="Arial"/>
          <w:sz w:val="24"/>
          <w:szCs w:val="24"/>
        </w:rPr>
        <w:t>).</w:t>
      </w:r>
    </w:p>
    <w:p w:rsidR="005C23E7" w:rsidRPr="00717825" w:rsidRDefault="005C23E7" w:rsidP="00717825">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Es conocido que las plantas interactúan con los enemigos naturales de los fitófagos con el objeto de reducir la herbivoría. Para lograr esta forma de defensa indirecta, las plantas han desarrollado diferentes estrategias de mutualismo o relaciones tritróficas que les permiten atraer y/o mantener altas poblaciones de enemigos naturales (</w:t>
      </w:r>
      <w:r w:rsidR="00575001">
        <w:rPr>
          <w:rFonts w:ascii="Arial" w:hAnsi="Arial" w:cs="Arial"/>
          <w:sz w:val="24"/>
          <w:szCs w:val="24"/>
        </w:rPr>
        <w:t>68</w:t>
      </w:r>
      <w:r w:rsidRPr="00717825">
        <w:rPr>
          <w:rFonts w:ascii="Arial" w:hAnsi="Arial" w:cs="Arial"/>
          <w:sz w:val="24"/>
          <w:szCs w:val="24"/>
        </w:rPr>
        <w:t>).</w:t>
      </w:r>
    </w:p>
    <w:p w:rsidR="00E7009B" w:rsidRPr="00717825" w:rsidRDefault="005C23E7" w:rsidP="00717825">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En unos casos, las relaciones de mutualismo se establecen gracias a la presencia de determinadas estructuras anatómicas en la planta. Se ha comprobado que las plantas que poseen domacios foliares, abundantes tricomas en las hojas o nectarios extraflorales, frecuentemente albergan mayores cantidades de fitoseidos que las plantas que carecen de estas estructuras (</w:t>
      </w:r>
      <w:r w:rsidR="00575001">
        <w:rPr>
          <w:rFonts w:ascii="Arial" w:hAnsi="Arial" w:cs="Arial"/>
          <w:sz w:val="24"/>
          <w:szCs w:val="24"/>
        </w:rPr>
        <w:t>69</w:t>
      </w:r>
      <w:r w:rsidRPr="00717825">
        <w:rPr>
          <w:rFonts w:ascii="Arial" w:hAnsi="Arial" w:cs="Arial"/>
          <w:sz w:val="24"/>
          <w:szCs w:val="24"/>
        </w:rPr>
        <w:t>).</w:t>
      </w:r>
    </w:p>
    <w:p w:rsidR="005C23E7" w:rsidRPr="00717825" w:rsidRDefault="005C23E7" w:rsidP="00717825">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En otras ocasiones, los ácaros fitoseidos pueden utilizar información procedente de las propias plantas para localizar a sus presas. Las plantas que están siendo atacadas por los ácaros fitófagos atraen fitoseidos mediante la emisión de los llamados compuestos volátiles inducidos por herbívoros, que son captados por estos depredadores (</w:t>
      </w:r>
      <w:r w:rsidR="00575001">
        <w:rPr>
          <w:rFonts w:ascii="Arial" w:hAnsi="Arial" w:cs="Arial"/>
          <w:sz w:val="24"/>
          <w:szCs w:val="24"/>
        </w:rPr>
        <w:t>2</w:t>
      </w:r>
      <w:r w:rsidR="00792CA0" w:rsidRPr="00717825">
        <w:rPr>
          <w:rFonts w:ascii="Arial" w:hAnsi="Arial" w:cs="Arial"/>
          <w:sz w:val="24"/>
          <w:szCs w:val="24"/>
        </w:rPr>
        <w:t>8</w:t>
      </w:r>
      <w:r w:rsidRPr="00717825">
        <w:rPr>
          <w:rFonts w:ascii="Arial" w:hAnsi="Arial" w:cs="Arial"/>
          <w:sz w:val="24"/>
          <w:szCs w:val="24"/>
        </w:rPr>
        <w:t>), lo que les permiten buscar y localizar a su presa, incluso dentro de la misma planta (</w:t>
      </w:r>
      <w:r w:rsidR="00575001">
        <w:rPr>
          <w:rFonts w:ascii="Arial" w:hAnsi="Arial" w:cs="Arial"/>
          <w:sz w:val="24"/>
          <w:szCs w:val="24"/>
        </w:rPr>
        <w:t>70</w:t>
      </w:r>
      <w:r w:rsidRPr="00717825">
        <w:rPr>
          <w:rFonts w:ascii="Arial" w:hAnsi="Arial" w:cs="Arial"/>
          <w:sz w:val="24"/>
          <w:szCs w:val="24"/>
        </w:rPr>
        <w:t>).</w:t>
      </w:r>
    </w:p>
    <w:p w:rsidR="005C23E7" w:rsidRPr="00717825" w:rsidRDefault="005C23E7" w:rsidP="00561736">
      <w:pPr>
        <w:autoSpaceDE w:val="0"/>
        <w:autoSpaceDN w:val="0"/>
        <w:adjustRightInd w:val="0"/>
        <w:spacing w:line="240" w:lineRule="auto"/>
        <w:jc w:val="both"/>
        <w:rPr>
          <w:rFonts w:ascii="Arial" w:hAnsi="Arial" w:cs="Arial"/>
          <w:b/>
          <w:sz w:val="24"/>
          <w:szCs w:val="24"/>
        </w:rPr>
      </w:pPr>
      <w:r w:rsidRPr="00717825">
        <w:rPr>
          <w:rFonts w:ascii="Arial" w:hAnsi="Arial" w:cs="Arial"/>
          <w:b/>
          <w:sz w:val="24"/>
          <w:szCs w:val="24"/>
        </w:rPr>
        <w:t xml:space="preserve">Ejemplos de prácticas que </w:t>
      </w:r>
      <w:r w:rsidR="00F36661">
        <w:rPr>
          <w:rFonts w:ascii="Arial" w:hAnsi="Arial" w:cs="Arial"/>
          <w:b/>
          <w:sz w:val="24"/>
          <w:szCs w:val="24"/>
        </w:rPr>
        <w:t>benefician o perjudican</w:t>
      </w:r>
      <w:r w:rsidRPr="00717825">
        <w:rPr>
          <w:rFonts w:ascii="Arial" w:hAnsi="Arial" w:cs="Arial"/>
          <w:b/>
          <w:sz w:val="24"/>
          <w:szCs w:val="24"/>
        </w:rPr>
        <w:t xml:space="preserve"> a los ácaros depredadores en los agroecosistemas</w:t>
      </w:r>
    </w:p>
    <w:p w:rsidR="005C23E7" w:rsidRPr="00717825" w:rsidRDefault="005C23E7" w:rsidP="00561736">
      <w:pPr>
        <w:autoSpaceDE w:val="0"/>
        <w:autoSpaceDN w:val="0"/>
        <w:adjustRightInd w:val="0"/>
        <w:spacing w:after="0" w:line="240" w:lineRule="auto"/>
        <w:jc w:val="both"/>
        <w:rPr>
          <w:rFonts w:ascii="Arial" w:hAnsi="Arial" w:cs="Arial"/>
          <w:sz w:val="24"/>
          <w:szCs w:val="24"/>
        </w:rPr>
      </w:pPr>
      <w:r w:rsidRPr="00717825">
        <w:rPr>
          <w:rFonts w:ascii="Arial" w:hAnsi="Arial" w:cs="Arial"/>
          <w:b/>
          <w:sz w:val="24"/>
          <w:szCs w:val="24"/>
        </w:rPr>
        <w:t xml:space="preserve">Efecto de plaguicidas sintéticos </w:t>
      </w:r>
    </w:p>
    <w:p w:rsidR="005C23E7" w:rsidRPr="00717825" w:rsidRDefault="005C23E7" w:rsidP="00561736">
      <w:pPr>
        <w:pStyle w:val="HTMLconformatoprevio"/>
        <w:jc w:val="both"/>
        <w:rPr>
          <w:rFonts w:ascii="Arial" w:hAnsi="Arial" w:cs="Arial"/>
          <w:sz w:val="24"/>
          <w:szCs w:val="24"/>
        </w:rPr>
      </w:pPr>
      <w:r w:rsidRPr="00717825">
        <w:rPr>
          <w:rFonts w:ascii="Arial" w:hAnsi="Arial" w:cs="Arial"/>
          <w:sz w:val="24"/>
          <w:szCs w:val="24"/>
        </w:rPr>
        <w:t>El uso de plaguicidas en la agricultura convencional implica diversos riesgos para la salud humana y el ambiente y puede ser ineficiente a largo plazo debido al desarrollo de resistencia (</w:t>
      </w:r>
      <w:r w:rsidR="00575001">
        <w:rPr>
          <w:rFonts w:ascii="Arial" w:hAnsi="Arial" w:cs="Arial"/>
          <w:sz w:val="24"/>
          <w:szCs w:val="24"/>
        </w:rPr>
        <w:t>71</w:t>
      </w:r>
      <w:r w:rsidRPr="00717825">
        <w:rPr>
          <w:rFonts w:ascii="Arial" w:hAnsi="Arial" w:cs="Arial"/>
          <w:sz w:val="24"/>
          <w:szCs w:val="24"/>
        </w:rPr>
        <w:t>).</w:t>
      </w:r>
    </w:p>
    <w:p w:rsidR="00561736" w:rsidRDefault="00561736" w:rsidP="00561736">
      <w:pPr>
        <w:autoSpaceDE w:val="0"/>
        <w:autoSpaceDN w:val="0"/>
        <w:adjustRightInd w:val="0"/>
        <w:spacing w:after="0" w:line="240" w:lineRule="auto"/>
        <w:jc w:val="both"/>
        <w:rPr>
          <w:rFonts w:ascii="Arial" w:hAnsi="Arial" w:cs="Arial"/>
          <w:sz w:val="24"/>
          <w:szCs w:val="24"/>
        </w:rPr>
      </w:pPr>
    </w:p>
    <w:p w:rsidR="005C23E7" w:rsidRPr="00717825" w:rsidRDefault="005C23E7" w:rsidP="00561736">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Posiblemente, el factor que más influye sobre los fitoseidos es la aplicación de plaguicidas de síntesis química para el control de plagas de los cultivos. La toxicidad de los plaguicidas sobre los fitoseidos ha sido ampliamente estudiada en muchos países, utilizando una amplia gama de productos, dosis diferentes y sobre distintos estados de desarrollo (</w:t>
      </w:r>
      <w:r w:rsidR="00575001">
        <w:rPr>
          <w:rFonts w:ascii="Arial" w:hAnsi="Arial" w:cs="Arial"/>
          <w:sz w:val="24"/>
          <w:szCs w:val="24"/>
        </w:rPr>
        <w:t>72</w:t>
      </w:r>
      <w:r w:rsidRPr="00717825">
        <w:rPr>
          <w:rFonts w:ascii="Arial" w:hAnsi="Arial" w:cs="Arial"/>
          <w:sz w:val="24"/>
          <w:szCs w:val="24"/>
        </w:rPr>
        <w:t xml:space="preserve">). La mayoría de los insecticidas químicos de </w:t>
      </w:r>
      <w:r w:rsidRPr="00717825">
        <w:rPr>
          <w:rFonts w:ascii="Arial" w:hAnsi="Arial" w:cs="Arial"/>
          <w:sz w:val="24"/>
          <w:szCs w:val="24"/>
        </w:rPr>
        <w:lastRenderedPageBreak/>
        <w:t>amplio espectro son muy perjudiciales para los fitoseidos, así como algunos fungicidas (azufre y ditioca</w:t>
      </w:r>
      <w:r w:rsidR="00AE0F9E" w:rsidRPr="00717825">
        <w:rPr>
          <w:rFonts w:ascii="Arial" w:hAnsi="Arial" w:cs="Arial"/>
          <w:sz w:val="24"/>
          <w:szCs w:val="24"/>
        </w:rPr>
        <w:t>rbamatos</w:t>
      </w:r>
      <w:r w:rsidRPr="00717825">
        <w:rPr>
          <w:rFonts w:ascii="Arial" w:hAnsi="Arial" w:cs="Arial"/>
          <w:sz w:val="24"/>
          <w:szCs w:val="24"/>
        </w:rPr>
        <w:t>), salvo para las poblaciones que han desarrollado resistencia. Los tratamientos aplicados en un cultivo pueden ser responsables, incluso, de la presencia de unas especies u otras de fitoseidos como dominantes (</w:t>
      </w:r>
      <w:r w:rsidR="00575001">
        <w:rPr>
          <w:rFonts w:ascii="Arial" w:hAnsi="Arial" w:cs="Arial"/>
          <w:sz w:val="24"/>
          <w:szCs w:val="24"/>
        </w:rPr>
        <w:t>73</w:t>
      </w:r>
      <w:r w:rsidRPr="00717825">
        <w:rPr>
          <w:rFonts w:ascii="Arial" w:hAnsi="Arial" w:cs="Arial"/>
          <w:sz w:val="24"/>
          <w:szCs w:val="24"/>
        </w:rPr>
        <w:t>).</w:t>
      </w:r>
    </w:p>
    <w:p w:rsidR="005C23E7" w:rsidRPr="00717825" w:rsidRDefault="005C23E7" w:rsidP="00561736">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En Cuba, los ensayos de selectividad de plaguicidas frente a </w:t>
      </w:r>
      <w:r w:rsidRPr="00717825">
        <w:rPr>
          <w:rFonts w:ascii="Arial" w:hAnsi="Arial" w:cs="Arial"/>
          <w:i/>
          <w:sz w:val="24"/>
          <w:szCs w:val="24"/>
        </w:rPr>
        <w:t>Amblyseius</w:t>
      </w:r>
      <w:r w:rsidR="00F36661">
        <w:rPr>
          <w:rFonts w:ascii="Arial" w:hAnsi="Arial" w:cs="Arial"/>
          <w:i/>
          <w:sz w:val="24"/>
          <w:szCs w:val="24"/>
        </w:rPr>
        <w:t xml:space="preserve"> </w:t>
      </w:r>
      <w:r w:rsidRPr="00717825">
        <w:rPr>
          <w:rFonts w:ascii="Arial" w:hAnsi="Arial" w:cs="Arial"/>
          <w:i/>
          <w:sz w:val="24"/>
          <w:szCs w:val="24"/>
        </w:rPr>
        <w:t>largoensis</w:t>
      </w:r>
      <w:r w:rsidR="00F36661">
        <w:rPr>
          <w:rFonts w:ascii="Arial" w:hAnsi="Arial" w:cs="Arial"/>
          <w:i/>
          <w:sz w:val="24"/>
          <w:szCs w:val="24"/>
        </w:rPr>
        <w:t xml:space="preserve"> </w:t>
      </w:r>
      <w:r w:rsidRPr="00717825">
        <w:rPr>
          <w:rFonts w:ascii="Arial" w:hAnsi="Arial" w:cs="Arial"/>
          <w:sz w:val="24"/>
          <w:szCs w:val="24"/>
        </w:rPr>
        <w:t xml:space="preserve">Muma mostraron que los insecticidas cipermetrina + diazinon y diafentiuron fueron muy tóxicos al depredador, provocando un 100% y 86,4% de mortalidad a las 24 h y 72 h, respectivamente. Mientras los acaricidas dicofol, azufre y la cepa LBt-13 de </w:t>
      </w:r>
      <w:r w:rsidRPr="00717825">
        <w:rPr>
          <w:rFonts w:ascii="Arial" w:hAnsi="Arial" w:cs="Arial"/>
          <w:i/>
          <w:iCs/>
          <w:sz w:val="24"/>
          <w:szCs w:val="24"/>
        </w:rPr>
        <w:t>B</w:t>
      </w:r>
      <w:r w:rsidR="0033176F" w:rsidRPr="00717825">
        <w:rPr>
          <w:rFonts w:ascii="Arial" w:hAnsi="Arial" w:cs="Arial"/>
          <w:i/>
          <w:iCs/>
          <w:sz w:val="24"/>
          <w:szCs w:val="24"/>
        </w:rPr>
        <w:t>acillus</w:t>
      </w:r>
      <w:r w:rsidR="00F36661">
        <w:rPr>
          <w:rFonts w:ascii="Arial" w:hAnsi="Arial" w:cs="Arial"/>
          <w:i/>
          <w:iCs/>
          <w:sz w:val="24"/>
          <w:szCs w:val="24"/>
        </w:rPr>
        <w:t xml:space="preserve"> </w:t>
      </w:r>
      <w:r w:rsidRPr="00717825">
        <w:rPr>
          <w:rFonts w:ascii="Arial" w:hAnsi="Arial" w:cs="Arial"/>
          <w:i/>
          <w:iCs/>
          <w:sz w:val="24"/>
          <w:szCs w:val="24"/>
        </w:rPr>
        <w:t>thuringiensis</w:t>
      </w:r>
      <w:r w:rsidRPr="00717825">
        <w:rPr>
          <w:rFonts w:ascii="Arial" w:hAnsi="Arial" w:cs="Arial"/>
          <w:sz w:val="24"/>
          <w:szCs w:val="24"/>
        </w:rPr>
        <w:t>, el insecticida imidacloprid y los fungicidas mancozeb y metalaxil+mancozeb fueron inocuos (</w:t>
      </w:r>
      <w:r w:rsidR="00575001">
        <w:rPr>
          <w:rFonts w:ascii="Arial" w:hAnsi="Arial" w:cs="Arial"/>
          <w:sz w:val="24"/>
          <w:szCs w:val="24"/>
        </w:rPr>
        <w:t>21</w:t>
      </w:r>
      <w:r w:rsidRPr="00717825">
        <w:rPr>
          <w:rFonts w:ascii="Arial" w:hAnsi="Arial" w:cs="Arial"/>
          <w:sz w:val="24"/>
          <w:szCs w:val="24"/>
        </w:rPr>
        <w:t>).</w:t>
      </w:r>
    </w:p>
    <w:p w:rsidR="005C23E7" w:rsidRPr="00717825" w:rsidRDefault="005C23E7" w:rsidP="00717825">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Por lo general, en la literatura consultada se pudo observar que dicofol, tiene una marcada toxicidad directa sobre los ácaros depredadores, así, por </w:t>
      </w:r>
      <w:r w:rsidR="006036A7" w:rsidRPr="00717825">
        <w:rPr>
          <w:rFonts w:ascii="Arial" w:hAnsi="Arial" w:cs="Arial"/>
          <w:sz w:val="24"/>
          <w:szCs w:val="24"/>
        </w:rPr>
        <w:t>ejemplo,</w:t>
      </w:r>
      <w:r w:rsidRPr="00717825">
        <w:rPr>
          <w:rFonts w:ascii="Arial" w:hAnsi="Arial" w:cs="Arial"/>
          <w:sz w:val="24"/>
          <w:szCs w:val="24"/>
        </w:rPr>
        <w:t xml:space="preserve"> ha sido clasificado como grado IV sobre las hembras de </w:t>
      </w:r>
      <w:r w:rsidRPr="00717825">
        <w:rPr>
          <w:rFonts w:ascii="Arial" w:hAnsi="Arial" w:cs="Arial"/>
          <w:i/>
          <w:iCs/>
          <w:sz w:val="24"/>
          <w:szCs w:val="24"/>
        </w:rPr>
        <w:t>P. persimilis</w:t>
      </w:r>
      <w:r w:rsidRPr="00717825">
        <w:rPr>
          <w:rFonts w:ascii="Arial" w:hAnsi="Arial" w:cs="Arial"/>
          <w:sz w:val="24"/>
          <w:szCs w:val="24"/>
        </w:rPr>
        <w:t xml:space="preserve">, </w:t>
      </w:r>
      <w:r w:rsidRPr="00717825">
        <w:rPr>
          <w:rFonts w:ascii="Arial" w:hAnsi="Arial" w:cs="Arial"/>
          <w:i/>
          <w:iCs/>
          <w:sz w:val="24"/>
          <w:szCs w:val="24"/>
        </w:rPr>
        <w:t>Amblyseius</w:t>
      </w:r>
      <w:r w:rsidR="00DD7A5C">
        <w:rPr>
          <w:rFonts w:ascii="Arial" w:hAnsi="Arial" w:cs="Arial"/>
          <w:i/>
          <w:iCs/>
          <w:sz w:val="24"/>
          <w:szCs w:val="24"/>
        </w:rPr>
        <w:t xml:space="preserve"> </w:t>
      </w:r>
      <w:r w:rsidRPr="00717825">
        <w:rPr>
          <w:rFonts w:ascii="Arial" w:hAnsi="Arial" w:cs="Arial"/>
          <w:i/>
          <w:iCs/>
          <w:sz w:val="24"/>
          <w:szCs w:val="24"/>
        </w:rPr>
        <w:t>gossipi</w:t>
      </w:r>
      <w:r w:rsidR="00DD7A5C">
        <w:rPr>
          <w:rFonts w:ascii="Arial" w:hAnsi="Arial" w:cs="Arial"/>
          <w:i/>
          <w:iCs/>
          <w:sz w:val="24"/>
          <w:szCs w:val="24"/>
        </w:rPr>
        <w:t xml:space="preserve"> </w:t>
      </w:r>
      <w:r w:rsidRPr="00717825">
        <w:rPr>
          <w:rFonts w:ascii="Arial" w:hAnsi="Arial" w:cs="Arial"/>
          <w:sz w:val="24"/>
          <w:szCs w:val="24"/>
        </w:rPr>
        <w:t xml:space="preserve">El-Badry e </w:t>
      </w:r>
      <w:r w:rsidRPr="00717825">
        <w:rPr>
          <w:rFonts w:ascii="Arial" w:hAnsi="Arial" w:cs="Arial"/>
          <w:i/>
          <w:iCs/>
          <w:sz w:val="24"/>
          <w:szCs w:val="24"/>
        </w:rPr>
        <w:t>Iphiseiodes</w:t>
      </w:r>
      <w:r w:rsidR="00DD7A5C">
        <w:rPr>
          <w:rFonts w:ascii="Arial" w:hAnsi="Arial" w:cs="Arial"/>
          <w:i/>
          <w:iCs/>
          <w:sz w:val="24"/>
          <w:szCs w:val="24"/>
        </w:rPr>
        <w:t xml:space="preserve"> </w:t>
      </w:r>
      <w:r w:rsidRPr="00717825">
        <w:rPr>
          <w:rFonts w:ascii="Arial" w:hAnsi="Arial" w:cs="Arial"/>
          <w:i/>
          <w:iCs/>
          <w:sz w:val="24"/>
          <w:szCs w:val="24"/>
        </w:rPr>
        <w:t>zuluagai</w:t>
      </w:r>
      <w:r w:rsidR="00DD7A5C">
        <w:rPr>
          <w:rFonts w:ascii="Arial" w:hAnsi="Arial" w:cs="Arial"/>
          <w:i/>
          <w:iCs/>
          <w:sz w:val="24"/>
          <w:szCs w:val="24"/>
        </w:rPr>
        <w:t xml:space="preserve"> </w:t>
      </w:r>
      <w:r w:rsidRPr="00717825">
        <w:rPr>
          <w:rFonts w:ascii="Arial" w:hAnsi="Arial" w:cs="Arial"/>
          <w:sz w:val="24"/>
          <w:szCs w:val="24"/>
        </w:rPr>
        <w:t xml:space="preserve">Denmark y Muma. Sin embargo, al evaluar la acción residual sobre las fases inmaduras de </w:t>
      </w:r>
      <w:r w:rsidRPr="00717825">
        <w:rPr>
          <w:rFonts w:ascii="Arial" w:hAnsi="Arial" w:cs="Arial"/>
          <w:i/>
          <w:iCs/>
          <w:sz w:val="24"/>
          <w:szCs w:val="24"/>
        </w:rPr>
        <w:t>P. persimilis</w:t>
      </w:r>
      <w:r w:rsidR="00DD7A5C">
        <w:rPr>
          <w:rFonts w:ascii="Arial" w:hAnsi="Arial" w:cs="Arial"/>
          <w:i/>
          <w:iCs/>
          <w:sz w:val="24"/>
          <w:szCs w:val="24"/>
        </w:rPr>
        <w:t xml:space="preserve"> </w:t>
      </w:r>
      <w:r w:rsidRPr="00717825">
        <w:rPr>
          <w:rFonts w:ascii="Arial" w:hAnsi="Arial" w:cs="Arial"/>
          <w:sz w:val="24"/>
          <w:szCs w:val="24"/>
        </w:rPr>
        <w:t>lo ubica como ligeramente tóxico (</w:t>
      </w:r>
      <w:r w:rsidR="00575001">
        <w:rPr>
          <w:rFonts w:ascii="Arial" w:hAnsi="Arial" w:cs="Arial"/>
          <w:sz w:val="24"/>
          <w:szCs w:val="24"/>
        </w:rPr>
        <w:t>74</w:t>
      </w:r>
      <w:r w:rsidRPr="00717825">
        <w:rPr>
          <w:rFonts w:ascii="Arial" w:hAnsi="Arial" w:cs="Arial"/>
          <w:sz w:val="24"/>
          <w:szCs w:val="24"/>
        </w:rPr>
        <w:t>).</w:t>
      </w:r>
    </w:p>
    <w:p w:rsidR="005C23E7" w:rsidRPr="00717825" w:rsidRDefault="005C23E7" w:rsidP="00717825">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El imidacloprid es un insecticida sistémico que tiene, además, una notable acción de contacto estomacal y un prolongado control residual. No </w:t>
      </w:r>
      <w:r w:rsidR="00DD7A5C">
        <w:rPr>
          <w:rFonts w:ascii="Arial" w:hAnsi="Arial" w:cs="Arial"/>
          <w:sz w:val="24"/>
          <w:szCs w:val="24"/>
        </w:rPr>
        <w:t>tiene efecto sobre ácaros o nemá</w:t>
      </w:r>
      <w:r w:rsidRPr="00717825">
        <w:rPr>
          <w:rFonts w:ascii="Arial" w:hAnsi="Arial" w:cs="Arial"/>
          <w:sz w:val="24"/>
          <w:szCs w:val="24"/>
        </w:rPr>
        <w:t xml:space="preserve">todos. Fue informado como no tóxico, en al menos nueve especies de Phytoseiidae: </w:t>
      </w:r>
      <w:r w:rsidRPr="00717825">
        <w:rPr>
          <w:rFonts w:ascii="Arial" w:hAnsi="Arial" w:cs="Arial"/>
          <w:i/>
          <w:sz w:val="24"/>
          <w:szCs w:val="24"/>
        </w:rPr>
        <w:t>Neoseiuluscollagae</w:t>
      </w:r>
      <w:r w:rsidRPr="00717825">
        <w:rPr>
          <w:rFonts w:ascii="Arial" w:hAnsi="Arial" w:cs="Arial"/>
          <w:sz w:val="24"/>
          <w:szCs w:val="24"/>
        </w:rPr>
        <w:t xml:space="preserve"> (De Leon), </w:t>
      </w:r>
      <w:r w:rsidRPr="00717825">
        <w:rPr>
          <w:rFonts w:ascii="Arial" w:hAnsi="Arial" w:cs="Arial"/>
          <w:i/>
          <w:sz w:val="24"/>
          <w:szCs w:val="24"/>
        </w:rPr>
        <w:t>P. macropilis, Proprioseiopsis</w:t>
      </w:r>
      <w:r w:rsidR="00DD7A5C">
        <w:rPr>
          <w:rFonts w:ascii="Arial" w:hAnsi="Arial" w:cs="Arial"/>
          <w:i/>
          <w:sz w:val="24"/>
          <w:szCs w:val="24"/>
        </w:rPr>
        <w:t xml:space="preserve"> </w:t>
      </w:r>
      <w:r w:rsidRPr="00717825">
        <w:rPr>
          <w:rFonts w:ascii="Arial" w:hAnsi="Arial" w:cs="Arial"/>
          <w:i/>
          <w:sz w:val="24"/>
          <w:szCs w:val="24"/>
        </w:rPr>
        <w:t>mexicanus</w:t>
      </w:r>
      <w:r w:rsidRPr="00717825">
        <w:rPr>
          <w:rFonts w:ascii="Arial" w:hAnsi="Arial" w:cs="Arial"/>
          <w:sz w:val="24"/>
          <w:szCs w:val="24"/>
        </w:rPr>
        <w:t xml:space="preserve"> (Garman), </w:t>
      </w:r>
      <w:r w:rsidRPr="00717825">
        <w:rPr>
          <w:rFonts w:ascii="Arial" w:hAnsi="Arial" w:cs="Arial"/>
          <w:i/>
          <w:sz w:val="24"/>
          <w:szCs w:val="24"/>
        </w:rPr>
        <w:t>N. womersleyi</w:t>
      </w:r>
      <w:r w:rsidRPr="00717825">
        <w:rPr>
          <w:rFonts w:ascii="Arial" w:hAnsi="Arial" w:cs="Arial"/>
          <w:sz w:val="24"/>
          <w:szCs w:val="24"/>
        </w:rPr>
        <w:t xml:space="preserve">, </w:t>
      </w:r>
      <w:r w:rsidRPr="00717825">
        <w:rPr>
          <w:rFonts w:ascii="Arial" w:hAnsi="Arial" w:cs="Arial"/>
          <w:i/>
          <w:sz w:val="24"/>
          <w:szCs w:val="24"/>
        </w:rPr>
        <w:t>Euseius (Amblyseius) victoriensis</w:t>
      </w:r>
      <w:r w:rsidRPr="00717825">
        <w:rPr>
          <w:rFonts w:ascii="Arial" w:hAnsi="Arial" w:cs="Arial"/>
          <w:sz w:val="24"/>
          <w:szCs w:val="24"/>
        </w:rPr>
        <w:t xml:space="preserve"> (Womersley), </w:t>
      </w:r>
      <w:r w:rsidRPr="00717825">
        <w:rPr>
          <w:rFonts w:ascii="Arial" w:hAnsi="Arial" w:cs="Arial"/>
          <w:i/>
          <w:sz w:val="24"/>
          <w:szCs w:val="24"/>
        </w:rPr>
        <w:t>Typhlodromus (Typhlodromus)</w:t>
      </w:r>
      <w:r w:rsidR="00DD7A5C">
        <w:rPr>
          <w:rFonts w:ascii="Arial" w:hAnsi="Arial" w:cs="Arial"/>
          <w:i/>
          <w:sz w:val="24"/>
          <w:szCs w:val="24"/>
        </w:rPr>
        <w:t xml:space="preserve"> </w:t>
      </w:r>
      <w:r w:rsidRPr="00717825">
        <w:rPr>
          <w:rFonts w:ascii="Arial" w:hAnsi="Arial" w:cs="Arial"/>
          <w:i/>
          <w:sz w:val="24"/>
          <w:szCs w:val="24"/>
        </w:rPr>
        <w:t>pyri</w:t>
      </w:r>
      <w:r w:rsidRPr="00717825">
        <w:rPr>
          <w:rFonts w:ascii="Arial" w:hAnsi="Arial" w:cs="Arial"/>
          <w:sz w:val="24"/>
          <w:szCs w:val="24"/>
        </w:rPr>
        <w:t xml:space="preserve"> (Scheuten), </w:t>
      </w:r>
      <w:r w:rsidRPr="00717825">
        <w:rPr>
          <w:rFonts w:ascii="Arial" w:hAnsi="Arial" w:cs="Arial"/>
          <w:i/>
          <w:sz w:val="24"/>
          <w:szCs w:val="24"/>
        </w:rPr>
        <w:t>Typhlodromus</w:t>
      </w:r>
      <w:r w:rsidR="00DD7A5C">
        <w:rPr>
          <w:rFonts w:ascii="Arial" w:hAnsi="Arial" w:cs="Arial"/>
          <w:i/>
          <w:sz w:val="24"/>
          <w:szCs w:val="24"/>
        </w:rPr>
        <w:t xml:space="preserve"> </w:t>
      </w:r>
      <w:r w:rsidRPr="00717825">
        <w:rPr>
          <w:rFonts w:ascii="Arial" w:hAnsi="Arial" w:cs="Arial"/>
          <w:i/>
          <w:sz w:val="24"/>
          <w:szCs w:val="24"/>
        </w:rPr>
        <w:t>doreenae</w:t>
      </w:r>
      <w:r w:rsidR="00DD7A5C">
        <w:rPr>
          <w:rFonts w:ascii="Arial" w:hAnsi="Arial" w:cs="Arial"/>
          <w:i/>
          <w:sz w:val="24"/>
          <w:szCs w:val="24"/>
        </w:rPr>
        <w:t xml:space="preserve"> </w:t>
      </w:r>
      <w:r w:rsidRPr="00717825">
        <w:rPr>
          <w:rFonts w:ascii="Arial" w:hAnsi="Arial" w:cs="Arial"/>
          <w:sz w:val="24"/>
          <w:szCs w:val="24"/>
        </w:rPr>
        <w:t xml:space="preserve">Schicha y </w:t>
      </w:r>
      <w:r w:rsidRPr="00717825">
        <w:rPr>
          <w:rFonts w:ascii="Arial" w:hAnsi="Arial" w:cs="Arial"/>
          <w:i/>
          <w:sz w:val="24"/>
          <w:szCs w:val="24"/>
        </w:rPr>
        <w:t>Typhlodromus</w:t>
      </w:r>
      <w:r w:rsidR="00DD7A5C">
        <w:rPr>
          <w:rFonts w:ascii="Arial" w:hAnsi="Arial" w:cs="Arial"/>
          <w:i/>
          <w:sz w:val="24"/>
          <w:szCs w:val="24"/>
        </w:rPr>
        <w:t xml:space="preserve"> </w:t>
      </w:r>
      <w:r w:rsidRPr="00717825">
        <w:rPr>
          <w:rFonts w:ascii="Arial" w:hAnsi="Arial" w:cs="Arial"/>
          <w:i/>
          <w:sz w:val="24"/>
          <w:szCs w:val="24"/>
        </w:rPr>
        <w:t>dossei</w:t>
      </w:r>
      <w:r w:rsidR="00DD7A5C">
        <w:rPr>
          <w:rFonts w:ascii="Arial" w:hAnsi="Arial" w:cs="Arial"/>
          <w:i/>
          <w:sz w:val="24"/>
          <w:szCs w:val="24"/>
        </w:rPr>
        <w:t xml:space="preserve"> </w:t>
      </w:r>
      <w:r w:rsidRPr="00717825">
        <w:rPr>
          <w:rFonts w:ascii="Arial" w:hAnsi="Arial" w:cs="Arial"/>
          <w:sz w:val="24"/>
          <w:szCs w:val="24"/>
        </w:rPr>
        <w:t>Schicha (</w:t>
      </w:r>
      <w:r w:rsidR="00793738">
        <w:rPr>
          <w:rFonts w:ascii="Arial" w:hAnsi="Arial" w:cs="Arial"/>
          <w:sz w:val="24"/>
          <w:szCs w:val="24"/>
        </w:rPr>
        <w:t>75</w:t>
      </w:r>
      <w:r w:rsidRPr="00717825">
        <w:rPr>
          <w:rFonts w:ascii="Arial" w:hAnsi="Arial" w:cs="Arial"/>
          <w:sz w:val="24"/>
          <w:szCs w:val="24"/>
        </w:rPr>
        <w:t xml:space="preserve">). Sin embargo, fue altamente tóxico a </w:t>
      </w:r>
      <w:r w:rsidRPr="00717825">
        <w:rPr>
          <w:rFonts w:ascii="Arial" w:hAnsi="Arial" w:cs="Arial"/>
          <w:i/>
          <w:iCs/>
          <w:sz w:val="24"/>
          <w:szCs w:val="24"/>
        </w:rPr>
        <w:t xml:space="preserve">G. </w:t>
      </w:r>
      <w:r w:rsidRPr="00717825">
        <w:rPr>
          <w:rFonts w:ascii="Arial" w:hAnsi="Arial" w:cs="Arial"/>
          <w:iCs/>
          <w:sz w:val="24"/>
          <w:szCs w:val="24"/>
        </w:rPr>
        <w:t>(</w:t>
      </w:r>
      <w:r w:rsidRPr="00717825">
        <w:rPr>
          <w:rFonts w:ascii="Arial" w:hAnsi="Arial" w:cs="Arial"/>
          <w:i/>
          <w:iCs/>
          <w:sz w:val="24"/>
          <w:szCs w:val="24"/>
        </w:rPr>
        <w:t>G.</w:t>
      </w:r>
      <w:r w:rsidRPr="00717825">
        <w:rPr>
          <w:rFonts w:ascii="Arial" w:hAnsi="Arial" w:cs="Arial"/>
          <w:iCs/>
          <w:sz w:val="24"/>
          <w:szCs w:val="24"/>
        </w:rPr>
        <w:t xml:space="preserve">) </w:t>
      </w:r>
      <w:r w:rsidRPr="00717825">
        <w:rPr>
          <w:rFonts w:ascii="Arial" w:hAnsi="Arial" w:cs="Arial"/>
          <w:i/>
          <w:iCs/>
          <w:sz w:val="24"/>
          <w:szCs w:val="24"/>
        </w:rPr>
        <w:t>occidentalis</w:t>
      </w:r>
      <w:r w:rsidRPr="00717825">
        <w:rPr>
          <w:rFonts w:ascii="Arial" w:hAnsi="Arial" w:cs="Arial"/>
          <w:sz w:val="24"/>
          <w:szCs w:val="24"/>
        </w:rPr>
        <w:t xml:space="preserve">, </w:t>
      </w:r>
      <w:r w:rsidRPr="00717825">
        <w:rPr>
          <w:rFonts w:ascii="Arial" w:hAnsi="Arial" w:cs="Arial"/>
          <w:i/>
          <w:iCs/>
          <w:sz w:val="24"/>
          <w:szCs w:val="24"/>
        </w:rPr>
        <w:t>A. fallacis</w:t>
      </w:r>
      <w:r w:rsidRPr="00717825">
        <w:rPr>
          <w:rFonts w:ascii="Arial" w:hAnsi="Arial" w:cs="Arial"/>
          <w:sz w:val="24"/>
          <w:szCs w:val="24"/>
        </w:rPr>
        <w:t xml:space="preserve">y </w:t>
      </w:r>
      <w:r w:rsidRPr="00717825">
        <w:rPr>
          <w:rFonts w:ascii="Arial" w:hAnsi="Arial" w:cs="Arial"/>
          <w:i/>
          <w:iCs/>
          <w:sz w:val="24"/>
          <w:szCs w:val="24"/>
        </w:rPr>
        <w:t>Amblyseius</w:t>
      </w:r>
      <w:r w:rsidR="00DD7A5C">
        <w:rPr>
          <w:rFonts w:ascii="Arial" w:hAnsi="Arial" w:cs="Arial"/>
          <w:i/>
          <w:iCs/>
          <w:sz w:val="24"/>
          <w:szCs w:val="24"/>
        </w:rPr>
        <w:t xml:space="preserve"> </w:t>
      </w:r>
      <w:r w:rsidRPr="00717825">
        <w:rPr>
          <w:rFonts w:ascii="Arial" w:hAnsi="Arial" w:cs="Arial"/>
          <w:i/>
          <w:iCs/>
          <w:sz w:val="24"/>
          <w:szCs w:val="24"/>
        </w:rPr>
        <w:t>andersoni</w:t>
      </w:r>
      <w:r w:rsidRPr="00717825">
        <w:rPr>
          <w:rFonts w:ascii="Arial" w:hAnsi="Arial" w:cs="Arial"/>
          <w:sz w:val="24"/>
          <w:szCs w:val="24"/>
        </w:rPr>
        <w:t>(Chant) (</w:t>
      </w:r>
      <w:r w:rsidR="00793738">
        <w:rPr>
          <w:rFonts w:ascii="Arial" w:hAnsi="Arial" w:cs="Arial"/>
          <w:sz w:val="24"/>
          <w:szCs w:val="24"/>
        </w:rPr>
        <w:t>76</w:t>
      </w:r>
      <w:r w:rsidRPr="00717825">
        <w:rPr>
          <w:rFonts w:ascii="Arial" w:hAnsi="Arial" w:cs="Arial"/>
          <w:sz w:val="24"/>
          <w:szCs w:val="24"/>
        </w:rPr>
        <w:t>).</w:t>
      </w:r>
    </w:p>
    <w:p w:rsidR="005C23E7" w:rsidRPr="00717825" w:rsidRDefault="006036A7" w:rsidP="00717825">
      <w:pPr>
        <w:autoSpaceDE w:val="0"/>
        <w:autoSpaceDN w:val="0"/>
        <w:adjustRightInd w:val="0"/>
        <w:spacing w:line="240" w:lineRule="auto"/>
        <w:jc w:val="both"/>
        <w:rPr>
          <w:rFonts w:ascii="Arial" w:hAnsi="Arial" w:cs="Arial"/>
          <w:iCs/>
          <w:sz w:val="24"/>
          <w:szCs w:val="24"/>
        </w:rPr>
      </w:pPr>
      <w:r w:rsidRPr="00717825">
        <w:rPr>
          <w:rFonts w:ascii="Arial" w:hAnsi="Arial" w:cs="Arial"/>
          <w:iCs/>
          <w:sz w:val="24"/>
          <w:szCs w:val="24"/>
        </w:rPr>
        <w:t>S</w:t>
      </w:r>
      <w:r w:rsidR="005C23E7" w:rsidRPr="00717825">
        <w:rPr>
          <w:rFonts w:ascii="Arial" w:hAnsi="Arial" w:cs="Arial"/>
          <w:iCs/>
          <w:sz w:val="24"/>
          <w:szCs w:val="24"/>
        </w:rPr>
        <w:t>e ob</w:t>
      </w:r>
      <w:r w:rsidR="00DD7A5C">
        <w:rPr>
          <w:rFonts w:ascii="Arial" w:hAnsi="Arial" w:cs="Arial"/>
          <w:iCs/>
          <w:sz w:val="24"/>
          <w:szCs w:val="24"/>
        </w:rPr>
        <w:t>servó un efecto letal sinérgico</w:t>
      </w:r>
      <w:r w:rsidR="005C23E7" w:rsidRPr="00717825">
        <w:rPr>
          <w:rFonts w:ascii="Arial" w:hAnsi="Arial" w:cs="Arial"/>
          <w:iCs/>
          <w:sz w:val="24"/>
          <w:szCs w:val="24"/>
        </w:rPr>
        <w:t xml:space="preserve"> cuando los ácaros se expusieron a los residuos e ingirieron presas previamente alimentadas sobre hojas tratadas.</w:t>
      </w:r>
      <w:r w:rsidR="00DD7A5C">
        <w:rPr>
          <w:rFonts w:ascii="Arial" w:hAnsi="Arial" w:cs="Arial"/>
          <w:iCs/>
          <w:sz w:val="24"/>
          <w:szCs w:val="24"/>
        </w:rPr>
        <w:t xml:space="preserve"> </w:t>
      </w:r>
      <w:r w:rsidR="005C23E7" w:rsidRPr="00717825">
        <w:rPr>
          <w:rFonts w:ascii="Arial" w:hAnsi="Arial" w:cs="Arial"/>
          <w:iCs/>
          <w:sz w:val="24"/>
          <w:szCs w:val="24"/>
        </w:rPr>
        <w:t xml:space="preserve">La molécula semisintética, </w:t>
      </w:r>
      <w:r w:rsidR="005C23E7" w:rsidRPr="00717825">
        <w:rPr>
          <w:rFonts w:ascii="Arial" w:hAnsi="Arial" w:cs="Arial"/>
          <w:sz w:val="24"/>
          <w:szCs w:val="24"/>
        </w:rPr>
        <w:t xml:space="preserve">spinetoram, también fue muy tóxica cuando se aplicó sobre los huevos y las larvas de </w:t>
      </w:r>
      <w:r w:rsidR="005C23E7" w:rsidRPr="00717825">
        <w:rPr>
          <w:rFonts w:ascii="Arial" w:hAnsi="Arial" w:cs="Arial"/>
          <w:i/>
          <w:iCs/>
          <w:sz w:val="24"/>
          <w:szCs w:val="24"/>
        </w:rPr>
        <w:t>G. (G.) occidentalis</w:t>
      </w:r>
      <w:r w:rsidR="005C23E7" w:rsidRPr="00717825">
        <w:rPr>
          <w:rFonts w:ascii="Arial" w:hAnsi="Arial" w:cs="Arial"/>
          <w:iCs/>
          <w:sz w:val="24"/>
          <w:szCs w:val="24"/>
        </w:rPr>
        <w:t>, registrándose un 100% de mortalidad de las hembras después de 72 h de exposición (</w:t>
      </w:r>
      <w:r w:rsidR="00575001">
        <w:rPr>
          <w:rFonts w:ascii="Arial" w:hAnsi="Arial" w:cs="Arial"/>
          <w:sz w:val="24"/>
          <w:szCs w:val="24"/>
        </w:rPr>
        <w:t>7</w:t>
      </w:r>
      <w:r w:rsidR="00793738">
        <w:rPr>
          <w:rFonts w:ascii="Arial" w:hAnsi="Arial" w:cs="Arial"/>
          <w:sz w:val="24"/>
          <w:szCs w:val="24"/>
        </w:rPr>
        <w:t>7</w:t>
      </w:r>
      <w:r w:rsidR="005C23E7" w:rsidRPr="00717825">
        <w:rPr>
          <w:rFonts w:ascii="Arial" w:hAnsi="Arial" w:cs="Arial"/>
          <w:iCs/>
          <w:sz w:val="24"/>
          <w:szCs w:val="24"/>
        </w:rPr>
        <w:t xml:space="preserve">). </w:t>
      </w:r>
    </w:p>
    <w:p w:rsidR="005C23E7" w:rsidRPr="00717825" w:rsidRDefault="005C23E7" w:rsidP="00717825">
      <w:pPr>
        <w:pStyle w:val="CM7"/>
        <w:spacing w:after="160" w:line="240" w:lineRule="auto"/>
        <w:jc w:val="both"/>
        <w:rPr>
          <w:rFonts w:ascii="Arial" w:hAnsi="Arial" w:cs="Arial"/>
          <w:bCs/>
        </w:rPr>
      </w:pPr>
      <w:r w:rsidRPr="00717825">
        <w:rPr>
          <w:rFonts w:ascii="Arial" w:hAnsi="Arial" w:cs="Arial"/>
        </w:rPr>
        <w:t>En diversos ensayos de campo sobre efectos secundarios de spinosad sobre ácaros depredadores fitoseidos, confirman los resultados de laboratorios. Un impacto negativo similar sobre los ácaros fitoseidos se registró después de una sola aplicación de spinosad a razón de 120 g ia L</w:t>
      </w:r>
      <w:r w:rsidRPr="00717825">
        <w:rPr>
          <w:rFonts w:ascii="Arial" w:hAnsi="Arial" w:cs="Arial"/>
          <w:vertAlign w:val="superscript"/>
        </w:rPr>
        <w:t>-1</w:t>
      </w:r>
      <w:r w:rsidRPr="00717825">
        <w:rPr>
          <w:rFonts w:ascii="Arial" w:hAnsi="Arial" w:cs="Arial"/>
        </w:rPr>
        <w:t xml:space="preserve"> en campos de cítricos, donde los ácaros depredadores por día acumulados durante todo el periodo d</w:t>
      </w:r>
      <w:r w:rsidR="006036A7" w:rsidRPr="00717825">
        <w:rPr>
          <w:rFonts w:ascii="Arial" w:hAnsi="Arial" w:cs="Arial"/>
        </w:rPr>
        <w:t>e muestr</w:t>
      </w:r>
      <w:r w:rsidR="00DD7A5C">
        <w:rPr>
          <w:rFonts w:ascii="Arial" w:hAnsi="Arial" w:cs="Arial"/>
        </w:rPr>
        <w:t>e</w:t>
      </w:r>
      <w:r w:rsidR="006036A7" w:rsidRPr="00717825">
        <w:rPr>
          <w:rFonts w:ascii="Arial" w:hAnsi="Arial" w:cs="Arial"/>
        </w:rPr>
        <w:t>o</w:t>
      </w:r>
      <w:r w:rsidRPr="00717825">
        <w:rPr>
          <w:rFonts w:ascii="Arial" w:hAnsi="Arial" w:cs="Arial"/>
        </w:rPr>
        <w:t xml:space="preserve"> fueron significativamente menores en las parcelas tratadas con respecto al control (</w:t>
      </w:r>
      <w:r w:rsidR="00793738">
        <w:rPr>
          <w:rFonts w:ascii="Arial" w:hAnsi="Arial" w:cs="Arial"/>
        </w:rPr>
        <w:t>78</w:t>
      </w:r>
      <w:r w:rsidRPr="00717825">
        <w:rPr>
          <w:rFonts w:ascii="Arial" w:hAnsi="Arial" w:cs="Arial"/>
        </w:rPr>
        <w:t>). El efecto negativo de spinosad (150 g ia L</w:t>
      </w:r>
      <w:r w:rsidRPr="00717825">
        <w:rPr>
          <w:rFonts w:ascii="Arial" w:hAnsi="Arial" w:cs="Arial"/>
          <w:vertAlign w:val="superscript"/>
        </w:rPr>
        <w:t>-1</w:t>
      </w:r>
      <w:r w:rsidRPr="00717825">
        <w:rPr>
          <w:rFonts w:ascii="Arial" w:hAnsi="Arial" w:cs="Arial"/>
        </w:rPr>
        <w:t xml:space="preserve">) también se observó sobre el depredador más común en los cítricos de California, </w:t>
      </w:r>
      <w:r w:rsidRPr="00717825">
        <w:rPr>
          <w:rFonts w:ascii="Arial" w:hAnsi="Arial" w:cs="Arial"/>
          <w:i/>
          <w:iCs/>
        </w:rPr>
        <w:t>Euseius</w:t>
      </w:r>
      <w:r w:rsidR="00DD7A5C">
        <w:rPr>
          <w:rFonts w:ascii="Arial" w:hAnsi="Arial" w:cs="Arial"/>
          <w:i/>
          <w:iCs/>
        </w:rPr>
        <w:t xml:space="preserve"> </w:t>
      </w:r>
      <w:r w:rsidRPr="00717825">
        <w:rPr>
          <w:rFonts w:ascii="Arial" w:hAnsi="Arial" w:cs="Arial"/>
          <w:i/>
          <w:iCs/>
        </w:rPr>
        <w:t>tularensis</w:t>
      </w:r>
      <w:r w:rsidR="00DD7A5C">
        <w:rPr>
          <w:rFonts w:ascii="Arial" w:hAnsi="Arial" w:cs="Arial"/>
          <w:i/>
          <w:iCs/>
        </w:rPr>
        <w:t xml:space="preserve"> </w:t>
      </w:r>
      <w:r w:rsidRPr="00717825">
        <w:rPr>
          <w:rFonts w:ascii="Arial" w:hAnsi="Arial" w:cs="Arial"/>
        </w:rPr>
        <w:t>Congdon, cuyo índice de depredación (ácaros por día acumulados) fue afectado negativamente (</w:t>
      </w:r>
      <w:r w:rsidR="00793738">
        <w:rPr>
          <w:rFonts w:ascii="Arial" w:hAnsi="Arial" w:cs="Arial"/>
        </w:rPr>
        <w:t>79</w:t>
      </w:r>
      <w:r w:rsidRPr="00717825">
        <w:rPr>
          <w:rFonts w:ascii="Arial" w:hAnsi="Arial" w:cs="Arial"/>
        </w:rPr>
        <w:t>).</w:t>
      </w:r>
    </w:p>
    <w:p w:rsidR="005C23E7" w:rsidRPr="00717825" w:rsidRDefault="005C23E7" w:rsidP="00717825">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 xml:space="preserve">La experiencia actual con el uso acaricidas/insecticida en el manejo integrado de plagas en diferentes cultivos, y de ácaros en particular, sugiere que existe </w:t>
      </w:r>
      <w:r w:rsidRPr="00717825">
        <w:rPr>
          <w:rFonts w:ascii="Arial" w:hAnsi="Arial" w:cs="Arial"/>
          <w:sz w:val="24"/>
          <w:szCs w:val="24"/>
        </w:rPr>
        <w:lastRenderedPageBreak/>
        <w:t>variabilidad interespecífica en la re</w:t>
      </w:r>
      <w:r w:rsidR="00DD7A5C">
        <w:rPr>
          <w:rFonts w:ascii="Arial" w:hAnsi="Arial" w:cs="Arial"/>
          <w:sz w:val="24"/>
          <w:szCs w:val="24"/>
        </w:rPr>
        <w:t>spuesta a los productos, por lo</w:t>
      </w:r>
      <w:r w:rsidRPr="00717825">
        <w:rPr>
          <w:rFonts w:ascii="Arial" w:hAnsi="Arial" w:cs="Arial"/>
          <w:sz w:val="24"/>
          <w:szCs w:val="24"/>
        </w:rPr>
        <w:t xml:space="preserve"> que </w:t>
      </w:r>
      <w:r w:rsidR="00DD7A5C">
        <w:rPr>
          <w:rFonts w:ascii="Arial" w:hAnsi="Arial" w:cs="Arial"/>
          <w:sz w:val="24"/>
          <w:szCs w:val="24"/>
        </w:rPr>
        <w:t xml:space="preserve">se </w:t>
      </w:r>
      <w:r w:rsidRPr="00717825">
        <w:rPr>
          <w:rFonts w:ascii="Arial" w:hAnsi="Arial" w:cs="Arial"/>
          <w:sz w:val="24"/>
          <w:szCs w:val="24"/>
        </w:rPr>
        <w:t xml:space="preserve">debe ser cauteloso, al considerar a los ácaros depredadores como una familia, debido a que se han encontrado resultados diferentes ante diversas especies. </w:t>
      </w:r>
    </w:p>
    <w:p w:rsidR="005C23E7" w:rsidRPr="00717825" w:rsidRDefault="005C23E7" w:rsidP="00561736">
      <w:pPr>
        <w:autoSpaceDE w:val="0"/>
        <w:autoSpaceDN w:val="0"/>
        <w:adjustRightInd w:val="0"/>
        <w:spacing w:after="0" w:line="240" w:lineRule="auto"/>
        <w:jc w:val="both"/>
        <w:rPr>
          <w:rFonts w:ascii="Arial" w:hAnsi="Arial" w:cs="Arial"/>
          <w:b/>
          <w:sz w:val="24"/>
          <w:szCs w:val="24"/>
        </w:rPr>
      </w:pPr>
      <w:r w:rsidRPr="00717825">
        <w:rPr>
          <w:rFonts w:ascii="Arial" w:hAnsi="Arial" w:cs="Arial"/>
          <w:b/>
          <w:sz w:val="24"/>
          <w:szCs w:val="24"/>
        </w:rPr>
        <w:t>Cultivos de cobertura</w:t>
      </w:r>
    </w:p>
    <w:p w:rsidR="005C23E7" w:rsidRPr="00717825" w:rsidRDefault="005C23E7" w:rsidP="00561736">
      <w:pPr>
        <w:autoSpaceDE w:val="0"/>
        <w:autoSpaceDN w:val="0"/>
        <w:adjustRightInd w:val="0"/>
        <w:spacing w:line="240" w:lineRule="auto"/>
        <w:jc w:val="both"/>
        <w:rPr>
          <w:rStyle w:val="A0"/>
          <w:rFonts w:ascii="Arial" w:hAnsi="Arial" w:cs="Arial"/>
          <w:sz w:val="24"/>
          <w:szCs w:val="24"/>
        </w:rPr>
      </w:pPr>
      <w:r w:rsidRPr="00717825">
        <w:rPr>
          <w:rFonts w:ascii="Arial" w:eastAsia="Calibri" w:hAnsi="Arial" w:cs="Arial"/>
          <w:sz w:val="24"/>
          <w:szCs w:val="24"/>
        </w:rPr>
        <w:t>Los cultivos de cobertura constituyen un reservorio de ácaros fitoseidos porque proveen refugio y fuentes alternativas de polen y néctar (</w:t>
      </w:r>
      <w:r w:rsidR="00793738">
        <w:rPr>
          <w:rStyle w:val="A0"/>
          <w:rFonts w:ascii="Arial" w:hAnsi="Arial" w:cs="Arial"/>
          <w:sz w:val="24"/>
          <w:szCs w:val="24"/>
        </w:rPr>
        <w:t>80</w:t>
      </w:r>
      <w:r w:rsidRPr="00717825">
        <w:rPr>
          <w:rStyle w:val="A0"/>
          <w:rFonts w:ascii="Arial" w:hAnsi="Arial" w:cs="Arial"/>
          <w:sz w:val="24"/>
          <w:szCs w:val="24"/>
        </w:rPr>
        <w:t xml:space="preserve">). </w:t>
      </w:r>
      <w:r w:rsidRPr="00717825">
        <w:rPr>
          <w:rFonts w:ascii="Arial" w:eastAsia="Calibri" w:hAnsi="Arial" w:cs="Arial"/>
          <w:sz w:val="24"/>
          <w:szCs w:val="24"/>
        </w:rPr>
        <w:t>La presencia de cultivo de cobertura puede mejorar la permanencia de los fitoseidos al modificar el microclima en el cultivo, como por ejemplo bajando la temperatura y elevando la humedad, lo cual es esencial para la sobrevivencia de los huevos en este grupo (</w:t>
      </w:r>
      <w:r w:rsidR="00792CA0" w:rsidRPr="00717825">
        <w:rPr>
          <w:rStyle w:val="A0"/>
          <w:rFonts w:ascii="Arial" w:hAnsi="Arial" w:cs="Arial"/>
          <w:sz w:val="24"/>
          <w:szCs w:val="24"/>
        </w:rPr>
        <w:t>6</w:t>
      </w:r>
      <w:r w:rsidR="00575001">
        <w:rPr>
          <w:rStyle w:val="A0"/>
          <w:rFonts w:ascii="Arial" w:hAnsi="Arial" w:cs="Arial"/>
          <w:sz w:val="24"/>
          <w:szCs w:val="24"/>
        </w:rPr>
        <w:t>5</w:t>
      </w:r>
      <w:r w:rsidRPr="00717825">
        <w:rPr>
          <w:rStyle w:val="A0"/>
          <w:rFonts w:ascii="Arial" w:hAnsi="Arial" w:cs="Arial"/>
          <w:sz w:val="24"/>
          <w:szCs w:val="24"/>
        </w:rPr>
        <w:t xml:space="preserve">). </w:t>
      </w:r>
    </w:p>
    <w:p w:rsidR="005C23E7" w:rsidRPr="00717825" w:rsidRDefault="00B64C0D" w:rsidP="00561736">
      <w:pPr>
        <w:autoSpaceDE w:val="0"/>
        <w:autoSpaceDN w:val="0"/>
        <w:adjustRightInd w:val="0"/>
        <w:spacing w:line="240" w:lineRule="auto"/>
        <w:jc w:val="both"/>
        <w:rPr>
          <w:rFonts w:ascii="Arial" w:hAnsi="Arial" w:cs="Arial"/>
          <w:color w:val="000000"/>
          <w:sz w:val="24"/>
          <w:szCs w:val="24"/>
        </w:rPr>
      </w:pPr>
      <w:r w:rsidRPr="00717825">
        <w:rPr>
          <w:rStyle w:val="A0"/>
          <w:rFonts w:ascii="Arial" w:hAnsi="Arial" w:cs="Arial"/>
          <w:sz w:val="24"/>
          <w:szCs w:val="24"/>
        </w:rPr>
        <w:t>Se</w:t>
      </w:r>
      <w:r w:rsidR="005C23E7" w:rsidRPr="00717825">
        <w:rPr>
          <w:rStyle w:val="A0"/>
          <w:rFonts w:ascii="Arial" w:hAnsi="Arial" w:cs="Arial"/>
          <w:sz w:val="24"/>
          <w:szCs w:val="24"/>
        </w:rPr>
        <w:t xml:space="preserve"> ha demostrado que los cultivos de cobertura tienen efectos positivos sobre la abundancia y riqueza de los ácaros fitoseidos. La composición de la comunidad de plantas, la fenología y la producción de polen durante la floración, parecen factores determinantes para la preservación de los depredadores (</w:t>
      </w:r>
      <w:r w:rsidR="00793738">
        <w:rPr>
          <w:rStyle w:val="A0"/>
          <w:rFonts w:ascii="Arial" w:hAnsi="Arial" w:cs="Arial"/>
          <w:sz w:val="24"/>
          <w:szCs w:val="24"/>
        </w:rPr>
        <w:t>81</w:t>
      </w:r>
      <w:r w:rsidR="005C23E7" w:rsidRPr="00717825">
        <w:rPr>
          <w:rStyle w:val="A0"/>
          <w:rFonts w:ascii="Arial" w:hAnsi="Arial" w:cs="Arial"/>
          <w:sz w:val="24"/>
          <w:szCs w:val="24"/>
        </w:rPr>
        <w:t xml:space="preserve">). </w:t>
      </w:r>
    </w:p>
    <w:p w:rsidR="005C23E7" w:rsidRPr="00717825" w:rsidRDefault="006E1A7B" w:rsidP="00717825">
      <w:pPr>
        <w:spacing w:line="240" w:lineRule="auto"/>
        <w:jc w:val="both"/>
        <w:rPr>
          <w:rFonts w:ascii="Arial" w:hAnsi="Arial" w:cs="Arial"/>
          <w:sz w:val="24"/>
          <w:szCs w:val="24"/>
        </w:rPr>
      </w:pPr>
      <w:r w:rsidRPr="00717825">
        <w:rPr>
          <w:rFonts w:ascii="Arial" w:hAnsi="Arial" w:cs="Arial"/>
          <w:sz w:val="24"/>
          <w:szCs w:val="24"/>
        </w:rPr>
        <w:t xml:space="preserve">Diversos autores </w:t>
      </w:r>
      <w:r w:rsidR="005C23E7" w:rsidRPr="00717825">
        <w:rPr>
          <w:rFonts w:ascii="Arial" w:hAnsi="Arial" w:cs="Arial"/>
          <w:sz w:val="24"/>
          <w:szCs w:val="24"/>
        </w:rPr>
        <w:t xml:space="preserve">estudiaron el impacto de diferentes prácticas de manejo del suelo sobre </w:t>
      </w:r>
      <w:r w:rsidR="005C23E7" w:rsidRPr="00717825">
        <w:rPr>
          <w:rFonts w:ascii="Arial" w:hAnsi="Arial" w:cs="Arial"/>
          <w:i/>
          <w:sz w:val="24"/>
          <w:szCs w:val="24"/>
        </w:rPr>
        <w:t>T. uticae</w:t>
      </w:r>
      <w:r w:rsidR="005C23E7" w:rsidRPr="00717825">
        <w:rPr>
          <w:rFonts w:ascii="Arial" w:hAnsi="Arial" w:cs="Arial"/>
          <w:sz w:val="24"/>
          <w:szCs w:val="24"/>
        </w:rPr>
        <w:t xml:space="preserve"> y </w:t>
      </w:r>
      <w:r w:rsidR="003A4A43" w:rsidRPr="00717825">
        <w:rPr>
          <w:rFonts w:ascii="Arial" w:hAnsi="Arial" w:cs="Arial"/>
          <w:sz w:val="24"/>
          <w:szCs w:val="24"/>
        </w:rPr>
        <w:t>los</w:t>
      </w:r>
      <w:r w:rsidR="005C23E7" w:rsidRPr="00717825">
        <w:rPr>
          <w:rFonts w:ascii="Arial" w:hAnsi="Arial" w:cs="Arial"/>
          <w:sz w:val="24"/>
          <w:szCs w:val="24"/>
        </w:rPr>
        <w:t xml:space="preserve"> ácaros depredadores en cítrico. Observaron que se alcanza una mejor regulación del fitófago cuando se usó </w:t>
      </w:r>
      <w:r w:rsidR="005C23E7" w:rsidRPr="00717825">
        <w:rPr>
          <w:rFonts w:ascii="Arial" w:hAnsi="Arial" w:cs="Arial"/>
          <w:i/>
          <w:sz w:val="24"/>
          <w:szCs w:val="24"/>
        </w:rPr>
        <w:t>Festucaarundinacea</w:t>
      </w:r>
      <w:r w:rsidR="005C23E7" w:rsidRPr="00717825">
        <w:rPr>
          <w:rFonts w:ascii="Arial" w:eastAsia="TimesNewRomanPSMT" w:hAnsi="Arial" w:cs="Arial"/>
          <w:sz w:val="24"/>
          <w:szCs w:val="24"/>
        </w:rPr>
        <w:t>Schreber</w:t>
      </w:r>
      <w:r w:rsidR="005C23E7" w:rsidRPr="00717825">
        <w:rPr>
          <w:rFonts w:ascii="Arial" w:hAnsi="Arial" w:cs="Arial"/>
          <w:sz w:val="24"/>
          <w:szCs w:val="24"/>
        </w:rPr>
        <w:t xml:space="preserve"> como cultivo de cobertura, comparado con el suelo desnudo y cubierta de malezas</w:t>
      </w:r>
      <w:r w:rsidR="00793738">
        <w:rPr>
          <w:rFonts w:ascii="Arial" w:hAnsi="Arial" w:cs="Arial"/>
          <w:sz w:val="24"/>
          <w:szCs w:val="24"/>
        </w:rPr>
        <w:t xml:space="preserve"> (82</w:t>
      </w:r>
      <w:r w:rsidRPr="00717825">
        <w:rPr>
          <w:rFonts w:ascii="Arial" w:hAnsi="Arial" w:cs="Arial"/>
          <w:sz w:val="24"/>
          <w:szCs w:val="24"/>
        </w:rPr>
        <w:t>)</w:t>
      </w:r>
      <w:r w:rsidR="005C23E7" w:rsidRPr="00717825">
        <w:rPr>
          <w:rFonts w:ascii="Arial" w:hAnsi="Arial" w:cs="Arial"/>
          <w:sz w:val="24"/>
          <w:szCs w:val="24"/>
        </w:rPr>
        <w:t>.</w:t>
      </w:r>
    </w:p>
    <w:p w:rsidR="005C23E7" w:rsidRPr="00717825" w:rsidRDefault="005C23E7" w:rsidP="00561736">
      <w:pPr>
        <w:autoSpaceDE w:val="0"/>
        <w:autoSpaceDN w:val="0"/>
        <w:adjustRightInd w:val="0"/>
        <w:spacing w:after="0" w:line="240" w:lineRule="auto"/>
        <w:jc w:val="both"/>
        <w:rPr>
          <w:rFonts w:ascii="Arial" w:hAnsi="Arial" w:cs="Arial"/>
          <w:b/>
          <w:color w:val="000000"/>
          <w:sz w:val="24"/>
          <w:szCs w:val="24"/>
        </w:rPr>
      </w:pPr>
      <w:r w:rsidRPr="00717825">
        <w:rPr>
          <w:rFonts w:ascii="Arial" w:hAnsi="Arial" w:cs="Arial"/>
          <w:b/>
          <w:color w:val="000000"/>
          <w:sz w:val="24"/>
          <w:szCs w:val="24"/>
        </w:rPr>
        <w:t xml:space="preserve">Manejo de las zonas no cultivadas </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color w:val="000000"/>
          <w:sz w:val="24"/>
          <w:szCs w:val="24"/>
        </w:rPr>
        <w:t xml:space="preserve">El manejo de la biodiversidad de ácaros en las zonas no cultivadas adyacentes a las parcelas donde crecen los cultivos podría acentuar el control biológico de ácaros fitófagos, limitando la desventaja de la introducción artificial. Sin embargo, para la implementación de este manejo es necesario más información concerniente a la ocurrencia de los ácaros depredadores en zonas no cultivadas y los factores que afectan la estructura de las comunidades y especialmente </w:t>
      </w:r>
      <w:r w:rsidRPr="00717825">
        <w:rPr>
          <w:rFonts w:ascii="Arial" w:hAnsi="Arial" w:cs="Arial"/>
          <w:sz w:val="24"/>
          <w:szCs w:val="24"/>
        </w:rPr>
        <w:t>la presencia, abundancia y diversidad de estos depredadores (</w:t>
      </w:r>
      <w:r w:rsidR="00575001">
        <w:rPr>
          <w:rFonts w:ascii="Arial" w:hAnsi="Arial" w:cs="Arial"/>
          <w:sz w:val="24"/>
          <w:szCs w:val="24"/>
        </w:rPr>
        <w:t>27</w:t>
      </w:r>
      <w:r w:rsidRPr="00717825">
        <w:rPr>
          <w:rFonts w:ascii="Arial" w:hAnsi="Arial" w:cs="Arial"/>
          <w:sz w:val="24"/>
          <w:szCs w:val="24"/>
        </w:rPr>
        <w:t>).</w:t>
      </w:r>
    </w:p>
    <w:p w:rsidR="005C23E7" w:rsidRPr="00717825" w:rsidRDefault="005C23E7" w:rsidP="002351B3">
      <w:pPr>
        <w:autoSpaceDE w:val="0"/>
        <w:autoSpaceDN w:val="0"/>
        <w:adjustRightInd w:val="0"/>
        <w:spacing w:line="240" w:lineRule="auto"/>
        <w:jc w:val="both"/>
        <w:rPr>
          <w:rFonts w:ascii="Arial" w:hAnsi="Arial" w:cs="Arial"/>
          <w:color w:val="000000"/>
          <w:sz w:val="24"/>
          <w:szCs w:val="24"/>
        </w:rPr>
      </w:pPr>
      <w:r w:rsidRPr="00717825">
        <w:rPr>
          <w:rStyle w:val="A0"/>
          <w:rFonts w:ascii="Arial" w:hAnsi="Arial" w:cs="Arial"/>
          <w:sz w:val="24"/>
          <w:szCs w:val="24"/>
        </w:rPr>
        <w:t>S</w:t>
      </w:r>
      <w:r w:rsidRPr="00717825">
        <w:rPr>
          <w:rFonts w:ascii="Arial" w:hAnsi="Arial" w:cs="Arial"/>
          <w:sz w:val="24"/>
          <w:szCs w:val="24"/>
        </w:rPr>
        <w:t>e ha documentado que las domacias y los pelos o tricomas de las hojas constituyen los rasgos de las plantas que más afectan la conducta de los ácaros depredadores fitoseidos. Las hipótesis p</w:t>
      </w:r>
      <w:r w:rsidR="00DD7A5C">
        <w:rPr>
          <w:rFonts w:ascii="Arial" w:hAnsi="Arial" w:cs="Arial"/>
          <w:sz w:val="24"/>
          <w:szCs w:val="24"/>
        </w:rPr>
        <w:t>ropuestas para explicar estas re</w:t>
      </w:r>
      <w:r w:rsidRPr="00717825">
        <w:rPr>
          <w:rFonts w:ascii="Arial" w:hAnsi="Arial" w:cs="Arial"/>
          <w:sz w:val="24"/>
          <w:szCs w:val="24"/>
        </w:rPr>
        <w:t xml:space="preserve">laciones son: escape del canibalismo y la depredación, mantenimiento de adecuadas condiciones de humedad, especialmente para la supervivencia de los huevos y la retención de polen y la presencia de alimento alternativo en las domacias. Sin embargo, algunas estructuras no son favorables para los ácaros depredadores, como por ejemplo los tricomas glandulares de las </w:t>
      </w:r>
      <w:r w:rsidRPr="00DD7A5C">
        <w:rPr>
          <w:rFonts w:ascii="Arial" w:hAnsi="Arial" w:cs="Arial"/>
          <w:i/>
          <w:sz w:val="24"/>
          <w:szCs w:val="24"/>
        </w:rPr>
        <w:t>Solanaceae</w:t>
      </w:r>
      <w:r w:rsidRPr="00717825">
        <w:rPr>
          <w:rFonts w:ascii="Arial" w:hAnsi="Arial" w:cs="Arial"/>
          <w:sz w:val="24"/>
          <w:szCs w:val="24"/>
        </w:rPr>
        <w:t>, los cuales atrapan e impiden el movimiento de los ácaros (</w:t>
      </w:r>
      <w:r w:rsidR="00793738">
        <w:rPr>
          <w:rFonts w:ascii="Arial" w:hAnsi="Arial" w:cs="Arial"/>
          <w:sz w:val="24"/>
          <w:szCs w:val="24"/>
        </w:rPr>
        <w:t>83</w:t>
      </w:r>
      <w:r w:rsidRPr="00717825">
        <w:rPr>
          <w:rFonts w:ascii="Arial" w:hAnsi="Arial" w:cs="Arial"/>
          <w:sz w:val="24"/>
          <w:szCs w:val="24"/>
        </w:rPr>
        <w:t>).</w:t>
      </w:r>
    </w:p>
    <w:p w:rsidR="005C23E7" w:rsidRPr="00717825" w:rsidRDefault="005C23E7"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En otras ocasiones, los ácaros fitoseidos pueden utilizar información procedente de las propias plantas para localizar a sus presas. Las plantas que están siendo atacadas por los ácaros fitófagos atraen fitoseidos mediante la emisión de los llamados compuestos volátiles inducidos por herbívoros, que son captados por estos depredadores (</w:t>
      </w:r>
      <w:r w:rsidR="0067032E">
        <w:rPr>
          <w:rFonts w:ascii="Arial" w:hAnsi="Arial" w:cs="Arial"/>
          <w:sz w:val="24"/>
          <w:szCs w:val="24"/>
        </w:rPr>
        <w:t>2</w:t>
      </w:r>
      <w:r w:rsidR="00792CA0" w:rsidRPr="00717825">
        <w:rPr>
          <w:rFonts w:ascii="Arial" w:hAnsi="Arial" w:cs="Arial"/>
          <w:sz w:val="24"/>
          <w:szCs w:val="24"/>
        </w:rPr>
        <w:t>8</w:t>
      </w:r>
      <w:r w:rsidRPr="00717825">
        <w:rPr>
          <w:rFonts w:ascii="Arial" w:hAnsi="Arial" w:cs="Arial"/>
          <w:sz w:val="24"/>
          <w:szCs w:val="24"/>
        </w:rPr>
        <w:t>), lo que les permiten buscar y localizar a su presa, incluso dentro de la misma planta (</w:t>
      </w:r>
      <w:r w:rsidR="00793738">
        <w:rPr>
          <w:rFonts w:ascii="Arial" w:hAnsi="Arial" w:cs="Arial"/>
          <w:sz w:val="24"/>
          <w:szCs w:val="24"/>
        </w:rPr>
        <w:t>84</w:t>
      </w:r>
      <w:r w:rsidR="00CE6042" w:rsidRPr="00717825">
        <w:rPr>
          <w:rFonts w:ascii="Arial" w:hAnsi="Arial" w:cs="Arial"/>
          <w:sz w:val="24"/>
          <w:szCs w:val="24"/>
        </w:rPr>
        <w:t>)</w:t>
      </w:r>
      <w:r w:rsidRPr="00717825">
        <w:rPr>
          <w:rFonts w:ascii="Arial" w:hAnsi="Arial" w:cs="Arial"/>
          <w:sz w:val="24"/>
          <w:szCs w:val="24"/>
        </w:rPr>
        <w:t xml:space="preserve">; </w:t>
      </w:r>
      <w:r w:rsidR="00746D63" w:rsidRPr="00717825">
        <w:rPr>
          <w:rFonts w:ascii="Arial" w:hAnsi="Arial" w:cs="Arial"/>
          <w:sz w:val="24"/>
          <w:szCs w:val="24"/>
        </w:rPr>
        <w:t>(</w:t>
      </w:r>
      <w:r w:rsidR="00575001">
        <w:rPr>
          <w:rFonts w:ascii="Arial" w:hAnsi="Arial" w:cs="Arial"/>
          <w:sz w:val="24"/>
          <w:szCs w:val="24"/>
        </w:rPr>
        <w:t>70</w:t>
      </w:r>
      <w:r w:rsidRPr="00717825">
        <w:rPr>
          <w:rFonts w:ascii="Arial" w:hAnsi="Arial" w:cs="Arial"/>
          <w:sz w:val="24"/>
          <w:szCs w:val="24"/>
        </w:rPr>
        <w:t>).</w:t>
      </w:r>
    </w:p>
    <w:p w:rsidR="000E15BC" w:rsidRPr="00717825" w:rsidRDefault="00FB21E5" w:rsidP="00561736">
      <w:pPr>
        <w:pStyle w:val="HTMLconformatoprevio"/>
        <w:jc w:val="both"/>
        <w:rPr>
          <w:rFonts w:ascii="Arial" w:hAnsi="Arial" w:cs="Arial"/>
          <w:b/>
          <w:sz w:val="24"/>
          <w:szCs w:val="24"/>
        </w:rPr>
      </w:pPr>
      <w:r w:rsidRPr="00717825">
        <w:rPr>
          <w:rFonts w:ascii="Arial" w:hAnsi="Arial" w:cs="Arial"/>
          <w:b/>
          <w:sz w:val="24"/>
          <w:szCs w:val="24"/>
        </w:rPr>
        <w:t xml:space="preserve">Consideraciones Finales </w:t>
      </w:r>
    </w:p>
    <w:p w:rsidR="000E15BC" w:rsidRPr="00717825" w:rsidRDefault="00FC40BE"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lastRenderedPageBreak/>
        <w:t>Las modificaciones humanas a la comunidad viviente dentro de un ecosistema – así como a la biodiversidad global de la tierra – pueden alterar las funciones ecológicas y los servicios que sustentan la vida, los cuales son vitales para el bienestar de las sociedades humanas. Cambios sustanciales han ocurrido ya, especialmente pérdidas locales y globales de la biodiversidad. La causa principal ha sido la transformación generalizada que los humanos han realizado de los que alguna vez fueron ecosistemas naturales altamente diversos, hacia ecosistemas manejados con relativamente pocas especies. Estudios recientes sugieren, que tales reducciones en la biodiversidad pueden alterar tanto la magnitud, como la estabilidad de los procesos ecosistémicos, especialmente cuando la biodiversidad se reduce a los niveles bajos típicos de muchos sistemas agrícolas.</w:t>
      </w:r>
    </w:p>
    <w:p w:rsidR="000E15BC" w:rsidRPr="00717825" w:rsidRDefault="00FC40BE"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El desarrollo de métodos de gestión agrícola que permitan armonizar la producción agraria, la conservación de los recursos naturales y el desarrollo rural es una necesidad urgente. En este sentido, la agroecología, disciplina que tiene por objetivo el conocimiento de los elementos y procesos clave que regulan el funcionamiento de los agroecosistemas y establece las bases científicas para una gestión eficaz, en armonía con el ambiente, propone el diseño de modelos de gestión agraria basados en un enfoque más ligado al medioambiente y socialmente más sensible, centrados no únicamente en la producción, sino también en la estabilidad ecológica de los sistemas de producción.</w:t>
      </w:r>
    </w:p>
    <w:p w:rsidR="00793738" w:rsidRDefault="00FC40BE" w:rsidP="002351B3">
      <w:pPr>
        <w:autoSpaceDE w:val="0"/>
        <w:autoSpaceDN w:val="0"/>
        <w:adjustRightInd w:val="0"/>
        <w:spacing w:line="240" w:lineRule="auto"/>
        <w:jc w:val="both"/>
        <w:rPr>
          <w:rFonts w:ascii="Arial" w:hAnsi="Arial" w:cs="Arial"/>
          <w:sz w:val="24"/>
          <w:szCs w:val="24"/>
        </w:rPr>
      </w:pPr>
      <w:r w:rsidRPr="00717825">
        <w:rPr>
          <w:rFonts w:ascii="Arial" w:hAnsi="Arial" w:cs="Arial"/>
          <w:sz w:val="24"/>
          <w:szCs w:val="24"/>
        </w:rPr>
        <w:t>Existen numerosas prácticas agrícolas que pueden aumentar la diversidad y otras que, en cambio, la disminuyen. El monocultivo, la fertilización química, el exhaustivo control de las especies arvenses mediante laboreos convencionales o mediante la aplicación de herbicidas y el control de plagas con plaguicidas químicos de amplio espectro de acción provocan una disminución de la biodiversidad de fitoseidos. En cambio, la diversificación de los hábitats mediante las rotaciones, los policultivos, los cultivos de cobertura, el mantenimiento de la vegetación de los márgenes, la fertilización orgánica y los laboreos superficiales se asocian con un incremento de la biodiversidad.</w:t>
      </w:r>
      <w:bookmarkStart w:id="0" w:name="_GoBack"/>
      <w:bookmarkEnd w:id="0"/>
    </w:p>
    <w:p w:rsidR="00793738" w:rsidRDefault="00793738" w:rsidP="00793738">
      <w:pPr>
        <w:spacing w:after="0" w:line="240" w:lineRule="auto"/>
        <w:jc w:val="both"/>
        <w:rPr>
          <w:rFonts w:ascii="Arial" w:eastAsia="Calibri" w:hAnsi="Arial" w:cs="Arial"/>
          <w:b/>
          <w:color w:val="000000"/>
          <w:sz w:val="24"/>
          <w:szCs w:val="24"/>
          <w:lang w:val="en-US"/>
        </w:rPr>
      </w:pPr>
      <w:r w:rsidRPr="0067032E">
        <w:rPr>
          <w:rFonts w:ascii="Arial" w:eastAsia="Calibri" w:hAnsi="Arial" w:cs="Arial"/>
          <w:b/>
          <w:color w:val="000000"/>
          <w:sz w:val="24"/>
          <w:szCs w:val="24"/>
          <w:lang w:val="en-US"/>
        </w:rPr>
        <w:t>ReferenciasBibliográficas</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 xml:space="preserve">Jannoyer, M.L., Le Bellec, F., Malézieux, E., Lavigne, C., Achard, R. (2011). Choosing cover crops to enhance ecological services in orchards: a multiple criteria and systemic approach applied to tropical areas. </w:t>
      </w:r>
      <w:r w:rsidRPr="00793738">
        <w:rPr>
          <w:rFonts w:ascii="Arial" w:hAnsi="Arial" w:cs="Arial"/>
          <w:i/>
          <w:iCs/>
          <w:sz w:val="24"/>
          <w:szCs w:val="24"/>
          <w:lang w:val="en-US"/>
        </w:rPr>
        <w:t>Procedia Environ Sci</w:t>
      </w:r>
      <w:r w:rsidRPr="00793738">
        <w:rPr>
          <w:rFonts w:ascii="Arial" w:hAnsi="Arial" w:cs="Arial"/>
          <w:sz w:val="24"/>
          <w:szCs w:val="24"/>
          <w:lang w:val="en-US"/>
        </w:rPr>
        <w:t xml:space="preserve">. 9: 104-112. </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Gurr GM, Wratten SD, Landis DA, You M. Habitat management to suppress pest populations: progress and prospects. Annu Rev Entomol. 2017; 62: 91-109.</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lang w:val="en-US"/>
        </w:rPr>
      </w:pPr>
      <w:r w:rsidRPr="00793738">
        <w:rPr>
          <w:rFonts w:ascii="Arial" w:hAnsi="Arial" w:cs="Arial"/>
          <w:sz w:val="24"/>
          <w:szCs w:val="24"/>
          <w:lang w:val="en-US"/>
        </w:rPr>
        <w:t>Snyder WE. Give predators a complement: Conserving natural enemy biodiversity to improve biocontrol. Biological Control. 2019; 135: 73-82.</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eastAsia="Batang" w:hAnsi="Arial" w:cs="Arial"/>
          <w:sz w:val="24"/>
          <w:szCs w:val="24"/>
        </w:rPr>
      </w:pPr>
      <w:r w:rsidRPr="00793738">
        <w:rPr>
          <w:rFonts w:ascii="Arial" w:eastAsia="Batang" w:hAnsi="Arial" w:cs="Arial"/>
          <w:sz w:val="24"/>
          <w:szCs w:val="24"/>
          <w:lang w:val="en-US"/>
        </w:rPr>
        <w:t xml:space="preserve">Greenop A, Woodcock BA, Wilby A, Cook SM, Pywell RF. Functional diversity positively affects prey suppression by invertebrate predators: a meta-analysis. </w:t>
      </w:r>
      <w:r w:rsidRPr="00793738">
        <w:rPr>
          <w:rFonts w:ascii="Arial" w:eastAsia="Batang" w:hAnsi="Arial" w:cs="Arial"/>
          <w:sz w:val="24"/>
          <w:szCs w:val="24"/>
        </w:rPr>
        <w:t>Ecology. 2018; 99: 1771-1782.</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eastAsia="Calibri" w:hAnsi="Arial" w:cs="Arial"/>
          <w:sz w:val="24"/>
          <w:szCs w:val="24"/>
        </w:rPr>
        <w:t>CITMA (2007). Estrategia Ambiental Nacional 2007 / 2010. Anexo único de la resolución no. 40/2007. Ministerio de Ciencia, Tecnología y Medio Ambiente. 60 pp.</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eastAsia="Calibri" w:hAnsi="Arial" w:cs="Arial"/>
          <w:sz w:val="24"/>
          <w:szCs w:val="24"/>
          <w:lang w:val="en-US"/>
        </w:rPr>
        <w:lastRenderedPageBreak/>
        <w:t xml:space="preserve">Chant, D.; McMurtry, J.A. (2007). </w:t>
      </w:r>
      <w:r w:rsidRPr="00793738">
        <w:rPr>
          <w:rFonts w:ascii="Arial" w:eastAsia="Calibri" w:hAnsi="Arial" w:cs="Arial"/>
          <w:i/>
          <w:sz w:val="24"/>
          <w:szCs w:val="24"/>
          <w:lang w:val="en-US"/>
        </w:rPr>
        <w:t>Illustrated keys and diagnoses for the genera and subgenera of the Phytoseiidae of the world (Acari: Mesostigmata).</w:t>
      </w:r>
      <w:r w:rsidRPr="00793738">
        <w:rPr>
          <w:rFonts w:ascii="Arial" w:eastAsia="Calibri" w:hAnsi="Arial" w:cs="Arial"/>
          <w:sz w:val="24"/>
          <w:szCs w:val="24"/>
          <w:lang w:val="en-US"/>
        </w:rPr>
        <w:t xml:space="preserve"> Indira Publishing Houses. 220 pp.</w:t>
      </w:r>
      <w:r w:rsidRPr="00793738">
        <w:rPr>
          <w:rFonts w:ascii="Arial" w:hAnsi="Arial" w:cs="Arial"/>
          <w:sz w:val="24"/>
          <w:szCs w:val="24"/>
          <w:lang w:val="en-US"/>
        </w:rPr>
        <w:t>CITMA, 2016).</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793738">
        <w:rPr>
          <w:rFonts w:ascii="Arial" w:eastAsia="TimesNewRomanPSMT" w:hAnsi="Arial" w:cs="Arial"/>
          <w:sz w:val="24"/>
          <w:szCs w:val="24"/>
          <w:lang w:val="en-US"/>
        </w:rPr>
        <w:t xml:space="preserve">McMurtry JA; Sourassou NF; Demite PR. (2015). The Phytoseiidae (Acari: Mesostigmata) as Biological Control Agents. En: </w:t>
      </w:r>
      <w:r w:rsidRPr="00793738">
        <w:rPr>
          <w:rFonts w:ascii="Arial" w:eastAsia="TimesNewRomanPSMT" w:hAnsi="Arial" w:cs="Arial"/>
          <w:i/>
          <w:sz w:val="24"/>
          <w:szCs w:val="24"/>
          <w:lang w:val="en-US"/>
        </w:rPr>
        <w:t>Prospects for Biological Control of Plant Feeding Mites and Other Harmful Organisms</w:t>
      </w:r>
      <w:r w:rsidRPr="00793738">
        <w:rPr>
          <w:rFonts w:ascii="Arial" w:eastAsia="TimesNewRomanPSMT" w:hAnsi="Arial" w:cs="Arial"/>
          <w:sz w:val="24"/>
          <w:szCs w:val="24"/>
          <w:lang w:val="en-US"/>
        </w:rPr>
        <w:t xml:space="preserve">. </w:t>
      </w:r>
      <w:r w:rsidRPr="00793738">
        <w:rPr>
          <w:rFonts w:ascii="Arial" w:eastAsia="TimesNewRomanPSMT" w:hAnsi="Arial" w:cs="Arial"/>
          <w:sz w:val="24"/>
          <w:szCs w:val="24"/>
        </w:rPr>
        <w:t>Pp. 133-149.</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793738">
        <w:rPr>
          <w:rFonts w:ascii="Arial" w:eastAsia="ArialMT" w:hAnsi="Arial" w:cs="Arial"/>
          <w:sz w:val="24"/>
          <w:szCs w:val="24"/>
        </w:rPr>
        <w:t>de la Torre PE, Cuervo N. (</w:t>
      </w:r>
      <w:r w:rsidRPr="00793738">
        <w:rPr>
          <w:rFonts w:ascii="Arial" w:hAnsi="Arial" w:cs="Arial"/>
          <w:iCs/>
          <w:sz w:val="24"/>
          <w:szCs w:val="24"/>
        </w:rPr>
        <w:t xml:space="preserve">2019). </w:t>
      </w:r>
      <w:r w:rsidRPr="00793738">
        <w:rPr>
          <w:rFonts w:ascii="Arial" w:hAnsi="Arial" w:cs="Arial"/>
          <w:bCs/>
          <w:sz w:val="24"/>
          <w:szCs w:val="24"/>
        </w:rPr>
        <w:t xml:space="preserve">Actualización de la lista de ácaros (Arachnida: Acari) de Cuba. </w:t>
      </w:r>
      <w:r w:rsidRPr="00793738">
        <w:rPr>
          <w:rFonts w:ascii="Arial" w:hAnsi="Arial" w:cs="Arial"/>
          <w:i/>
          <w:iCs/>
          <w:sz w:val="24"/>
          <w:szCs w:val="24"/>
        </w:rPr>
        <w:t>Revista Ibérica de Aracnología</w:t>
      </w:r>
      <w:r w:rsidRPr="00793738">
        <w:rPr>
          <w:rFonts w:ascii="Arial" w:hAnsi="Arial" w:cs="Arial"/>
          <w:iCs/>
          <w:sz w:val="24"/>
          <w:szCs w:val="24"/>
        </w:rPr>
        <w:t>.</w:t>
      </w:r>
      <w:r w:rsidRPr="00793738">
        <w:rPr>
          <w:rFonts w:ascii="Arial" w:hAnsi="Arial" w:cs="Arial"/>
          <w:bCs/>
          <w:sz w:val="24"/>
          <w:szCs w:val="24"/>
        </w:rPr>
        <w:t>34</w:t>
      </w:r>
      <w:r w:rsidRPr="00793738">
        <w:rPr>
          <w:rFonts w:ascii="Arial" w:eastAsia="ArialMT" w:hAnsi="Arial" w:cs="Arial"/>
          <w:sz w:val="24"/>
          <w:szCs w:val="24"/>
        </w:rPr>
        <w:t>:102-118.</w:t>
      </w:r>
    </w:p>
    <w:p w:rsidR="00793738" w:rsidRPr="00793738" w:rsidRDefault="00793738" w:rsidP="002351B3">
      <w:pPr>
        <w:pStyle w:val="Prrafodelista"/>
        <w:numPr>
          <w:ilvl w:val="0"/>
          <w:numId w:val="18"/>
        </w:numPr>
        <w:tabs>
          <w:tab w:val="left" w:pos="426"/>
        </w:tabs>
        <w:spacing w:after="0" w:line="240" w:lineRule="auto"/>
        <w:ind w:right="18"/>
        <w:jc w:val="both"/>
        <w:rPr>
          <w:rFonts w:ascii="Arial" w:eastAsia="Calibri" w:hAnsi="Arial" w:cs="Arial"/>
          <w:sz w:val="24"/>
          <w:szCs w:val="24"/>
        </w:rPr>
      </w:pPr>
      <w:r w:rsidRPr="00793738">
        <w:rPr>
          <w:rFonts w:ascii="Arial" w:eastAsia="Calibri" w:hAnsi="Arial" w:cs="Arial"/>
          <w:sz w:val="24"/>
          <w:szCs w:val="24"/>
        </w:rPr>
        <w:t>Rodríguez</w:t>
      </w:r>
      <w:r w:rsidRPr="00793738">
        <w:rPr>
          <w:rFonts w:ascii="Arial" w:eastAsia="Calibri" w:hAnsi="Arial" w:cs="Arial"/>
          <w:bCs/>
          <w:sz w:val="24"/>
          <w:szCs w:val="24"/>
        </w:rPr>
        <w:t xml:space="preserve"> H, </w:t>
      </w:r>
      <w:r w:rsidRPr="00793738">
        <w:rPr>
          <w:rFonts w:ascii="Arial" w:eastAsia="Calibri" w:hAnsi="Arial" w:cs="Arial"/>
          <w:sz w:val="24"/>
          <w:szCs w:val="24"/>
        </w:rPr>
        <w:t xml:space="preserve">Montoya A, Pérez Y, Ramos M. (2013). </w:t>
      </w:r>
      <w:r w:rsidRPr="00793738">
        <w:rPr>
          <w:rFonts w:ascii="Arial" w:eastAsia="Calibri" w:hAnsi="Arial" w:cs="Arial"/>
          <w:bCs/>
          <w:sz w:val="24"/>
          <w:szCs w:val="24"/>
        </w:rPr>
        <w:t xml:space="preserve">Reproducción masiva de ácaros depredadores Phytoseiidae: retos y perspectivas para Cuba. </w:t>
      </w:r>
      <w:r w:rsidRPr="00793738">
        <w:rPr>
          <w:rFonts w:ascii="Arial" w:eastAsia="Calibri" w:hAnsi="Arial" w:cs="Arial"/>
          <w:i/>
          <w:sz w:val="24"/>
          <w:szCs w:val="24"/>
        </w:rPr>
        <w:t>Rev. Protección Veg</w:t>
      </w:r>
      <w:r w:rsidRPr="00793738">
        <w:rPr>
          <w:rFonts w:ascii="Arial" w:eastAsia="Calibri" w:hAnsi="Arial" w:cs="Arial"/>
          <w:bCs/>
          <w:sz w:val="24"/>
          <w:szCs w:val="24"/>
        </w:rPr>
        <w:t xml:space="preserve">. </w:t>
      </w:r>
      <w:r w:rsidRPr="00793738">
        <w:rPr>
          <w:rFonts w:ascii="Arial" w:eastAsia="Calibri" w:hAnsi="Arial" w:cs="Arial"/>
          <w:sz w:val="24"/>
          <w:szCs w:val="24"/>
        </w:rPr>
        <w:t>28(1):1-11.</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1</w:t>
      </w:r>
      <w:r w:rsidRPr="00793738">
        <w:rPr>
          <w:rFonts w:ascii="Arial" w:hAnsi="Arial" w:cs="Arial"/>
          <w:sz w:val="24"/>
          <w:szCs w:val="24"/>
        </w:rPr>
        <w:t>Gómez Sal A. 2001. Aspectos ecológicos de los sistemas agrícolas. Las dimensiones del desarrollo. En: Labrador J y AltieriM.A.,(eds.) Agroecología y Desarrollo. Mundi Prensa. 83-119.</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793738">
        <w:rPr>
          <w:rStyle w:val="citation"/>
          <w:rFonts w:ascii="Arial" w:hAnsi="Arial" w:cs="Arial"/>
          <w:sz w:val="24"/>
          <w:szCs w:val="24"/>
        </w:rPr>
        <w:t xml:space="preserve">Navia, Jorge F; Restrepo, José M; Villada, Daniel E; Ojeda, Pedro A. (2015). </w:t>
      </w:r>
      <w:hyperlink r:id="rId14" w:history="1">
        <w:r w:rsidRPr="00793738">
          <w:rPr>
            <w:rStyle w:val="Hipervnculo"/>
            <w:rFonts w:ascii="Arial" w:hAnsi="Arial" w:cs="Arial"/>
            <w:sz w:val="24"/>
            <w:szCs w:val="24"/>
          </w:rPr>
          <w:t>«Agroforestería. Opción tecnológica para el manejo de suelos en zonas de laderas»</w:t>
        </w:r>
      </w:hyperlink>
      <w:r w:rsidRPr="00793738">
        <w:rPr>
          <w:rStyle w:val="citation"/>
          <w:rFonts w:ascii="Arial" w:hAnsi="Arial" w:cs="Arial"/>
          <w:sz w:val="24"/>
          <w:szCs w:val="24"/>
        </w:rPr>
        <w:t xml:space="preserve">. p. 50. Archivado desde </w:t>
      </w:r>
      <w:hyperlink r:id="rId15" w:history="1">
        <w:r w:rsidRPr="00793738">
          <w:rPr>
            <w:rStyle w:val="Hipervnculo"/>
            <w:rFonts w:ascii="Arial" w:hAnsi="Arial" w:cs="Arial"/>
            <w:sz w:val="24"/>
            <w:szCs w:val="24"/>
          </w:rPr>
          <w:t>el original</w:t>
        </w:r>
      </w:hyperlink>
      <w:r w:rsidRPr="00793738">
        <w:rPr>
          <w:rStyle w:val="citation"/>
          <w:rFonts w:ascii="Arial" w:hAnsi="Arial" w:cs="Arial"/>
          <w:sz w:val="24"/>
          <w:szCs w:val="24"/>
        </w:rPr>
        <w:t xml:space="preserve"> el 14 de mayo de 2015</w:t>
      </w:r>
      <w:r w:rsidRPr="00793738">
        <w:rPr>
          <w:rStyle w:val="reference-accessdate"/>
          <w:rFonts w:ascii="Arial" w:hAnsi="Arial" w:cs="Arial"/>
          <w:sz w:val="24"/>
          <w:szCs w:val="24"/>
        </w:rPr>
        <w:t>. Consultado el 14 de mayo de 2015</w:t>
      </w:r>
      <w:r w:rsidRPr="00793738">
        <w:rPr>
          <w:rStyle w:val="citation"/>
          <w:rFonts w:ascii="Arial" w:hAnsi="Arial" w:cs="Arial"/>
          <w:sz w:val="24"/>
          <w:szCs w:val="24"/>
        </w:rPr>
        <w:t>.</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rPr>
        <w:t xml:space="preserve">Villareal H; Álvarez M; Córdoba S; Escobar F; Fagua G; Gast F; Mendoza H; Ospina M; Umaña AM. (2006). Manual de métodos para el desarrollo de inventarios de biodiversidad. Programa de Inventarios de Biodiversidad. Instituto de Investigación de Recursos Biológicos Alexander von Humboldt. </w:t>
      </w:r>
      <w:r w:rsidRPr="00793738">
        <w:rPr>
          <w:rFonts w:ascii="Arial" w:hAnsi="Arial" w:cs="Arial"/>
          <w:sz w:val="24"/>
          <w:szCs w:val="24"/>
          <w:lang w:val="en-US"/>
        </w:rPr>
        <w:t>Bogotá, Colombia. Segunda edición. 236 p.</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SOLBRIG OT. 1991. Biodiversitv. Scientific Issues and Collaborative Research Proposals. MAB Digest 9, 77 pp. UNESCO, Paris,</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793738">
        <w:rPr>
          <w:rFonts w:ascii="Arial" w:hAnsi="Arial" w:cs="Arial"/>
          <w:sz w:val="24"/>
          <w:szCs w:val="24"/>
          <w:lang w:val="en-US"/>
        </w:rPr>
        <w:t xml:space="preserve">Hurlbert SH. The nonconcept of species diversity: a critique and alternative parameters. </w:t>
      </w:r>
      <w:r w:rsidRPr="00793738">
        <w:rPr>
          <w:rFonts w:ascii="Arial" w:hAnsi="Arial" w:cs="Arial"/>
          <w:i/>
          <w:iCs/>
          <w:sz w:val="24"/>
          <w:szCs w:val="24"/>
        </w:rPr>
        <w:t>Ecology</w:t>
      </w:r>
      <w:r w:rsidRPr="00793738">
        <w:rPr>
          <w:rFonts w:ascii="Arial" w:hAnsi="Arial" w:cs="Arial"/>
          <w:sz w:val="24"/>
          <w:szCs w:val="24"/>
        </w:rPr>
        <w:t>. 52(4): 577-585. (1971).</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793738">
        <w:rPr>
          <w:rFonts w:ascii="Arial" w:hAnsi="Arial" w:cs="Arial"/>
          <w:sz w:val="24"/>
          <w:szCs w:val="24"/>
        </w:rPr>
        <w:t xml:space="preserve">Hastie E. (2011): Potencialidad de los ácaros depredadores como agentes de control biológico de </w:t>
      </w:r>
      <w:r w:rsidRPr="00793738">
        <w:rPr>
          <w:rFonts w:ascii="Arial" w:hAnsi="Arial" w:cs="Arial"/>
          <w:i/>
          <w:iCs/>
          <w:sz w:val="24"/>
          <w:szCs w:val="24"/>
        </w:rPr>
        <w:t>Raoiellaindica</w:t>
      </w:r>
      <w:r w:rsidRPr="00793738">
        <w:rPr>
          <w:rFonts w:ascii="Arial" w:hAnsi="Arial" w:cs="Arial"/>
          <w:sz w:val="24"/>
          <w:szCs w:val="24"/>
        </w:rPr>
        <w:t xml:space="preserve">Hirst (Acari: Tenuipalpidae). </w:t>
      </w:r>
      <w:r w:rsidRPr="00793738">
        <w:rPr>
          <w:rFonts w:ascii="Arial" w:hAnsi="Arial" w:cs="Arial"/>
          <w:i/>
          <w:iCs/>
          <w:sz w:val="24"/>
          <w:szCs w:val="24"/>
        </w:rPr>
        <w:t>Tesis en opción al título de Master en Zoología yEcología Animal, Mención Invertebrados</w:t>
      </w:r>
      <w:r w:rsidRPr="00793738">
        <w:rPr>
          <w:rFonts w:ascii="Arial" w:hAnsi="Arial" w:cs="Arial"/>
          <w:sz w:val="24"/>
          <w:szCs w:val="24"/>
        </w:rPr>
        <w:t>. Facultad de Biología. Universidad de La Habana, Cuba. 60 pp.</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rPr>
        <w:t xml:space="preserve">Alcolado PM. Conceptos e índices relacionados con la diversidad. </w:t>
      </w:r>
      <w:r w:rsidRPr="00793738">
        <w:rPr>
          <w:rFonts w:ascii="Arial" w:hAnsi="Arial" w:cs="Arial"/>
          <w:iCs/>
          <w:sz w:val="24"/>
          <w:szCs w:val="24"/>
          <w:lang w:val="en-US"/>
        </w:rPr>
        <w:t>Avicennia</w:t>
      </w:r>
      <w:r w:rsidRPr="00793738">
        <w:rPr>
          <w:rFonts w:ascii="Arial" w:hAnsi="Arial" w:cs="Arial"/>
          <w:bCs/>
          <w:iCs/>
          <w:sz w:val="24"/>
          <w:szCs w:val="24"/>
          <w:lang w:val="en-US"/>
        </w:rPr>
        <w:t>. 1998; 8</w:t>
      </w:r>
      <w:r w:rsidRPr="00793738">
        <w:rPr>
          <w:rFonts w:ascii="Arial" w:hAnsi="Arial" w:cs="Arial"/>
          <w:sz w:val="24"/>
          <w:szCs w:val="24"/>
          <w:lang w:val="en-US"/>
        </w:rPr>
        <w:t>-9: 7-21.</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793738">
        <w:rPr>
          <w:rFonts w:ascii="Arial" w:hAnsi="Arial" w:cs="Arial"/>
          <w:sz w:val="24"/>
          <w:szCs w:val="24"/>
          <w:lang w:val="en-US"/>
        </w:rPr>
        <w:t>Whittaker RH. (1972). Evolution and measurement of species diversity</w:t>
      </w:r>
      <w:r w:rsidRPr="00793738">
        <w:rPr>
          <w:rFonts w:ascii="Arial" w:hAnsi="Arial" w:cs="Arial"/>
          <w:i/>
          <w:iCs/>
          <w:sz w:val="24"/>
          <w:szCs w:val="24"/>
          <w:lang w:val="en-US"/>
        </w:rPr>
        <w:t>. Taxon</w:t>
      </w:r>
      <w:r w:rsidRPr="00793738">
        <w:rPr>
          <w:rFonts w:ascii="Arial" w:hAnsi="Arial" w:cs="Arial"/>
          <w:sz w:val="24"/>
          <w:szCs w:val="24"/>
          <w:lang w:val="en-US"/>
        </w:rPr>
        <w:t xml:space="preserve">. </w:t>
      </w:r>
      <w:r w:rsidRPr="00793738">
        <w:rPr>
          <w:rFonts w:ascii="Arial" w:hAnsi="Arial" w:cs="Arial"/>
          <w:sz w:val="24"/>
          <w:szCs w:val="24"/>
        </w:rPr>
        <w:t>21(2/3):213-251.</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793738">
        <w:rPr>
          <w:rFonts w:ascii="Arial" w:hAnsi="Arial" w:cs="Arial"/>
          <w:sz w:val="24"/>
          <w:szCs w:val="24"/>
        </w:rPr>
        <w:t xml:space="preserve">Moreno CE. (2001). </w:t>
      </w:r>
      <w:r w:rsidRPr="00793738">
        <w:rPr>
          <w:rFonts w:ascii="Arial" w:hAnsi="Arial" w:cs="Arial"/>
          <w:i/>
          <w:iCs/>
          <w:sz w:val="24"/>
          <w:szCs w:val="24"/>
        </w:rPr>
        <w:t>Métodos para medir la biodiversidad</w:t>
      </w:r>
      <w:r w:rsidRPr="00793738">
        <w:rPr>
          <w:rFonts w:ascii="Arial" w:hAnsi="Arial" w:cs="Arial"/>
          <w:sz w:val="24"/>
          <w:szCs w:val="24"/>
        </w:rPr>
        <w:t>. M&amp;T-Manuales y Tesis SEA. 1: 11-84.</w:t>
      </w:r>
    </w:p>
    <w:p w:rsidR="00793738" w:rsidRPr="00793738" w:rsidRDefault="00793738" w:rsidP="002351B3">
      <w:pPr>
        <w:pStyle w:val="Prrafodelista"/>
        <w:numPr>
          <w:ilvl w:val="0"/>
          <w:numId w:val="18"/>
        </w:numPr>
        <w:tabs>
          <w:tab w:val="left" w:pos="426"/>
        </w:tabs>
        <w:spacing w:after="0" w:line="240" w:lineRule="auto"/>
        <w:jc w:val="both"/>
        <w:rPr>
          <w:rFonts w:ascii="Arial" w:eastAsia="Calibri" w:hAnsi="Arial" w:cs="Arial"/>
          <w:sz w:val="24"/>
          <w:szCs w:val="24"/>
        </w:rPr>
      </w:pPr>
      <w:r w:rsidRPr="00793738">
        <w:rPr>
          <w:rFonts w:ascii="Arial" w:eastAsia="Calibri" w:hAnsi="Arial" w:cs="Arial"/>
          <w:sz w:val="24"/>
          <w:szCs w:val="24"/>
        </w:rPr>
        <w:t xml:space="preserve">Pujol L. 2007. </w:t>
      </w:r>
      <w:r w:rsidRPr="00793738">
        <w:rPr>
          <w:rFonts w:ascii="Arial" w:eastAsia="Calibri" w:hAnsi="Arial" w:cs="Arial"/>
          <w:i/>
          <w:sz w:val="24"/>
          <w:szCs w:val="24"/>
        </w:rPr>
        <w:t xml:space="preserve">Biodiversidad y su importancia para la sostenibilidad. </w:t>
      </w:r>
      <w:r w:rsidRPr="00793738">
        <w:rPr>
          <w:rFonts w:ascii="Arial" w:eastAsia="Calibri" w:hAnsi="Arial" w:cs="Arial"/>
          <w:sz w:val="24"/>
          <w:szCs w:val="24"/>
        </w:rPr>
        <w:t>Ecología y Biodiversidad. UAIS. EBIOS-400-001. En línea. Disponible en: http://www.sustentabilidad.uai.edu.ar/pdf/ecobio/UAIS-EBIO-400-001%20-%20Biodiv.pdf (Consulta: 20/05/2016).</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eastAsia="TimesNewRomanPSMT" w:hAnsi="Arial" w:cs="Arial"/>
          <w:sz w:val="24"/>
          <w:szCs w:val="24"/>
        </w:rPr>
      </w:pPr>
      <w:r w:rsidRPr="00793738">
        <w:rPr>
          <w:rFonts w:ascii="Arial" w:eastAsia="TimesNewRomanPSMT" w:hAnsi="Arial" w:cs="Arial"/>
          <w:sz w:val="24"/>
          <w:szCs w:val="24"/>
        </w:rPr>
        <w:t>Alegre AR. Barba LF. DE ARMAS &amp; N. CUERVO 2016. Introducción a los arácnidos cubanos amenazados. Pp. 205-207, en Hidalgo-Gato, M. M.</w:t>
      </w:r>
      <w:r w:rsidRPr="00793738">
        <w:rPr>
          <w:rFonts w:ascii="Arial" w:eastAsia="TimesNewRomanPSMT" w:hAnsi="Arial" w:cs="Arial"/>
          <w:i/>
          <w:iCs/>
          <w:sz w:val="24"/>
          <w:szCs w:val="24"/>
        </w:rPr>
        <w:t>et al</w:t>
      </w:r>
      <w:r w:rsidRPr="00793738">
        <w:rPr>
          <w:rFonts w:ascii="Arial" w:eastAsia="TimesNewRomanPSMT" w:hAnsi="Arial" w:cs="Arial"/>
          <w:sz w:val="24"/>
          <w:szCs w:val="24"/>
        </w:rPr>
        <w:t xml:space="preserve">. (eds), </w:t>
      </w:r>
      <w:r w:rsidRPr="00793738">
        <w:rPr>
          <w:rFonts w:ascii="Arial" w:eastAsia="TimesNewRomanPSMT" w:hAnsi="Arial" w:cs="Arial"/>
          <w:i/>
          <w:iCs/>
          <w:sz w:val="24"/>
          <w:szCs w:val="24"/>
        </w:rPr>
        <w:t>Libro Rojo de Invertebrados. Terrestres de Cuba</w:t>
      </w:r>
      <w:r w:rsidRPr="00793738">
        <w:rPr>
          <w:rFonts w:ascii="Arial" w:eastAsia="TimesNewRomanPSMT" w:hAnsi="Arial" w:cs="Arial"/>
          <w:sz w:val="24"/>
          <w:szCs w:val="24"/>
        </w:rPr>
        <w:t>. Editorial Academia, La Habana, 244 pp.</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eastAsia="Times New Roman" w:hAnsi="Arial" w:cs="Arial"/>
          <w:bCs/>
          <w:sz w:val="24"/>
          <w:szCs w:val="24"/>
          <w:lang w:eastAsia="es-ES"/>
        </w:rPr>
      </w:pPr>
      <w:r w:rsidRPr="00793738">
        <w:rPr>
          <w:rFonts w:ascii="Arial" w:hAnsi="Arial" w:cs="Arial"/>
          <w:sz w:val="24"/>
          <w:szCs w:val="24"/>
        </w:rPr>
        <w:lastRenderedPageBreak/>
        <w:t xml:space="preserve">Montoya, a., Pino, O., Rodríguez, H., Posos, P.  (2013). </w:t>
      </w:r>
      <w:r w:rsidRPr="00793738">
        <w:rPr>
          <w:rFonts w:ascii="Arial" w:eastAsia="Times New Roman" w:hAnsi="Arial" w:cs="Arial"/>
          <w:bCs/>
          <w:sz w:val="24"/>
          <w:szCs w:val="24"/>
          <w:lang w:eastAsia="es-ES"/>
        </w:rPr>
        <w:t xml:space="preserve">Selectividad de </w:t>
      </w:r>
      <w:r w:rsidRPr="00793738">
        <w:rPr>
          <w:rFonts w:ascii="Arial" w:eastAsia="Times New Roman" w:hAnsi="Arial" w:cs="Arial"/>
          <w:bCs/>
          <w:i/>
          <w:iCs/>
          <w:sz w:val="24"/>
          <w:szCs w:val="24"/>
          <w:lang w:eastAsia="es-ES"/>
        </w:rPr>
        <w:t>Amblyseiuslargoensis</w:t>
      </w:r>
      <w:r w:rsidRPr="00793738">
        <w:rPr>
          <w:rFonts w:ascii="Arial" w:eastAsia="Times New Roman" w:hAnsi="Arial" w:cs="Arial"/>
          <w:bCs/>
          <w:sz w:val="24"/>
          <w:szCs w:val="24"/>
          <w:lang w:eastAsia="es-ES"/>
        </w:rPr>
        <w:t>(Muma) a productos fitosanitarios en la producción protegida de pimiento (</w:t>
      </w:r>
      <w:r w:rsidRPr="00793738">
        <w:rPr>
          <w:rFonts w:ascii="Arial" w:eastAsia="Times New Roman" w:hAnsi="Arial" w:cs="Arial"/>
          <w:bCs/>
          <w:i/>
          <w:iCs/>
          <w:sz w:val="24"/>
          <w:szCs w:val="24"/>
          <w:lang w:eastAsia="es-ES"/>
        </w:rPr>
        <w:t>Capsicumannuum</w:t>
      </w:r>
      <w:r w:rsidRPr="00793738">
        <w:rPr>
          <w:rFonts w:ascii="Arial" w:eastAsia="Times New Roman" w:hAnsi="Arial" w:cs="Arial"/>
          <w:bCs/>
          <w:sz w:val="24"/>
          <w:szCs w:val="24"/>
          <w:lang w:eastAsia="es-ES"/>
        </w:rPr>
        <w:t xml:space="preserve">L.). </w:t>
      </w:r>
      <w:r w:rsidRPr="00793738">
        <w:rPr>
          <w:rFonts w:ascii="Arial" w:eastAsia="Times New Roman" w:hAnsi="Arial" w:cs="Arial"/>
          <w:i/>
          <w:iCs/>
          <w:sz w:val="24"/>
          <w:szCs w:val="24"/>
          <w:lang w:eastAsia="es-ES"/>
        </w:rPr>
        <w:t xml:space="preserve">Rev. Protección Veg. </w:t>
      </w:r>
      <w:r w:rsidRPr="00793738">
        <w:rPr>
          <w:rFonts w:ascii="Arial" w:eastAsia="Times New Roman" w:hAnsi="Arial" w:cs="Arial"/>
          <w:iCs/>
          <w:sz w:val="24"/>
          <w:szCs w:val="24"/>
          <w:lang w:eastAsia="es-ES"/>
        </w:rPr>
        <w:t>28(1): 65-69.</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lang w:val="en-US"/>
        </w:rPr>
      </w:pPr>
      <w:r w:rsidRPr="00793738">
        <w:rPr>
          <w:rFonts w:ascii="Arial" w:hAnsi="Arial" w:cs="Arial"/>
          <w:sz w:val="24"/>
          <w:szCs w:val="24"/>
        </w:rPr>
        <w:t xml:space="preserve">Mirabal L. (2003): Los ácaros depredadores como agente de control biológico. </w:t>
      </w:r>
      <w:r w:rsidRPr="00793738">
        <w:rPr>
          <w:rFonts w:ascii="Arial" w:hAnsi="Arial" w:cs="Arial"/>
          <w:i/>
          <w:sz w:val="24"/>
          <w:szCs w:val="24"/>
          <w:lang w:val="en-US"/>
        </w:rPr>
        <w:t>Rev. Protección Veg</w:t>
      </w:r>
      <w:r w:rsidRPr="00793738">
        <w:rPr>
          <w:rFonts w:ascii="Arial" w:hAnsi="Arial" w:cs="Arial"/>
          <w:sz w:val="24"/>
          <w:szCs w:val="24"/>
          <w:lang w:val="en-US"/>
        </w:rPr>
        <w:t>. 18(3):145-152.</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eastAsia="Calibri" w:hAnsi="Arial" w:cs="Arial"/>
          <w:sz w:val="24"/>
          <w:szCs w:val="24"/>
          <w:lang w:val="pt-BR"/>
        </w:rPr>
      </w:pPr>
      <w:r w:rsidRPr="00793738">
        <w:rPr>
          <w:rFonts w:ascii="Arial" w:hAnsi="Arial" w:cs="Arial"/>
          <w:sz w:val="24"/>
          <w:szCs w:val="24"/>
          <w:lang w:val="en-US"/>
        </w:rPr>
        <w:t xml:space="preserve">McMurtry JA, Croft BA. (1997). Life-styles of phytoseiid mites and their roles in biological control. </w:t>
      </w:r>
      <w:r w:rsidRPr="00793738">
        <w:rPr>
          <w:rFonts w:ascii="Arial" w:hAnsi="Arial" w:cs="Arial"/>
          <w:i/>
          <w:sz w:val="24"/>
          <w:szCs w:val="24"/>
          <w:lang w:val="pt-BR"/>
        </w:rPr>
        <w:t>Ann. Rev. Entomol.</w:t>
      </w:r>
      <w:r w:rsidRPr="00793738">
        <w:rPr>
          <w:rFonts w:ascii="Arial" w:hAnsi="Arial" w:cs="Arial"/>
          <w:sz w:val="24"/>
          <w:szCs w:val="24"/>
          <w:lang w:val="pt-BR"/>
        </w:rPr>
        <w:t xml:space="preserve"> 42:291-321</w:t>
      </w:r>
    </w:p>
    <w:p w:rsidR="00793738" w:rsidRPr="00312C9E" w:rsidRDefault="00793738" w:rsidP="002351B3">
      <w:pPr>
        <w:pStyle w:val="Default"/>
        <w:numPr>
          <w:ilvl w:val="0"/>
          <w:numId w:val="18"/>
        </w:numPr>
        <w:tabs>
          <w:tab w:val="left" w:pos="426"/>
        </w:tabs>
        <w:jc w:val="both"/>
        <w:rPr>
          <w:rFonts w:ascii="Arial" w:hAnsi="Arial" w:cs="Arial"/>
          <w:color w:val="auto"/>
        </w:rPr>
      </w:pPr>
      <w:r w:rsidRPr="00A02E13">
        <w:rPr>
          <w:rFonts w:ascii="Arial" w:hAnsi="Arial" w:cs="Arial"/>
          <w:color w:val="auto"/>
          <w:lang w:val="es-ES"/>
        </w:rPr>
        <w:t xml:space="preserve">Ferragut, F., González, J.E. García, F. (1992). Bases para la utilización de los fitoseidos en el control de plagas de cultivos hortícolas. </w:t>
      </w:r>
      <w:r w:rsidRPr="00312C9E">
        <w:rPr>
          <w:rFonts w:ascii="Arial" w:hAnsi="Arial" w:cs="Arial"/>
          <w:i/>
          <w:iCs/>
          <w:color w:val="auto"/>
        </w:rPr>
        <w:t>Phytoma</w:t>
      </w:r>
      <w:r w:rsidRPr="00312C9E">
        <w:rPr>
          <w:rFonts w:ascii="Arial" w:hAnsi="Arial" w:cs="Arial"/>
          <w:color w:val="auto"/>
        </w:rPr>
        <w:t xml:space="preserve">. (40): 61-66. </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lang w:val="en-US"/>
        </w:rPr>
      </w:pPr>
      <w:r w:rsidRPr="00793738">
        <w:rPr>
          <w:rFonts w:ascii="Arial" w:hAnsi="Arial" w:cs="Arial"/>
          <w:sz w:val="24"/>
          <w:szCs w:val="24"/>
          <w:lang w:val="en-US"/>
        </w:rPr>
        <w:t xml:space="preserve">McMurtry, JA. Dynamics and potential impact of generalits´phytoseiids in agroecosystems and possibilities for establishment of exotic species. Exp. Appl. Acarol., 14: 371-382, 1992. </w:t>
      </w:r>
    </w:p>
    <w:p w:rsidR="00793738" w:rsidRPr="00561736"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 xml:space="preserve">Driesche RG, Bellow TS. (1996). </w:t>
      </w:r>
      <w:r w:rsidRPr="00793738">
        <w:rPr>
          <w:rFonts w:ascii="Arial" w:hAnsi="Arial" w:cs="Arial"/>
          <w:bCs/>
          <w:i/>
          <w:sz w:val="24"/>
          <w:szCs w:val="24"/>
          <w:lang w:val="en-US"/>
        </w:rPr>
        <w:t>Biological Control</w:t>
      </w:r>
      <w:r w:rsidRPr="00793738">
        <w:rPr>
          <w:rFonts w:ascii="Arial" w:hAnsi="Arial" w:cs="Arial"/>
          <w:sz w:val="24"/>
          <w:szCs w:val="24"/>
          <w:lang w:val="en-US"/>
        </w:rPr>
        <w:t xml:space="preserve">. Chapman and Hall. </w:t>
      </w:r>
      <w:r w:rsidRPr="00561736">
        <w:rPr>
          <w:rFonts w:ascii="Arial" w:hAnsi="Arial" w:cs="Arial"/>
          <w:sz w:val="24"/>
          <w:szCs w:val="24"/>
          <w:lang w:val="en-US"/>
        </w:rPr>
        <w:t xml:space="preserve">New York. 423 pp. </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bCs/>
          <w:sz w:val="24"/>
          <w:szCs w:val="24"/>
          <w:lang w:val="en-US"/>
        </w:rPr>
      </w:pPr>
      <w:r w:rsidRPr="00793738">
        <w:rPr>
          <w:rFonts w:ascii="Arial" w:hAnsi="Arial" w:cs="Arial"/>
          <w:sz w:val="24"/>
          <w:szCs w:val="24"/>
        </w:rPr>
        <w:t>Ramos M, Rodríguez H.</w:t>
      </w:r>
      <w:r w:rsidRPr="00793738">
        <w:rPr>
          <w:rFonts w:ascii="Arial" w:hAnsi="Arial" w:cs="Arial"/>
          <w:bCs/>
          <w:sz w:val="24"/>
          <w:szCs w:val="24"/>
        </w:rPr>
        <w:t xml:space="preserve"> (2006). Riqueza de los fitoseidos (Acari: Mesostigata) en agroecosistemas en Cuba. </w:t>
      </w:r>
      <w:r w:rsidRPr="00793738">
        <w:rPr>
          <w:rFonts w:ascii="Arial" w:hAnsi="Arial" w:cs="Arial"/>
          <w:bCs/>
          <w:i/>
          <w:sz w:val="24"/>
          <w:szCs w:val="24"/>
          <w:lang w:val="en-US"/>
        </w:rPr>
        <w:t>Fitosanidad</w:t>
      </w:r>
      <w:r w:rsidRPr="00793738">
        <w:rPr>
          <w:rFonts w:ascii="Arial" w:hAnsi="Arial" w:cs="Arial"/>
          <w:bCs/>
          <w:sz w:val="24"/>
          <w:szCs w:val="24"/>
          <w:lang w:val="en-US"/>
        </w:rPr>
        <w:t>. 10(3): 203-207.</w:t>
      </w:r>
    </w:p>
    <w:p w:rsidR="00793738" w:rsidRPr="00793738" w:rsidRDefault="00793738" w:rsidP="002351B3">
      <w:pPr>
        <w:pStyle w:val="Prrafodelista"/>
        <w:numPr>
          <w:ilvl w:val="0"/>
          <w:numId w:val="18"/>
        </w:numPr>
        <w:tabs>
          <w:tab w:val="left" w:pos="426"/>
        </w:tabs>
        <w:spacing w:after="0" w:line="240" w:lineRule="auto"/>
        <w:ind w:right="18"/>
        <w:jc w:val="both"/>
        <w:rPr>
          <w:rFonts w:ascii="Arial" w:eastAsia="Calibri" w:hAnsi="Arial" w:cs="Arial"/>
          <w:sz w:val="24"/>
          <w:szCs w:val="24"/>
        </w:rPr>
      </w:pPr>
      <w:r w:rsidRPr="00793738">
        <w:rPr>
          <w:rFonts w:ascii="Arial" w:hAnsi="Arial" w:cs="Arial"/>
          <w:sz w:val="24"/>
          <w:szCs w:val="24"/>
          <w:lang w:val="en-US"/>
        </w:rPr>
        <w:t xml:space="preserve">Dicke M, Schutte C, Dijkman H. (2000). Change in behavioral response to herbivore population. </w:t>
      </w:r>
      <w:r w:rsidRPr="00793738">
        <w:rPr>
          <w:rFonts w:ascii="Arial" w:hAnsi="Arial" w:cs="Arial"/>
          <w:i/>
          <w:iCs/>
          <w:sz w:val="24"/>
          <w:szCs w:val="24"/>
        </w:rPr>
        <w:t>J. Chem. Ecol</w:t>
      </w:r>
      <w:r w:rsidRPr="00793738">
        <w:rPr>
          <w:rFonts w:ascii="Arial" w:hAnsi="Arial" w:cs="Arial"/>
          <w:sz w:val="24"/>
          <w:szCs w:val="24"/>
        </w:rPr>
        <w:t xml:space="preserve">. 26(6):1497-1514. </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eastAsia="es-ES"/>
        </w:rPr>
      </w:pPr>
      <w:r w:rsidRPr="00793738">
        <w:rPr>
          <w:rFonts w:ascii="Arial" w:hAnsi="Arial" w:cs="Arial"/>
          <w:sz w:val="24"/>
          <w:szCs w:val="24"/>
          <w:lang w:eastAsia="es-ES"/>
        </w:rPr>
        <w:t xml:space="preserve">Almaguel L, de la Torre PE. (2013): </w:t>
      </w:r>
      <w:r w:rsidRPr="00793738">
        <w:rPr>
          <w:rFonts w:ascii="Arial" w:hAnsi="Arial" w:cs="Arial"/>
          <w:i/>
          <w:iCs/>
          <w:sz w:val="24"/>
          <w:szCs w:val="24"/>
          <w:lang w:eastAsia="es-ES"/>
        </w:rPr>
        <w:t>Manual de Acarología Agrícola</w:t>
      </w:r>
      <w:r w:rsidRPr="00793738">
        <w:rPr>
          <w:rFonts w:ascii="Arial" w:hAnsi="Arial" w:cs="Arial"/>
          <w:sz w:val="24"/>
          <w:szCs w:val="24"/>
          <w:lang w:eastAsia="es-ES"/>
        </w:rPr>
        <w:t xml:space="preserve">. </w:t>
      </w:r>
      <w:r w:rsidRPr="00561736">
        <w:rPr>
          <w:rFonts w:ascii="Arial" w:hAnsi="Arial" w:cs="Arial"/>
          <w:sz w:val="24"/>
          <w:szCs w:val="24"/>
          <w:lang w:eastAsia="es-ES"/>
        </w:rPr>
        <w:t xml:space="preserve">Editorial INISAV. </w:t>
      </w:r>
      <w:r w:rsidRPr="00793738">
        <w:rPr>
          <w:rFonts w:ascii="Arial" w:hAnsi="Arial" w:cs="Arial"/>
          <w:sz w:val="24"/>
          <w:szCs w:val="24"/>
          <w:lang w:val="en-US" w:eastAsia="es-ES"/>
        </w:rPr>
        <w:t xml:space="preserve">240 pp. </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793738">
        <w:rPr>
          <w:rFonts w:ascii="Arial" w:hAnsi="Arial" w:cs="Arial"/>
          <w:sz w:val="24"/>
          <w:szCs w:val="24"/>
          <w:lang w:val="en-US"/>
        </w:rPr>
        <w:t xml:space="preserve">Popov NA. &amp;Khudyakova OA. 1989. Development of </w:t>
      </w:r>
      <w:r w:rsidRPr="00793738">
        <w:rPr>
          <w:rFonts w:ascii="Arial" w:hAnsi="Arial" w:cs="Arial"/>
          <w:i/>
          <w:iCs/>
          <w:sz w:val="24"/>
          <w:szCs w:val="24"/>
          <w:lang w:val="en-US"/>
        </w:rPr>
        <w:t>Phytoseiulus persimilis</w:t>
      </w:r>
      <w:r w:rsidRPr="00793738">
        <w:rPr>
          <w:rFonts w:ascii="Arial" w:hAnsi="Arial" w:cs="Arial"/>
          <w:sz w:val="24"/>
          <w:szCs w:val="24"/>
          <w:lang w:val="en-US"/>
        </w:rPr>
        <w:t xml:space="preserve">(Acarina: Phytoseiidae) fed on </w:t>
      </w:r>
      <w:r w:rsidRPr="00793738">
        <w:rPr>
          <w:rFonts w:ascii="Arial" w:hAnsi="Arial" w:cs="Arial"/>
          <w:i/>
          <w:iCs/>
          <w:sz w:val="24"/>
          <w:szCs w:val="24"/>
          <w:lang w:val="en-US"/>
        </w:rPr>
        <w:t>Tetranychusurticae</w:t>
      </w:r>
      <w:r w:rsidRPr="00793738">
        <w:rPr>
          <w:rFonts w:ascii="Arial" w:hAnsi="Arial" w:cs="Arial"/>
          <w:sz w:val="24"/>
          <w:szCs w:val="24"/>
          <w:lang w:val="en-US"/>
        </w:rPr>
        <w:t xml:space="preserve">(Acarina: Tetranychidae) on various food plants. </w:t>
      </w:r>
      <w:r w:rsidRPr="00793738">
        <w:rPr>
          <w:rFonts w:ascii="Arial" w:hAnsi="Arial" w:cs="Arial"/>
          <w:i/>
          <w:iCs/>
          <w:sz w:val="24"/>
          <w:szCs w:val="24"/>
        </w:rPr>
        <w:t>Acta. Entomol. Fenn</w:t>
      </w:r>
      <w:r w:rsidRPr="00793738">
        <w:rPr>
          <w:rFonts w:ascii="Arial" w:hAnsi="Arial" w:cs="Arial"/>
          <w:sz w:val="24"/>
          <w:szCs w:val="24"/>
        </w:rPr>
        <w:t>. 53: 43-46.</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561736">
        <w:rPr>
          <w:rFonts w:ascii="Arial" w:hAnsi="Arial" w:cs="Arial"/>
          <w:sz w:val="24"/>
          <w:szCs w:val="24"/>
          <w:lang w:val="en-US"/>
        </w:rPr>
        <w:t xml:space="preserve">Schulten GGM. 1985. Pseudo-arrhenotoky. En: W. Helle&amp; M.W. Sabelis (eds.). </w:t>
      </w:r>
      <w:r w:rsidRPr="00793738">
        <w:rPr>
          <w:rFonts w:ascii="Arial" w:hAnsi="Arial" w:cs="Arial"/>
          <w:sz w:val="24"/>
          <w:szCs w:val="24"/>
          <w:lang w:val="en-US"/>
        </w:rPr>
        <w:t>World Crop Pests. Spider mites. Their biology, natural enemies and control. Vol. 1B. Elsevier. The Netherlands. pp. 67-71.</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561736">
        <w:rPr>
          <w:rFonts w:ascii="Arial" w:hAnsi="Arial" w:cs="Arial"/>
          <w:sz w:val="24"/>
          <w:szCs w:val="24"/>
        </w:rPr>
        <w:t xml:space="preserve">Baillod M, Schimd A, Guignard E, AntoninPh, Caccia R. (1982). Luttebiologiquecontrel’acarien rouge en viticulture. </w:t>
      </w:r>
      <w:r w:rsidRPr="00793738">
        <w:rPr>
          <w:rFonts w:ascii="Arial" w:hAnsi="Arial" w:cs="Arial"/>
          <w:sz w:val="24"/>
          <w:szCs w:val="24"/>
          <w:lang w:val="en-US"/>
        </w:rPr>
        <w:t xml:space="preserve">II. Equilibresnaturels, dynamique des populations et experiènces de lâchers de typhlodromes. </w:t>
      </w:r>
      <w:r w:rsidRPr="00793738">
        <w:rPr>
          <w:rFonts w:ascii="Arial" w:hAnsi="Arial" w:cs="Arial"/>
          <w:i/>
          <w:iCs/>
          <w:sz w:val="24"/>
          <w:szCs w:val="24"/>
          <w:lang w:val="en-US"/>
        </w:rPr>
        <w:t>Revue suisseVitic. Arboric. Hortic</w:t>
      </w:r>
      <w:r w:rsidRPr="00793738">
        <w:rPr>
          <w:rFonts w:ascii="Arial" w:hAnsi="Arial" w:cs="Arial"/>
          <w:sz w:val="24"/>
          <w:szCs w:val="24"/>
          <w:lang w:val="en-US"/>
        </w:rPr>
        <w:t>. 14(6): 345-352.</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 xml:space="preserve">Messelink GJ, R. van Maanen SEF. Van Steenpaal A. Janssen (2006): Biological control of thrips and whiteflies by a shared predator: Two pests are better than one. </w:t>
      </w:r>
      <w:r w:rsidRPr="00793738">
        <w:rPr>
          <w:rFonts w:ascii="Arial" w:hAnsi="Arial" w:cs="Arial"/>
          <w:bCs/>
          <w:sz w:val="24"/>
          <w:szCs w:val="24"/>
          <w:lang w:val="en-US"/>
        </w:rPr>
        <w:t>Biological Control</w:t>
      </w:r>
      <w:r w:rsidRPr="00793738">
        <w:rPr>
          <w:rFonts w:ascii="Arial" w:hAnsi="Arial" w:cs="Arial"/>
          <w:i/>
          <w:iCs/>
          <w:sz w:val="24"/>
          <w:szCs w:val="24"/>
          <w:lang w:val="en-US"/>
        </w:rPr>
        <w:t xml:space="preserve">. </w:t>
      </w:r>
      <w:r w:rsidRPr="00793738">
        <w:rPr>
          <w:rFonts w:ascii="Arial" w:hAnsi="Arial" w:cs="Arial"/>
          <w:sz w:val="24"/>
          <w:szCs w:val="24"/>
          <w:lang w:val="en-US"/>
        </w:rPr>
        <w:t xml:space="preserve">44: 372-379. </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561736">
        <w:rPr>
          <w:rFonts w:ascii="Arial" w:hAnsi="Arial" w:cs="Arial"/>
          <w:sz w:val="24"/>
          <w:szCs w:val="24"/>
        </w:rPr>
        <w:t xml:space="preserve">Sabelis MW, Janssen AI. Lesna NS. </w:t>
      </w:r>
      <w:r w:rsidRPr="00793738">
        <w:rPr>
          <w:rFonts w:ascii="Arial" w:hAnsi="Arial" w:cs="Arial"/>
          <w:sz w:val="24"/>
          <w:szCs w:val="24"/>
          <w:lang w:val="en-US"/>
        </w:rPr>
        <w:t xml:space="preserve">Aratchige M. Nomikou PCJ, van Rijn (2008): Developments in the use of predatory mites for biological pest control. </w:t>
      </w:r>
      <w:r w:rsidRPr="00793738">
        <w:rPr>
          <w:rFonts w:ascii="Arial" w:hAnsi="Arial" w:cs="Arial"/>
          <w:bCs/>
          <w:sz w:val="24"/>
          <w:szCs w:val="24"/>
        </w:rPr>
        <w:t>IOBC/wprs Bull</w:t>
      </w:r>
      <w:r w:rsidRPr="00793738">
        <w:rPr>
          <w:rFonts w:ascii="Arial" w:hAnsi="Arial" w:cs="Arial"/>
          <w:i/>
          <w:iCs/>
          <w:sz w:val="24"/>
          <w:szCs w:val="24"/>
        </w:rPr>
        <w:t xml:space="preserve">. </w:t>
      </w:r>
      <w:r w:rsidRPr="00793738">
        <w:rPr>
          <w:rFonts w:ascii="Arial" w:hAnsi="Arial" w:cs="Arial"/>
          <w:sz w:val="24"/>
          <w:szCs w:val="24"/>
        </w:rPr>
        <w:t xml:space="preserve">32:187-199. </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793738">
        <w:rPr>
          <w:rFonts w:ascii="Arial" w:hAnsi="Arial" w:cs="Arial"/>
          <w:sz w:val="24"/>
          <w:szCs w:val="24"/>
        </w:rPr>
        <w:t xml:space="preserve">Urbaneja AJL;  Ripollés R; Abad J; Calvo P; Vanaclocha D; Tortosa JA; Jacas P; Castañera (2005): Importancia de los artrópodos depredadores de insectos y ácaros en España. </w:t>
      </w:r>
      <w:r w:rsidRPr="00793738">
        <w:rPr>
          <w:rFonts w:ascii="Arial" w:hAnsi="Arial" w:cs="Arial"/>
          <w:bCs/>
          <w:sz w:val="24"/>
          <w:szCs w:val="24"/>
        </w:rPr>
        <w:t>Bol. San. Veg. Plagas</w:t>
      </w:r>
      <w:r w:rsidRPr="00793738">
        <w:rPr>
          <w:rFonts w:ascii="Arial" w:hAnsi="Arial" w:cs="Arial"/>
          <w:i/>
          <w:iCs/>
          <w:sz w:val="24"/>
          <w:szCs w:val="24"/>
        </w:rPr>
        <w:t xml:space="preserve">. </w:t>
      </w:r>
      <w:r w:rsidRPr="00793738">
        <w:rPr>
          <w:rFonts w:ascii="Arial" w:hAnsi="Arial" w:cs="Arial"/>
          <w:sz w:val="24"/>
          <w:szCs w:val="24"/>
        </w:rPr>
        <w:t>31:209-223.</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 xml:space="preserve">Karut K; Kasap L; Kasak C; Yildiz S. Biological control of </w:t>
      </w:r>
      <w:r w:rsidRPr="00793738">
        <w:rPr>
          <w:rFonts w:ascii="Arial" w:hAnsi="Arial" w:cs="Arial"/>
          <w:i/>
          <w:iCs/>
          <w:sz w:val="24"/>
          <w:szCs w:val="24"/>
          <w:lang w:val="en-US"/>
        </w:rPr>
        <w:t xml:space="preserve">Polyphagotarsonemus latus </w:t>
      </w:r>
      <w:r w:rsidRPr="00793738">
        <w:rPr>
          <w:rFonts w:ascii="Arial" w:hAnsi="Arial" w:cs="Arial"/>
          <w:sz w:val="24"/>
          <w:szCs w:val="24"/>
          <w:lang w:val="en-US"/>
        </w:rPr>
        <w:t xml:space="preserve">(Banks) (Acari: Tarsonemidae) using the predatory mite, </w:t>
      </w:r>
      <w:r w:rsidRPr="00793738">
        <w:rPr>
          <w:rFonts w:ascii="Arial" w:hAnsi="Arial" w:cs="Arial"/>
          <w:i/>
          <w:iCs/>
          <w:sz w:val="24"/>
          <w:szCs w:val="24"/>
          <w:lang w:val="en-US"/>
        </w:rPr>
        <w:t>Typhlodromusathiasae</w:t>
      </w:r>
      <w:r w:rsidRPr="00793738">
        <w:rPr>
          <w:rFonts w:ascii="Arial" w:hAnsi="Arial" w:cs="Arial"/>
          <w:sz w:val="24"/>
          <w:szCs w:val="24"/>
          <w:lang w:val="en-US"/>
        </w:rPr>
        <w:t xml:space="preserve">(Acarina: Phytoseiidae) in greenhouse. En: </w:t>
      </w:r>
      <w:r w:rsidRPr="00793738">
        <w:rPr>
          <w:rFonts w:ascii="Arial" w:hAnsi="Arial" w:cs="Arial"/>
          <w:i/>
          <w:iCs/>
          <w:sz w:val="24"/>
          <w:szCs w:val="24"/>
          <w:lang w:val="en-US"/>
        </w:rPr>
        <w:t>The 6th European Congress of Netomology</w:t>
      </w:r>
      <w:r w:rsidRPr="00793738">
        <w:rPr>
          <w:rFonts w:ascii="Arial" w:hAnsi="Arial" w:cs="Arial"/>
          <w:sz w:val="24"/>
          <w:szCs w:val="24"/>
          <w:lang w:val="en-US"/>
        </w:rPr>
        <w:t xml:space="preserve">. Ceske Budejovice (Czech Republic). 23-29 Aug.; (1998). </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Style w:val="A5"/>
          <w:rFonts w:ascii="Arial" w:hAnsi="Arial" w:cs="Arial"/>
          <w:color w:val="auto"/>
          <w:sz w:val="24"/>
          <w:szCs w:val="24"/>
        </w:rPr>
      </w:pPr>
      <w:r w:rsidRPr="00793738">
        <w:rPr>
          <w:rFonts w:ascii="Arial" w:hAnsi="Arial" w:cs="Arial"/>
          <w:sz w:val="24"/>
          <w:szCs w:val="24"/>
        </w:rPr>
        <w:lastRenderedPageBreak/>
        <w:t xml:space="preserve">Peña JE; Osborne L; Duncan RE. </w:t>
      </w:r>
      <w:r w:rsidRPr="00793738">
        <w:rPr>
          <w:rFonts w:ascii="Arial" w:hAnsi="Arial" w:cs="Arial"/>
          <w:sz w:val="24"/>
          <w:szCs w:val="24"/>
          <w:lang w:val="en-US"/>
        </w:rPr>
        <w:t xml:space="preserve">Potential of fungi as biological agents of </w:t>
      </w:r>
      <w:r w:rsidRPr="00793738">
        <w:rPr>
          <w:rFonts w:ascii="Arial" w:hAnsi="Arial" w:cs="Arial"/>
          <w:i/>
          <w:iCs/>
          <w:sz w:val="24"/>
          <w:szCs w:val="24"/>
          <w:lang w:val="en-US"/>
        </w:rPr>
        <w:t xml:space="preserve">Polyphagotarsonemus latus </w:t>
      </w:r>
      <w:r w:rsidRPr="00793738">
        <w:rPr>
          <w:rFonts w:ascii="Arial" w:hAnsi="Arial" w:cs="Arial"/>
          <w:sz w:val="24"/>
          <w:szCs w:val="24"/>
          <w:lang w:val="en-US"/>
        </w:rPr>
        <w:t xml:space="preserve">(Acari: Tarsonemidae). </w:t>
      </w:r>
      <w:r w:rsidRPr="00793738">
        <w:rPr>
          <w:rFonts w:ascii="Arial" w:hAnsi="Arial" w:cs="Arial"/>
          <w:i/>
          <w:iCs/>
          <w:sz w:val="24"/>
          <w:szCs w:val="24"/>
        </w:rPr>
        <w:t xml:space="preserve">Entomophaga. </w:t>
      </w:r>
      <w:r w:rsidRPr="00793738">
        <w:rPr>
          <w:rFonts w:ascii="Arial" w:hAnsi="Arial" w:cs="Arial"/>
          <w:sz w:val="24"/>
          <w:szCs w:val="24"/>
        </w:rPr>
        <w:t xml:space="preserve">41(1):27-36, 1996. </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color w:val="000000"/>
          <w:sz w:val="24"/>
          <w:szCs w:val="24"/>
        </w:rPr>
      </w:pPr>
      <w:r w:rsidRPr="00793738">
        <w:rPr>
          <w:rStyle w:val="A5"/>
          <w:rFonts w:ascii="Arial" w:hAnsi="Arial" w:cs="Arial"/>
          <w:sz w:val="24"/>
          <w:szCs w:val="24"/>
        </w:rPr>
        <w:t>Pérez-Moreno I. (1997). Bioecología de los Ácaros en la Vid. Madrid, España: Ministerio de Agricultura, Pesca y Alimentación.</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rPr>
        <w:t xml:space="preserve">Ferragut F, García-Marí F, Costa-Comelles J, Laborda R. 1987. </w:t>
      </w:r>
      <w:r w:rsidRPr="00793738">
        <w:rPr>
          <w:rFonts w:ascii="Arial" w:hAnsi="Arial" w:cs="Arial"/>
          <w:sz w:val="24"/>
          <w:szCs w:val="24"/>
          <w:lang w:val="en-US"/>
        </w:rPr>
        <w:t xml:space="preserve">Influence of food and the temperature on development and oviposition of </w:t>
      </w:r>
      <w:r w:rsidRPr="00793738">
        <w:rPr>
          <w:rFonts w:ascii="Arial" w:hAnsi="Arial" w:cs="Arial"/>
          <w:i/>
          <w:iCs/>
          <w:sz w:val="24"/>
          <w:szCs w:val="24"/>
          <w:lang w:val="en-US"/>
        </w:rPr>
        <w:t>Euseiusstipulatus</w:t>
      </w:r>
      <w:r w:rsidRPr="00793738">
        <w:rPr>
          <w:rFonts w:ascii="Arial" w:hAnsi="Arial" w:cs="Arial"/>
          <w:sz w:val="24"/>
          <w:szCs w:val="24"/>
          <w:lang w:val="en-US"/>
        </w:rPr>
        <w:t xml:space="preserve">and </w:t>
      </w:r>
      <w:r w:rsidRPr="00793738">
        <w:rPr>
          <w:rFonts w:ascii="Arial" w:hAnsi="Arial" w:cs="Arial"/>
          <w:i/>
          <w:iCs/>
          <w:sz w:val="24"/>
          <w:szCs w:val="24"/>
          <w:lang w:val="en-US"/>
        </w:rPr>
        <w:t>Typhlodromusphialatus</w:t>
      </w:r>
      <w:r w:rsidRPr="00793738">
        <w:rPr>
          <w:rFonts w:ascii="Arial" w:hAnsi="Arial" w:cs="Arial"/>
          <w:sz w:val="24"/>
          <w:szCs w:val="24"/>
          <w:lang w:val="en-US"/>
        </w:rPr>
        <w:t xml:space="preserve">(Acari: Phytoseiidae). </w:t>
      </w:r>
      <w:r w:rsidRPr="00793738">
        <w:rPr>
          <w:rFonts w:ascii="Arial" w:hAnsi="Arial" w:cs="Arial"/>
          <w:i/>
          <w:iCs/>
          <w:sz w:val="24"/>
          <w:szCs w:val="24"/>
          <w:lang w:val="en-US"/>
        </w:rPr>
        <w:t>Exp. Appl. Acarol</w:t>
      </w:r>
      <w:r w:rsidRPr="00793738">
        <w:rPr>
          <w:rFonts w:ascii="Arial" w:hAnsi="Arial" w:cs="Arial"/>
          <w:sz w:val="24"/>
          <w:szCs w:val="24"/>
          <w:lang w:val="en-US"/>
        </w:rPr>
        <w:t>. 3: 317-329.</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Addison JA, Hardman JM, Walde SJ. Pollen availability for predaceous mites on apple: spatial and temporal heterogeneity</w:t>
      </w:r>
      <w:r w:rsidRPr="00793738">
        <w:rPr>
          <w:rFonts w:ascii="Arial" w:hAnsi="Arial" w:cs="Arial"/>
          <w:i/>
          <w:sz w:val="24"/>
          <w:szCs w:val="24"/>
          <w:lang w:val="en-US"/>
        </w:rPr>
        <w:t xml:space="preserve">. </w:t>
      </w:r>
      <w:r w:rsidRPr="00793738">
        <w:rPr>
          <w:rFonts w:ascii="Arial" w:hAnsi="Arial" w:cs="Arial"/>
          <w:i/>
          <w:iCs/>
          <w:sz w:val="24"/>
          <w:szCs w:val="24"/>
          <w:lang w:val="en-US"/>
        </w:rPr>
        <w:t>Exp. Appl. Acarol</w:t>
      </w:r>
      <w:r w:rsidRPr="00793738">
        <w:rPr>
          <w:rFonts w:ascii="Arial" w:hAnsi="Arial" w:cs="Arial"/>
          <w:sz w:val="24"/>
          <w:szCs w:val="24"/>
          <w:lang w:val="en-US"/>
        </w:rPr>
        <w:t>. 2000; 24: 1-18.</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lang w:val="en-US"/>
        </w:rPr>
        <w:t xml:space="preserve">Villanueva RT; Hilders CCC. 2004. Phytoseiidae increase with pollen deposition on citrus leaves. </w:t>
      </w:r>
      <w:r w:rsidRPr="00793738">
        <w:rPr>
          <w:rFonts w:ascii="Arial" w:hAnsi="Arial" w:cs="Arial"/>
          <w:i/>
          <w:iCs/>
          <w:sz w:val="24"/>
          <w:szCs w:val="24"/>
        </w:rPr>
        <w:t>Florida Entomologist</w:t>
      </w:r>
      <w:r w:rsidRPr="00793738">
        <w:rPr>
          <w:rFonts w:ascii="Arial" w:hAnsi="Arial" w:cs="Arial"/>
          <w:sz w:val="24"/>
          <w:szCs w:val="24"/>
        </w:rPr>
        <w:t>87(4): 609-611</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bCs/>
          <w:sz w:val="24"/>
          <w:szCs w:val="24"/>
        </w:rPr>
        <w:t>F</w:t>
      </w:r>
      <w:r w:rsidRPr="00793738">
        <w:rPr>
          <w:rFonts w:ascii="Arial" w:hAnsi="Arial" w:cs="Arial"/>
          <w:sz w:val="24"/>
          <w:szCs w:val="24"/>
        </w:rPr>
        <w:t>AO. 2000a. Manejo del suelo en pequeñas fincas. Estrategias y métodos de introducción, tecnologías y equipos. Boletín de suelos de la FAO 77. Roma (Italia).</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Herrera F. 2008. Manual de agricultura orgánica “Verdes gotas de vida”. Una alternativa sostenible para Galápagos. Fundación para el desarrollo alternativo responsable para Galápagos. Galápagos (Ecuador).</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Altieri M y Nicholls C.; 2000. Agroecología Teoría y práctica para una agricultura sostenible. Programa de las Naciones Unidas para el Medio Ambiente. México D.F (México). Primera edición.</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 xml:space="preserve">FAO. 2015. Infografías. Suelos sanos para una vida sana. 2015. Año internacional de los suelos. </w:t>
      </w:r>
      <w:hyperlink r:id="rId16" w:history="1">
        <w:r w:rsidRPr="00793738">
          <w:rPr>
            <w:rStyle w:val="Hipervnculo"/>
            <w:rFonts w:ascii="Arial" w:hAnsi="Arial" w:cs="Arial"/>
            <w:sz w:val="24"/>
            <w:szCs w:val="24"/>
          </w:rPr>
          <w:t>http://www.fao.org/soils-2015/resources/infographics/es/</w:t>
        </w:r>
      </w:hyperlink>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Kolmans E y Vásquez D. 1999. Manual de Agricultura Ecológica. Una introducción a los principios básicos y su aplicación. Grupo de Agricultura Orgánica de ACTAF. La Habana (Cuba).</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Altieri M. El estado del arte de la agroecología: Revisando avances y desafíos. En: Altieri, M. (Ed.), Vertientes del pensamiento agroecológico: fundamentos y aplicaciones. SOCLA, Medellín (Colombia) 2009.</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FAO. 1998. Conservación de los recursos naturales para una agricultura sostenible. Integración cultivo–ganadería. Tomado de: http://www.fao.org/ag/ca/training_materials/cd27-spanish/li/livestock.pdf</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Liebman M. Sistemas de policultivos. En: Altieri, M. 1999. Agroecología. Bases científicas para una agricultura sostenible. Editorial Nordan–Comunidad. Montevideo (Uruguay); (1999).</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Nicholls C. 2009 Bases agroecológicas para diseñar e implementar una estrategia de manejo de hábitat para control biológico de plagas. En: Altieri, M. (Ed.).</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CIAT. 2003. Barreras vivas. Proyecto Comunidades y Cuencas. Guillermo Giraldo Ávila. Cali, Valle del Cauca (Colombia).</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FAO. 2000b. Manual de prácticas integradas de manejo y conservación de suelos. Boletín de Tierras y Aguas de la FAO 8. Roma (Italia).</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rPr>
      </w:pPr>
      <w:r w:rsidRPr="00793738">
        <w:rPr>
          <w:rFonts w:ascii="Arial" w:hAnsi="Arial" w:cs="Arial"/>
          <w:sz w:val="24"/>
          <w:szCs w:val="24"/>
        </w:rPr>
        <w:t xml:space="preserve">FAO. 2015d. Principios básicos de la agricultura de conservación. Tomado de: </w:t>
      </w:r>
      <w:hyperlink r:id="rId17" w:history="1">
        <w:r w:rsidRPr="00793738">
          <w:rPr>
            <w:rStyle w:val="Hipervnculo"/>
            <w:rFonts w:ascii="Arial" w:hAnsi="Arial" w:cs="Arial"/>
            <w:sz w:val="24"/>
            <w:szCs w:val="24"/>
          </w:rPr>
          <w:t>http://www.fao</w:t>
        </w:r>
      </w:hyperlink>
      <w:r w:rsidRPr="00793738">
        <w:rPr>
          <w:rFonts w:ascii="Arial" w:hAnsi="Arial" w:cs="Arial"/>
          <w:sz w:val="24"/>
          <w:szCs w:val="24"/>
        </w:rPr>
        <w:t>. org/ag/ca/es/1b.html#1a-1</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lang w:val="en-US"/>
        </w:rPr>
      </w:pPr>
      <w:r w:rsidRPr="00793738">
        <w:rPr>
          <w:rFonts w:ascii="Arial" w:hAnsi="Arial" w:cs="Arial"/>
          <w:sz w:val="24"/>
          <w:szCs w:val="24"/>
        </w:rPr>
        <w:lastRenderedPageBreak/>
        <w:t xml:space="preserve">INTA-FAO. 2005. Manual de agricultura de conservación para Nicaragua. Adaptado del manual de la FAO sobre conservación de los recursos naturales para una agricultura sostenible – FAO 2005. </w:t>
      </w:r>
      <w:r w:rsidRPr="00793738">
        <w:rPr>
          <w:rFonts w:ascii="Arial" w:hAnsi="Arial" w:cs="Arial"/>
          <w:sz w:val="24"/>
          <w:szCs w:val="24"/>
          <w:lang w:val="en-US"/>
        </w:rPr>
        <w:t>Managua (Nicaragua).</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Oerke EC. (2006). Crop losses to pests. J. Agric. Sci. 144, 31–43. doi: 10.1017/S0021859605005708</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 xml:space="preserve">Crowder DW, Jabbour R. (2014). Relationships between biodiversity and biological control in agroecosystems: Current status and future challenges. </w:t>
      </w:r>
      <w:r w:rsidRPr="00793738">
        <w:rPr>
          <w:rFonts w:ascii="Arial" w:hAnsi="Arial" w:cs="Arial"/>
          <w:i/>
          <w:sz w:val="24"/>
          <w:szCs w:val="24"/>
          <w:lang w:val="en-US"/>
        </w:rPr>
        <w:t>Biol. Contr.</w:t>
      </w:r>
      <w:r w:rsidRPr="00793738">
        <w:rPr>
          <w:rFonts w:ascii="Arial" w:hAnsi="Arial" w:cs="Arial"/>
          <w:sz w:val="24"/>
          <w:szCs w:val="24"/>
          <w:lang w:val="en-US"/>
        </w:rPr>
        <w:t xml:space="preserve"> 75:8-17. doi:10.1016/j.biocontrol.2013.10.010</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 xml:space="preserve">Veres A; Petit S; Conord C; Lavigne C. (2013). Does landscape composition affect pest abundance and their control by natural enemies? A review. </w:t>
      </w:r>
      <w:r w:rsidRPr="00793738">
        <w:rPr>
          <w:rFonts w:ascii="Arial" w:hAnsi="Arial" w:cs="Arial"/>
          <w:i/>
          <w:sz w:val="24"/>
          <w:szCs w:val="24"/>
          <w:lang w:val="en-US"/>
        </w:rPr>
        <w:t>Agr. Ecosys. Environ</w:t>
      </w:r>
      <w:r w:rsidRPr="00793738">
        <w:rPr>
          <w:rFonts w:ascii="Arial" w:hAnsi="Arial" w:cs="Arial"/>
          <w:sz w:val="24"/>
          <w:szCs w:val="24"/>
          <w:lang w:val="en-US"/>
        </w:rPr>
        <w:t>. 166: 110-117. doi:10.1016/j.agee.2011.05.027</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Philpott SM. (2013). Biodiversity and Pest Control Services.  In: S. Levin, editor. Encyclopedia of Biodiversity 2nd edition. 1: 373-385, Waltham, MA, Academic Press. doi:10.1016/B978-0-12-384719-5.00344-0</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rPr>
      </w:pPr>
      <w:r w:rsidRPr="00793738">
        <w:rPr>
          <w:rFonts w:ascii="Arial" w:hAnsi="Arial" w:cs="Arial"/>
          <w:sz w:val="24"/>
          <w:szCs w:val="24"/>
          <w:lang w:val="en-US"/>
        </w:rPr>
        <w:t xml:space="preserve">Kreiter S, Tixier MS, Barbar Z. (2005). The importance of the vegetation surrounding the agrosystems on predatory mites associated to vineyards. </w:t>
      </w:r>
      <w:r w:rsidRPr="00793738">
        <w:rPr>
          <w:rFonts w:ascii="Arial" w:hAnsi="Arial" w:cs="Arial"/>
          <w:sz w:val="24"/>
          <w:szCs w:val="24"/>
        </w:rPr>
        <w:t>In Ragusa S, Tsolakis H. (eds). La difesadella vite dagliartropodidannosi. Marsala: Universitàdeglistudi di Palermo: 97-147.</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561736">
        <w:rPr>
          <w:rFonts w:ascii="Arial" w:hAnsi="Arial" w:cs="Arial"/>
          <w:sz w:val="24"/>
          <w:szCs w:val="24"/>
          <w:lang w:val="en-US"/>
        </w:rPr>
        <w:t xml:space="preserve">Tixier MS, Kreiter S, Barrau JN, Cheval B, Lecareux C. (2005). </w:t>
      </w:r>
      <w:r w:rsidRPr="00793738">
        <w:rPr>
          <w:rFonts w:ascii="Arial" w:hAnsi="Arial" w:cs="Arial"/>
          <w:sz w:val="24"/>
          <w:szCs w:val="24"/>
          <w:lang w:val="en-US"/>
        </w:rPr>
        <w:t xml:space="preserve">Phytoseiid communities in southern France on vine cultivars and uncultivated surrounding areas. </w:t>
      </w:r>
      <w:r w:rsidRPr="00793738">
        <w:rPr>
          <w:rFonts w:ascii="Arial" w:hAnsi="Arial" w:cs="Arial"/>
          <w:i/>
          <w:sz w:val="24"/>
          <w:szCs w:val="24"/>
          <w:lang w:val="en-US"/>
        </w:rPr>
        <w:t>Acarologia</w:t>
      </w:r>
      <w:r w:rsidRPr="00793738">
        <w:rPr>
          <w:rFonts w:ascii="Arial" w:hAnsi="Arial" w:cs="Arial"/>
          <w:sz w:val="24"/>
          <w:szCs w:val="24"/>
          <w:lang w:val="en-US"/>
        </w:rPr>
        <w:t>. 46(3-4): 157-168.</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 xml:space="preserve">McLaughlin A, Mineau P. (1995). </w:t>
      </w:r>
      <w:r w:rsidRPr="00793738">
        <w:rPr>
          <w:rFonts w:ascii="Arial" w:hAnsi="Arial" w:cs="Arial"/>
          <w:bCs/>
          <w:sz w:val="24"/>
          <w:szCs w:val="24"/>
          <w:lang w:val="en-US"/>
        </w:rPr>
        <w:t xml:space="preserve">The impact of agricultural practices on biodiversity. </w:t>
      </w:r>
      <w:r w:rsidRPr="00793738">
        <w:rPr>
          <w:rFonts w:ascii="Arial" w:hAnsi="Arial" w:cs="Arial"/>
          <w:i/>
          <w:sz w:val="24"/>
          <w:szCs w:val="24"/>
          <w:lang w:val="en-US"/>
        </w:rPr>
        <w:t>Agriculture. Ecosystems and Environment</w:t>
      </w:r>
      <w:r w:rsidRPr="00793738">
        <w:rPr>
          <w:rFonts w:ascii="Arial" w:hAnsi="Arial" w:cs="Arial"/>
          <w:sz w:val="24"/>
          <w:szCs w:val="24"/>
          <w:lang w:val="en-US"/>
        </w:rPr>
        <w:t>. 55: 201-212</w:t>
      </w:r>
    </w:p>
    <w:p w:rsidR="00793738" w:rsidRPr="00091C07" w:rsidRDefault="00793738" w:rsidP="002351B3">
      <w:pPr>
        <w:pStyle w:val="Default"/>
        <w:numPr>
          <w:ilvl w:val="0"/>
          <w:numId w:val="18"/>
        </w:numPr>
        <w:tabs>
          <w:tab w:val="left" w:pos="426"/>
        </w:tabs>
        <w:jc w:val="both"/>
        <w:rPr>
          <w:rFonts w:ascii="Arial" w:hAnsi="Arial" w:cs="Arial"/>
          <w:color w:val="auto"/>
        </w:rPr>
      </w:pPr>
      <w:r w:rsidRPr="00A02E13">
        <w:rPr>
          <w:rFonts w:ascii="Arial" w:hAnsi="Arial" w:cs="Arial"/>
          <w:color w:val="auto"/>
        </w:rPr>
        <w:t xml:space="preserve">Unger, P.W. (1990). Conservations tillage systems. </w:t>
      </w:r>
      <w:r w:rsidRPr="00A02E13">
        <w:rPr>
          <w:rFonts w:ascii="Arial" w:hAnsi="Arial" w:cs="Arial"/>
          <w:i/>
          <w:iCs/>
          <w:color w:val="auto"/>
        </w:rPr>
        <w:t>Adv. Soil Sci</w:t>
      </w:r>
      <w:r w:rsidRPr="00A02E13">
        <w:rPr>
          <w:rFonts w:ascii="Arial" w:hAnsi="Arial" w:cs="Arial"/>
          <w:color w:val="auto"/>
        </w:rPr>
        <w:t xml:space="preserve">. 13: 27-68. </w:t>
      </w:r>
    </w:p>
    <w:p w:rsidR="00793738" w:rsidRPr="00A02E13" w:rsidRDefault="00793738" w:rsidP="002351B3">
      <w:pPr>
        <w:pStyle w:val="Default"/>
        <w:numPr>
          <w:ilvl w:val="0"/>
          <w:numId w:val="18"/>
        </w:numPr>
        <w:tabs>
          <w:tab w:val="left" w:pos="426"/>
        </w:tabs>
        <w:jc w:val="both"/>
        <w:rPr>
          <w:rFonts w:ascii="Arial" w:hAnsi="Arial" w:cs="Arial"/>
        </w:rPr>
      </w:pPr>
      <w:r w:rsidRPr="00134131">
        <w:rPr>
          <w:rFonts w:ascii="Arial" w:hAnsi="Arial" w:cs="Arial"/>
          <w:color w:val="auto"/>
        </w:rPr>
        <w:t>Wood CW; Edwards JH. (1992). Agroecosystem management effects on soil carbon and nitrogen.</w:t>
      </w:r>
      <w:r w:rsidRPr="001E1BC2">
        <w:rPr>
          <w:rFonts w:ascii="Arial" w:hAnsi="Arial" w:cs="Arial"/>
          <w:color w:val="auto"/>
        </w:rPr>
        <w:t xml:space="preserve">Agric. </w:t>
      </w:r>
      <w:r w:rsidRPr="001E1BC2">
        <w:rPr>
          <w:rFonts w:ascii="Arial" w:hAnsi="Arial" w:cs="Arial"/>
          <w:i/>
          <w:iCs/>
          <w:color w:val="auto"/>
        </w:rPr>
        <w:t>Ecosystems Environ</w:t>
      </w:r>
      <w:r w:rsidRPr="001E1BC2">
        <w:rPr>
          <w:rFonts w:ascii="Arial" w:hAnsi="Arial" w:cs="Arial"/>
          <w:color w:val="auto"/>
        </w:rPr>
        <w:t xml:space="preserve">. 39: 123-138. </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 xml:space="preserve">MaillouxJLeBellec F, Kreiter S, Tixier MS, Dubois P. (2010). Influence of ground cover management on diversity and density of phytoseiid mites (Acari: Phytoseiidae) in Guadeloupean citrus orchards. </w:t>
      </w:r>
      <w:r w:rsidRPr="00793738">
        <w:rPr>
          <w:rFonts w:ascii="Arial" w:hAnsi="Arial" w:cs="Arial"/>
          <w:i/>
          <w:sz w:val="24"/>
          <w:szCs w:val="24"/>
          <w:lang w:val="en-US"/>
        </w:rPr>
        <w:t>Exp. Appl. Acarol</w:t>
      </w:r>
      <w:r w:rsidRPr="00793738">
        <w:rPr>
          <w:rFonts w:ascii="Arial" w:hAnsi="Arial" w:cs="Arial"/>
          <w:sz w:val="24"/>
          <w:szCs w:val="24"/>
          <w:lang w:val="en-US"/>
        </w:rPr>
        <w:t>., 52: 275-290. doi:10.1007/s10493-010-9367-7</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eastAsia="CharisSIL" w:hAnsi="Arial" w:cs="Arial"/>
          <w:sz w:val="24"/>
          <w:szCs w:val="24"/>
          <w:lang w:val="en-US"/>
        </w:rPr>
      </w:pPr>
      <w:r w:rsidRPr="00793738">
        <w:rPr>
          <w:rFonts w:ascii="Arial" w:hAnsi="Arial" w:cs="Arial"/>
          <w:sz w:val="24"/>
          <w:szCs w:val="24"/>
          <w:lang w:val="en-US"/>
        </w:rPr>
        <w:t xml:space="preserve">Tixier MS; 2018: Predatory mites (Acari: Phytoseiidae) in agro-ecosystems and conservation biological control: a review and explorative approach for forecasting plant-predatory mite interactions and mite dispersal. Front. Ecol. Evol. </w:t>
      </w:r>
      <w:r w:rsidRPr="00793738">
        <w:rPr>
          <w:rFonts w:ascii="Arial" w:hAnsi="Arial" w:cs="Arial"/>
          <w:b/>
          <w:bCs/>
          <w:sz w:val="24"/>
          <w:szCs w:val="24"/>
          <w:lang w:val="en-US"/>
        </w:rPr>
        <w:t>6</w:t>
      </w:r>
      <w:r w:rsidRPr="00793738">
        <w:rPr>
          <w:rFonts w:ascii="Arial" w:hAnsi="Arial" w:cs="Arial"/>
          <w:sz w:val="24"/>
          <w:szCs w:val="24"/>
          <w:lang w:val="en-US"/>
        </w:rPr>
        <w:t>, 1-21.</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Style w:val="Hipervnculo"/>
          <w:rFonts w:ascii="Arial" w:hAnsi="Arial" w:cs="Arial"/>
          <w:sz w:val="24"/>
          <w:szCs w:val="24"/>
        </w:rPr>
      </w:pPr>
      <w:r w:rsidRPr="00793738">
        <w:rPr>
          <w:rFonts w:ascii="Arial" w:hAnsi="Arial" w:cs="Arial"/>
          <w:sz w:val="24"/>
          <w:szCs w:val="24"/>
          <w:lang w:val="en-US"/>
        </w:rPr>
        <w:t xml:space="preserve">FiBL-IFOAM. (2014). Organic Farming Statistics. Research Institute of Organic Agriculture FiBL. </w:t>
      </w:r>
      <w:r w:rsidRPr="00793738">
        <w:rPr>
          <w:rFonts w:ascii="Arial" w:hAnsi="Arial" w:cs="Arial"/>
          <w:sz w:val="24"/>
          <w:szCs w:val="24"/>
        </w:rPr>
        <w:t xml:space="preserve">Disponible en: </w:t>
      </w:r>
      <w:hyperlink r:id="rId18" w:history="1">
        <w:r w:rsidRPr="00793738">
          <w:rPr>
            <w:rStyle w:val="Hipervnculo"/>
            <w:rFonts w:ascii="Arial" w:hAnsi="Arial" w:cs="Arial"/>
            <w:sz w:val="24"/>
            <w:szCs w:val="24"/>
          </w:rPr>
          <w:t>http://www.fibl.org/en/themen/themen-statistiken.html</w:t>
        </w:r>
      </w:hyperlink>
      <w:r w:rsidRPr="00793738">
        <w:rPr>
          <w:rStyle w:val="Hipervnculo"/>
          <w:rFonts w:ascii="Arial" w:hAnsi="Arial" w:cs="Arial"/>
          <w:sz w:val="24"/>
          <w:szCs w:val="24"/>
        </w:rPr>
        <w:t>. (Consulta: 23 de febrero de 2020)</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 xml:space="preserve">Barbar Z, Tixier MS, Kreiter S, Cheval B. (2005). Diversity of Phytoseiid mites in uncultivated areas adjacent to vineyards: A caso study in the South of France. </w:t>
      </w:r>
      <w:r w:rsidRPr="00793738">
        <w:rPr>
          <w:rFonts w:ascii="Arial" w:hAnsi="Arial" w:cs="Arial"/>
          <w:i/>
          <w:sz w:val="24"/>
          <w:szCs w:val="24"/>
          <w:lang w:val="en-US"/>
        </w:rPr>
        <w:t>Acarologia</w:t>
      </w:r>
      <w:r w:rsidRPr="00793738">
        <w:rPr>
          <w:rFonts w:ascii="Arial" w:hAnsi="Arial" w:cs="Arial"/>
          <w:sz w:val="24"/>
          <w:szCs w:val="24"/>
          <w:lang w:val="en-US"/>
        </w:rPr>
        <w:t>. XLV (2-3): 145-154.</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t xml:space="preserve">Heil M. (2008). Indirect defence via tritrophic interactions. </w:t>
      </w:r>
      <w:r w:rsidRPr="00793738">
        <w:rPr>
          <w:rFonts w:ascii="Arial" w:hAnsi="Arial" w:cs="Arial"/>
          <w:i/>
          <w:iCs/>
          <w:sz w:val="24"/>
          <w:szCs w:val="24"/>
          <w:lang w:val="en-US"/>
        </w:rPr>
        <w:t xml:space="preserve">New Phytologist. </w:t>
      </w:r>
      <w:r w:rsidRPr="00793738">
        <w:rPr>
          <w:rFonts w:ascii="Arial" w:hAnsi="Arial" w:cs="Arial"/>
          <w:sz w:val="24"/>
          <w:szCs w:val="24"/>
          <w:lang w:val="en-US"/>
        </w:rPr>
        <w:t xml:space="preserve">178: 41-61. </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lang w:val="pt-BR"/>
        </w:rPr>
      </w:pPr>
      <w:r w:rsidRPr="00793738">
        <w:rPr>
          <w:rFonts w:ascii="Arial" w:hAnsi="Arial" w:cs="Arial"/>
          <w:sz w:val="24"/>
          <w:szCs w:val="24"/>
          <w:lang w:val="pt-BR"/>
        </w:rPr>
        <w:t xml:space="preserve">Ferreira JAM, Eshuis B, Janssen A, Sabelis MW. (2008). Domatiareduce larval cannibalism in predatorymites. </w:t>
      </w:r>
      <w:r w:rsidRPr="00793738">
        <w:rPr>
          <w:rFonts w:ascii="Arial" w:hAnsi="Arial" w:cs="Arial"/>
          <w:i/>
          <w:sz w:val="24"/>
          <w:szCs w:val="24"/>
          <w:lang w:val="pt-BR"/>
        </w:rPr>
        <w:t>Ecol. Entomol</w:t>
      </w:r>
      <w:r w:rsidRPr="00793738">
        <w:rPr>
          <w:rFonts w:ascii="Arial" w:hAnsi="Arial" w:cs="Arial"/>
          <w:sz w:val="24"/>
          <w:szCs w:val="24"/>
          <w:lang w:val="pt-BR"/>
        </w:rPr>
        <w:t>. 33: 374-379.</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rPr>
        <w:lastRenderedPageBreak/>
        <w:t xml:space="preserve">Onzo A, Hanna R, Sabelis MW. </w:t>
      </w:r>
      <w:r w:rsidRPr="00793738">
        <w:rPr>
          <w:rFonts w:ascii="Arial" w:hAnsi="Arial" w:cs="Arial"/>
          <w:sz w:val="24"/>
          <w:szCs w:val="24"/>
          <w:lang w:val="en-US"/>
        </w:rPr>
        <w:t xml:space="preserve">(2009). Within-plant migration of the predatory mite </w:t>
      </w:r>
      <w:r w:rsidRPr="00793738">
        <w:rPr>
          <w:rFonts w:ascii="Arial" w:hAnsi="Arial" w:cs="Arial"/>
          <w:i/>
          <w:sz w:val="24"/>
          <w:szCs w:val="24"/>
          <w:lang w:val="en-US"/>
        </w:rPr>
        <w:t>Typhlodromalusaripo</w:t>
      </w:r>
      <w:r w:rsidRPr="00793738">
        <w:rPr>
          <w:rFonts w:ascii="Arial" w:hAnsi="Arial" w:cs="Arial"/>
          <w:sz w:val="24"/>
          <w:szCs w:val="24"/>
          <w:lang w:val="en-US"/>
        </w:rPr>
        <w:t xml:space="preserve">, from the apex to the leaves of cassava: Response to day-night cycle, prey localtion and prey density. </w:t>
      </w:r>
      <w:r w:rsidRPr="00793738">
        <w:rPr>
          <w:rFonts w:ascii="Arial" w:hAnsi="Arial" w:cs="Arial"/>
          <w:i/>
          <w:sz w:val="24"/>
          <w:szCs w:val="24"/>
          <w:lang w:val="en-US"/>
        </w:rPr>
        <w:t>J. Insect Behaviour</w:t>
      </w:r>
      <w:r w:rsidRPr="00793738">
        <w:rPr>
          <w:rFonts w:ascii="Arial" w:hAnsi="Arial" w:cs="Arial"/>
          <w:sz w:val="24"/>
          <w:szCs w:val="24"/>
          <w:lang w:val="en-US"/>
        </w:rPr>
        <w:t>. 22:186-192.</w:t>
      </w:r>
    </w:p>
    <w:p w:rsidR="00793738" w:rsidRPr="00793738" w:rsidRDefault="00793738" w:rsidP="002351B3">
      <w:pPr>
        <w:pStyle w:val="Prrafodelista"/>
        <w:numPr>
          <w:ilvl w:val="0"/>
          <w:numId w:val="18"/>
        </w:numPr>
        <w:tabs>
          <w:tab w:val="left" w:pos="426"/>
        </w:tabs>
        <w:spacing w:after="0" w:line="240" w:lineRule="auto"/>
        <w:jc w:val="both"/>
        <w:rPr>
          <w:rStyle w:val="A5"/>
          <w:rFonts w:ascii="Arial" w:hAnsi="Arial" w:cs="Arial"/>
          <w:color w:val="auto"/>
          <w:sz w:val="24"/>
          <w:szCs w:val="24"/>
          <w:lang w:val="en-US"/>
        </w:rPr>
      </w:pPr>
      <w:r w:rsidRPr="00793738">
        <w:rPr>
          <w:rFonts w:ascii="Arial" w:hAnsi="Arial" w:cs="Arial"/>
          <w:sz w:val="24"/>
          <w:szCs w:val="24"/>
        </w:rPr>
        <w:t xml:space="preserve">Paredes D, Cayuela L, Campos M. 2013. </w:t>
      </w:r>
      <w:r w:rsidRPr="00793738">
        <w:rPr>
          <w:rFonts w:ascii="Arial" w:hAnsi="Arial" w:cs="Arial"/>
          <w:sz w:val="24"/>
          <w:szCs w:val="24"/>
          <w:lang w:val="en-US"/>
        </w:rPr>
        <w:t xml:space="preserve">Synergistic effects of ground cover and adjacent vegetation on natural enemies of olive insect pests. </w:t>
      </w:r>
      <w:r w:rsidRPr="00793738">
        <w:rPr>
          <w:rFonts w:ascii="Arial" w:eastAsia="CharisSIL" w:hAnsi="Arial" w:cs="Arial"/>
          <w:sz w:val="24"/>
          <w:szCs w:val="24"/>
          <w:lang w:val="en-US"/>
        </w:rPr>
        <w:t xml:space="preserve">Agriculture, Ecosystems and Environment. </w:t>
      </w:r>
      <w:r w:rsidRPr="00793738">
        <w:rPr>
          <w:rFonts w:ascii="Arial" w:hAnsi="Arial" w:cs="Arial"/>
          <w:sz w:val="24"/>
          <w:szCs w:val="24"/>
          <w:lang w:val="en-US"/>
        </w:rPr>
        <w:t xml:space="preserve">173 :72-80. </w:t>
      </w:r>
      <w:hyperlink r:id="rId19" w:history="1">
        <w:r w:rsidRPr="00793738">
          <w:rPr>
            <w:rStyle w:val="Hipervnculo"/>
            <w:rFonts w:ascii="Arial" w:hAnsi="Arial" w:cs="Arial"/>
            <w:sz w:val="24"/>
            <w:szCs w:val="24"/>
            <w:lang w:val="en-US"/>
          </w:rPr>
          <w:t>http://dx.doi.org/10.1016/j.agee.2013.04.01</w:t>
        </w:r>
      </w:hyperlink>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color w:val="000000"/>
          <w:sz w:val="24"/>
          <w:szCs w:val="24"/>
        </w:rPr>
      </w:pPr>
      <w:r w:rsidRPr="00793738">
        <w:rPr>
          <w:rStyle w:val="A5"/>
          <w:rFonts w:ascii="Arial" w:hAnsi="Arial" w:cs="Arial"/>
          <w:sz w:val="24"/>
          <w:szCs w:val="24"/>
          <w:lang w:val="en-US"/>
        </w:rPr>
        <w:t xml:space="preserve">Prischmann DA., James, D.G., Wright, L.C., Snyder, W.E. (2006). Effects of generalist phytoseiid mites and grapevine canopy structure on spider mite (Acari: Tetranychidae) biocontrol. </w:t>
      </w:r>
      <w:r w:rsidRPr="00793738">
        <w:rPr>
          <w:rStyle w:val="A5"/>
          <w:rFonts w:ascii="Arial" w:hAnsi="Arial" w:cs="Arial"/>
          <w:i/>
          <w:sz w:val="24"/>
          <w:szCs w:val="24"/>
        </w:rPr>
        <w:t>Environ. Entomol</w:t>
      </w:r>
      <w:r w:rsidRPr="00793738">
        <w:rPr>
          <w:rStyle w:val="A5"/>
          <w:rFonts w:ascii="Arial" w:hAnsi="Arial" w:cs="Arial"/>
          <w:sz w:val="24"/>
          <w:szCs w:val="24"/>
        </w:rPr>
        <w:t xml:space="preserve">. </w:t>
      </w:r>
      <w:r w:rsidRPr="00793738">
        <w:rPr>
          <w:rStyle w:val="A5"/>
          <w:rFonts w:ascii="Arial" w:hAnsi="Arial" w:cs="Arial"/>
          <w:bCs/>
          <w:sz w:val="24"/>
          <w:szCs w:val="24"/>
        </w:rPr>
        <w:t>35</w:t>
      </w:r>
      <w:r w:rsidRPr="00793738">
        <w:rPr>
          <w:rStyle w:val="A5"/>
          <w:rFonts w:ascii="Arial" w:hAnsi="Arial" w:cs="Arial"/>
          <w:sz w:val="24"/>
          <w:szCs w:val="24"/>
        </w:rPr>
        <w:t xml:space="preserve">, 56-67. </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pt-BR"/>
        </w:rPr>
        <w:t xml:space="preserve">Espinha IG., Ferragut F, Pereira JA, Torres LM. (1998). </w:t>
      </w:r>
      <w:r w:rsidRPr="00793738">
        <w:rPr>
          <w:rFonts w:ascii="Arial" w:hAnsi="Arial" w:cs="Arial"/>
          <w:sz w:val="24"/>
          <w:szCs w:val="24"/>
        </w:rPr>
        <w:t xml:space="preserve">Ácaros fítoseidos (Acari: Phytoseiidae) del cultivo de manzano en el nordeste de Portugal. </w:t>
      </w:r>
      <w:r w:rsidRPr="00793738">
        <w:rPr>
          <w:rFonts w:ascii="Arial" w:hAnsi="Arial" w:cs="Arial"/>
          <w:i/>
          <w:iCs/>
          <w:sz w:val="24"/>
          <w:szCs w:val="24"/>
          <w:lang w:val="en-US"/>
        </w:rPr>
        <w:t>Bol. San. Veg. Plagas</w:t>
      </w:r>
      <w:r w:rsidRPr="00793738">
        <w:rPr>
          <w:rFonts w:ascii="Arial" w:hAnsi="Arial" w:cs="Arial"/>
          <w:sz w:val="24"/>
          <w:szCs w:val="24"/>
          <w:lang w:val="en-US"/>
        </w:rPr>
        <w:t>24: 383-390.</w:t>
      </w:r>
    </w:p>
    <w:p w:rsidR="00793738" w:rsidRDefault="00793738" w:rsidP="002351B3">
      <w:pPr>
        <w:pStyle w:val="Default"/>
        <w:numPr>
          <w:ilvl w:val="0"/>
          <w:numId w:val="18"/>
        </w:numPr>
        <w:tabs>
          <w:tab w:val="left" w:pos="426"/>
        </w:tabs>
        <w:jc w:val="both"/>
        <w:rPr>
          <w:rFonts w:ascii="Arial" w:hAnsi="Arial" w:cs="Arial"/>
        </w:rPr>
      </w:pPr>
      <w:r w:rsidRPr="00A02E13">
        <w:rPr>
          <w:rFonts w:ascii="Arial" w:hAnsi="Arial" w:cs="Arial"/>
        </w:rPr>
        <w:t xml:space="preserve">Goodwin S. 1982. Laboratory evaluation of pesticides on an Australian strain of the predatory mite, </w:t>
      </w:r>
      <w:r w:rsidRPr="00A02E13">
        <w:rPr>
          <w:rFonts w:ascii="Arial" w:hAnsi="Arial" w:cs="Arial"/>
          <w:i/>
          <w:iCs/>
        </w:rPr>
        <w:t>Phytoseiulus persimilis</w:t>
      </w:r>
      <w:r w:rsidRPr="00A02E13">
        <w:rPr>
          <w:rFonts w:ascii="Arial" w:hAnsi="Arial" w:cs="Arial"/>
        </w:rPr>
        <w:t xml:space="preserve">Athias-Henriot. Acarol V.2:648-654. </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eastAsia="Times New Roman" w:hAnsi="Arial" w:cs="Arial"/>
          <w:sz w:val="24"/>
          <w:szCs w:val="24"/>
          <w:lang w:eastAsia="es-ES"/>
        </w:rPr>
      </w:pPr>
      <w:r w:rsidRPr="00793738">
        <w:rPr>
          <w:rFonts w:ascii="Arial" w:eastAsia="Times New Roman" w:hAnsi="Arial" w:cs="Arial"/>
          <w:sz w:val="24"/>
          <w:szCs w:val="24"/>
          <w:lang w:val="en-US" w:eastAsia="es-ES"/>
        </w:rPr>
        <w:t xml:space="preserve">James DG. (2003). Toxicity of imidacloprid to </w:t>
      </w:r>
      <w:r w:rsidRPr="00793738">
        <w:rPr>
          <w:rFonts w:ascii="Arial" w:eastAsia="Times New Roman" w:hAnsi="Arial" w:cs="Arial"/>
          <w:i/>
          <w:iCs/>
          <w:sz w:val="24"/>
          <w:szCs w:val="24"/>
          <w:lang w:val="en-US" w:eastAsia="es-ES"/>
        </w:rPr>
        <w:t>Galendromusoccidentalis</w:t>
      </w:r>
      <w:r w:rsidRPr="00793738">
        <w:rPr>
          <w:rFonts w:ascii="Arial" w:eastAsia="Times New Roman" w:hAnsi="Arial" w:cs="Arial"/>
          <w:sz w:val="24"/>
          <w:szCs w:val="24"/>
          <w:lang w:val="en-US" w:eastAsia="es-ES"/>
        </w:rPr>
        <w:t xml:space="preserve">, </w:t>
      </w:r>
      <w:r w:rsidRPr="00793738">
        <w:rPr>
          <w:rFonts w:ascii="Arial" w:eastAsia="Times New Roman" w:hAnsi="Arial" w:cs="Arial"/>
          <w:i/>
          <w:iCs/>
          <w:sz w:val="24"/>
          <w:szCs w:val="24"/>
          <w:lang w:val="en-US" w:eastAsia="es-ES"/>
        </w:rPr>
        <w:t>Neoseiulusfallacis</w:t>
      </w:r>
      <w:r w:rsidRPr="00793738">
        <w:rPr>
          <w:rFonts w:ascii="Arial" w:eastAsia="Times New Roman" w:hAnsi="Arial" w:cs="Arial"/>
          <w:sz w:val="24"/>
          <w:szCs w:val="24"/>
          <w:lang w:val="en-US" w:eastAsia="es-ES"/>
        </w:rPr>
        <w:t xml:space="preserve">and </w:t>
      </w:r>
      <w:r w:rsidRPr="00793738">
        <w:rPr>
          <w:rFonts w:ascii="Arial" w:eastAsia="Times New Roman" w:hAnsi="Arial" w:cs="Arial"/>
          <w:i/>
          <w:iCs/>
          <w:sz w:val="24"/>
          <w:szCs w:val="24"/>
          <w:lang w:val="en-US" w:eastAsia="es-ES"/>
        </w:rPr>
        <w:t>Amblyseiusandersoni</w:t>
      </w:r>
      <w:r w:rsidRPr="00793738">
        <w:rPr>
          <w:rFonts w:ascii="Arial" w:eastAsia="Times New Roman" w:hAnsi="Arial" w:cs="Arial"/>
          <w:sz w:val="24"/>
          <w:szCs w:val="24"/>
          <w:lang w:val="en-US" w:eastAsia="es-ES"/>
        </w:rPr>
        <w:t xml:space="preserve">(Acari: Phytoseiidae) from hops in Washintong State, USA. </w:t>
      </w:r>
      <w:r w:rsidRPr="00793738">
        <w:rPr>
          <w:rFonts w:ascii="Arial" w:eastAsia="Times New Roman" w:hAnsi="Arial" w:cs="Arial"/>
          <w:sz w:val="24"/>
          <w:szCs w:val="24"/>
          <w:lang w:eastAsia="es-ES"/>
        </w:rPr>
        <w:t>Exp ApplAcarol. 31:275-281.</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rPr>
        <w:t xml:space="preserve">Ware GW, Whitacre DM. 2004. Introducción a los Insecticidas. </w:t>
      </w:r>
      <w:r w:rsidRPr="00793738">
        <w:rPr>
          <w:rFonts w:ascii="Arial" w:hAnsi="Arial" w:cs="Arial"/>
          <w:lang w:val="en-US"/>
        </w:rPr>
        <w:t xml:space="preserve">Extraído de </w:t>
      </w:r>
      <w:r w:rsidRPr="00793738">
        <w:rPr>
          <w:rFonts w:ascii="Arial" w:hAnsi="Arial" w:cs="Arial"/>
          <w:i/>
          <w:iCs/>
          <w:lang w:val="en-US"/>
        </w:rPr>
        <w:t xml:space="preserve">The Pesticide Book, </w:t>
      </w:r>
      <w:r w:rsidRPr="00793738">
        <w:rPr>
          <w:rFonts w:ascii="Arial" w:hAnsi="Arial" w:cs="Arial"/>
          <w:lang w:val="en-US"/>
        </w:rPr>
        <w:t xml:space="preserve">6th ed. Publicado por MeisterPro Information Resources. Unadivisión de Meister Media Worldwide Willoughby, Ohio. </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lang w:val="en-US"/>
        </w:rPr>
      </w:pPr>
      <w:r w:rsidRPr="00793738">
        <w:rPr>
          <w:rFonts w:ascii="Arial" w:hAnsi="Arial" w:cs="Arial"/>
          <w:sz w:val="24"/>
          <w:szCs w:val="24"/>
          <w:lang w:val="en-US"/>
        </w:rPr>
        <w:t>Rahman T, Spafforda H and Broughtonc S, Compatibility of spinosad with predaceous mites (Acari) used to control Frankliniellaoccidentalis (Pergande) (Thysanoptera: Thripidae). Pest ManagSci  67:993–1003 (2011).</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lang w:val="en-US"/>
        </w:rPr>
      </w:pPr>
      <w:r w:rsidRPr="00793738">
        <w:rPr>
          <w:rFonts w:ascii="Arial" w:hAnsi="Arial" w:cs="Arial"/>
          <w:sz w:val="24"/>
          <w:szCs w:val="24"/>
          <w:lang w:val="en-US"/>
        </w:rPr>
        <w:t xml:space="preserve">Tena A, Catal´an J, Monz´o C, Jacas JA and Urbaneja A, Minimizing the use of pesticides to control </w:t>
      </w:r>
      <w:r w:rsidRPr="00793738">
        <w:rPr>
          <w:rFonts w:ascii="Arial" w:hAnsi="Arial" w:cs="Arial"/>
          <w:i/>
          <w:iCs/>
          <w:sz w:val="24"/>
          <w:szCs w:val="24"/>
          <w:lang w:val="en-US"/>
        </w:rPr>
        <w:t>Pezothripskellyanus</w:t>
      </w:r>
      <w:r w:rsidRPr="00793738">
        <w:rPr>
          <w:rFonts w:ascii="Arial" w:hAnsi="Arial" w:cs="Arial"/>
          <w:sz w:val="24"/>
          <w:szCs w:val="24"/>
          <w:lang w:val="en-US"/>
        </w:rPr>
        <w:t xml:space="preserve">and their sideeffects on natural enemies. </w:t>
      </w:r>
      <w:r w:rsidRPr="00793738">
        <w:rPr>
          <w:rFonts w:ascii="Arial" w:hAnsi="Arial" w:cs="Arial"/>
          <w:i/>
          <w:iCs/>
          <w:sz w:val="24"/>
          <w:szCs w:val="24"/>
          <w:lang w:val="en-US"/>
        </w:rPr>
        <w:t xml:space="preserve">IOBC/WPRS Bull </w:t>
      </w:r>
      <w:r w:rsidRPr="00793738">
        <w:rPr>
          <w:rFonts w:ascii="Arial" w:hAnsi="Arial" w:cs="Arial"/>
          <w:b/>
          <w:bCs/>
          <w:sz w:val="24"/>
          <w:szCs w:val="24"/>
          <w:lang w:val="en-US"/>
        </w:rPr>
        <w:t>62</w:t>
      </w:r>
      <w:r w:rsidRPr="00793738">
        <w:rPr>
          <w:rFonts w:ascii="Arial" w:hAnsi="Arial" w:cs="Arial"/>
          <w:sz w:val="24"/>
          <w:szCs w:val="24"/>
          <w:lang w:val="en-US"/>
        </w:rPr>
        <w:t>:247–253 (2011).</w:t>
      </w:r>
    </w:p>
    <w:p w:rsidR="00793738" w:rsidRPr="00793738" w:rsidRDefault="00793738" w:rsidP="002351B3">
      <w:pPr>
        <w:pStyle w:val="Prrafodelista"/>
        <w:numPr>
          <w:ilvl w:val="0"/>
          <w:numId w:val="18"/>
        </w:numPr>
        <w:tabs>
          <w:tab w:val="left" w:pos="426"/>
        </w:tabs>
        <w:spacing w:after="0" w:line="240" w:lineRule="auto"/>
        <w:jc w:val="both"/>
        <w:rPr>
          <w:rFonts w:ascii="Arial" w:hAnsi="Arial" w:cs="Arial"/>
          <w:sz w:val="24"/>
          <w:szCs w:val="24"/>
          <w:lang w:val="en-US"/>
        </w:rPr>
      </w:pPr>
      <w:r w:rsidRPr="00793738">
        <w:rPr>
          <w:rFonts w:ascii="Arial" w:hAnsi="Arial" w:cs="Arial"/>
          <w:sz w:val="24"/>
          <w:szCs w:val="24"/>
          <w:lang w:val="en-US"/>
        </w:rPr>
        <w:t xml:space="preserve">Khan I and Morse JG, Impact of citrus thrips chemical treatments on the predatory mite </w:t>
      </w:r>
      <w:r w:rsidRPr="00793738">
        <w:rPr>
          <w:rFonts w:ascii="Arial" w:hAnsi="Arial" w:cs="Arial"/>
          <w:i/>
          <w:iCs/>
          <w:sz w:val="24"/>
          <w:szCs w:val="24"/>
          <w:lang w:val="en-US"/>
        </w:rPr>
        <w:t>Euseiustularensis</w:t>
      </w:r>
      <w:r w:rsidRPr="00793738">
        <w:rPr>
          <w:rFonts w:ascii="Arial" w:hAnsi="Arial" w:cs="Arial"/>
          <w:sz w:val="24"/>
          <w:szCs w:val="24"/>
          <w:lang w:val="en-US"/>
        </w:rPr>
        <w:t xml:space="preserve">. </w:t>
      </w:r>
      <w:r w:rsidRPr="00793738">
        <w:rPr>
          <w:rFonts w:ascii="Arial" w:hAnsi="Arial" w:cs="Arial"/>
          <w:i/>
          <w:iCs/>
          <w:sz w:val="24"/>
          <w:szCs w:val="24"/>
          <w:lang w:val="en-US"/>
        </w:rPr>
        <w:t>J ApplEntomol</w:t>
      </w:r>
      <w:r w:rsidRPr="00793738">
        <w:rPr>
          <w:rFonts w:ascii="Arial" w:hAnsi="Arial" w:cs="Arial"/>
          <w:b/>
          <w:bCs/>
          <w:sz w:val="24"/>
          <w:szCs w:val="24"/>
          <w:lang w:val="en-US"/>
        </w:rPr>
        <w:t>130</w:t>
      </w:r>
      <w:r w:rsidRPr="00793738">
        <w:rPr>
          <w:rFonts w:ascii="Arial" w:hAnsi="Arial" w:cs="Arial"/>
          <w:sz w:val="24"/>
          <w:szCs w:val="24"/>
          <w:lang w:val="en-US"/>
        </w:rPr>
        <w:t>:386–392 (2006).</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eastAsia="CharisSIL" w:hAnsi="Arial" w:cs="Arial"/>
          <w:color w:val="000000"/>
          <w:sz w:val="24"/>
          <w:szCs w:val="24"/>
          <w:lang w:val="en-US"/>
        </w:rPr>
      </w:pPr>
      <w:r w:rsidRPr="00793738">
        <w:rPr>
          <w:rStyle w:val="A5"/>
          <w:rFonts w:ascii="Arial" w:hAnsi="Arial" w:cs="Arial"/>
          <w:sz w:val="24"/>
          <w:szCs w:val="24"/>
          <w:lang w:val="en-US"/>
        </w:rPr>
        <w:t xml:space="preserve">Burgio G, Marchesini E, Reggiani N, Montepaone G, Schiatti P, Sommaggio D, 2016: Habitat management of organic vineyard in Northern Italy: The role of cover plants management on arthropod functional biodiversity. Bull. Entomol. Res. </w:t>
      </w:r>
      <w:r w:rsidRPr="00793738">
        <w:rPr>
          <w:rStyle w:val="A5"/>
          <w:rFonts w:ascii="Arial" w:hAnsi="Arial" w:cs="Arial"/>
          <w:b/>
          <w:bCs/>
          <w:sz w:val="24"/>
          <w:szCs w:val="24"/>
          <w:lang w:val="en-US"/>
        </w:rPr>
        <w:t>106</w:t>
      </w:r>
      <w:r w:rsidRPr="00793738">
        <w:rPr>
          <w:rStyle w:val="A5"/>
          <w:rFonts w:ascii="Arial" w:hAnsi="Arial" w:cs="Arial"/>
          <w:sz w:val="24"/>
          <w:szCs w:val="24"/>
          <w:lang w:val="en-US"/>
        </w:rPr>
        <w:t>, 759-768.</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rPr>
        <w:t xml:space="preserve">Sáenz-Romo MG, Martínez-García H, Veas-Bernal A, Carvajal-Montoya LD, Martínez-Villar E, Ibáñez-Pascual S, Marco-Mancebón VS, Pérez-Moreno I. (2019). </w:t>
      </w:r>
      <w:r w:rsidRPr="00793738">
        <w:rPr>
          <w:rFonts w:ascii="Arial" w:hAnsi="Arial" w:cs="Arial"/>
          <w:bCs/>
          <w:sz w:val="24"/>
          <w:szCs w:val="24"/>
          <w:lang w:val="en-US"/>
        </w:rPr>
        <w:t>Effect of ground-cover management on predatory mites (Acari: Phytoseiidae) in a Mediterranean vineyard.</w:t>
      </w:r>
      <w:r w:rsidRPr="00793738">
        <w:rPr>
          <w:rFonts w:ascii="Arial" w:hAnsi="Arial" w:cs="Arial"/>
          <w:i/>
          <w:sz w:val="24"/>
          <w:szCs w:val="24"/>
          <w:lang w:val="en-US"/>
        </w:rPr>
        <w:t>Vitis.</w:t>
      </w:r>
      <w:r w:rsidRPr="00793738">
        <w:rPr>
          <w:rFonts w:ascii="Arial" w:hAnsi="Arial" w:cs="Arial"/>
          <w:bCs/>
          <w:sz w:val="24"/>
          <w:szCs w:val="24"/>
          <w:lang w:val="en-US"/>
        </w:rPr>
        <w:t>58</w:t>
      </w:r>
      <w:r w:rsidRPr="00793738">
        <w:rPr>
          <w:rFonts w:ascii="Arial" w:hAnsi="Arial" w:cs="Arial"/>
          <w:sz w:val="24"/>
          <w:szCs w:val="24"/>
          <w:lang w:val="en-US"/>
        </w:rPr>
        <w:t>(Special Issue): 25-32. DOI: 10.5073/vitis.2019.58.special-issue.25-32.</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rPr>
        <w:t xml:space="preserve">Aguilar-Fenollosa, E. F., Pascual-Ruiz, S., Hurtado, M. A., and Jacas, J. A. (2011). </w:t>
      </w:r>
      <w:r w:rsidRPr="00793738">
        <w:rPr>
          <w:rFonts w:ascii="Arial" w:hAnsi="Arial" w:cs="Arial"/>
          <w:sz w:val="24"/>
          <w:szCs w:val="24"/>
          <w:lang w:val="en-US"/>
        </w:rPr>
        <w:t xml:space="preserve">Efficacy and economics of ground cover management as a conservation biological control strategy against </w:t>
      </w:r>
      <w:r w:rsidRPr="00793738">
        <w:rPr>
          <w:rFonts w:ascii="Arial" w:hAnsi="Arial" w:cs="Arial"/>
          <w:i/>
          <w:sz w:val="24"/>
          <w:szCs w:val="24"/>
          <w:lang w:val="en-US"/>
        </w:rPr>
        <w:t>Tetranychusurticae</w:t>
      </w:r>
      <w:r w:rsidRPr="00793738">
        <w:rPr>
          <w:rFonts w:ascii="Arial" w:hAnsi="Arial" w:cs="Arial"/>
          <w:sz w:val="24"/>
          <w:szCs w:val="24"/>
          <w:lang w:val="en-US"/>
        </w:rPr>
        <w:t xml:space="preserve"> in clementine mandarin orchards. </w:t>
      </w:r>
      <w:r w:rsidRPr="00793738">
        <w:rPr>
          <w:rFonts w:ascii="Arial" w:hAnsi="Arial" w:cs="Arial"/>
          <w:i/>
          <w:sz w:val="24"/>
          <w:szCs w:val="24"/>
          <w:lang w:val="en-US"/>
        </w:rPr>
        <w:t>Crop Protect</w:t>
      </w:r>
      <w:r w:rsidRPr="00793738">
        <w:rPr>
          <w:rFonts w:ascii="Arial" w:hAnsi="Arial" w:cs="Arial"/>
          <w:sz w:val="24"/>
          <w:szCs w:val="24"/>
          <w:lang w:val="en-US"/>
        </w:rPr>
        <w:t>. 30:1328–1333. doi: 10.1016/j.cropro.2011.05.011</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hAnsi="Arial" w:cs="Arial"/>
          <w:sz w:val="24"/>
          <w:szCs w:val="24"/>
          <w:lang w:val="en-US"/>
        </w:rPr>
      </w:pPr>
      <w:r w:rsidRPr="00793738">
        <w:rPr>
          <w:rFonts w:ascii="Arial" w:hAnsi="Arial" w:cs="Arial"/>
          <w:sz w:val="24"/>
          <w:szCs w:val="24"/>
          <w:lang w:val="en-US"/>
        </w:rPr>
        <w:lastRenderedPageBreak/>
        <w:t xml:space="preserve">Schmidt, R.A. (2014). Leaf structures affect predatory mites (Acari: Phytoseiidae) and biological control: a review. </w:t>
      </w:r>
      <w:r w:rsidRPr="00793738">
        <w:rPr>
          <w:rFonts w:ascii="Arial" w:hAnsi="Arial" w:cs="Arial"/>
          <w:i/>
          <w:sz w:val="24"/>
          <w:szCs w:val="24"/>
          <w:lang w:val="en-US"/>
        </w:rPr>
        <w:t>Exp. Appl. Acarol</w:t>
      </w:r>
      <w:r w:rsidRPr="00793738">
        <w:rPr>
          <w:rFonts w:ascii="Arial" w:hAnsi="Arial" w:cs="Arial"/>
          <w:sz w:val="24"/>
          <w:szCs w:val="24"/>
          <w:lang w:val="en-US"/>
        </w:rPr>
        <w:t>. 62:1-17. doi: 10.1007/s10493-013-9730-6</w:t>
      </w:r>
    </w:p>
    <w:p w:rsidR="00793738" w:rsidRPr="00793738" w:rsidRDefault="00793738" w:rsidP="002351B3">
      <w:pPr>
        <w:pStyle w:val="Prrafodelista"/>
        <w:numPr>
          <w:ilvl w:val="0"/>
          <w:numId w:val="18"/>
        </w:numPr>
        <w:tabs>
          <w:tab w:val="left" w:pos="426"/>
        </w:tabs>
        <w:autoSpaceDE w:val="0"/>
        <w:autoSpaceDN w:val="0"/>
        <w:adjustRightInd w:val="0"/>
        <w:spacing w:after="0" w:line="240" w:lineRule="auto"/>
        <w:jc w:val="both"/>
        <w:rPr>
          <w:rFonts w:ascii="Arial" w:eastAsia="CharisSIL" w:hAnsi="Arial" w:cs="Arial"/>
          <w:sz w:val="24"/>
          <w:szCs w:val="24"/>
          <w:lang w:val="en-US"/>
        </w:rPr>
      </w:pPr>
      <w:r w:rsidRPr="00793738">
        <w:rPr>
          <w:rFonts w:ascii="Arial" w:hAnsi="Arial" w:cs="Arial"/>
          <w:sz w:val="24"/>
          <w:szCs w:val="24"/>
          <w:lang w:eastAsia="es-ES"/>
        </w:rPr>
        <w:t>Cruz-Miralles, Joaquin;</w:t>
      </w:r>
      <w:r w:rsidRPr="00793738">
        <w:rPr>
          <w:rFonts w:ascii="Arial" w:hAnsi="Arial" w:cs="Arial"/>
          <w:sz w:val="24"/>
          <w:szCs w:val="24"/>
        </w:rPr>
        <w:t>C</w:t>
      </w:r>
      <w:r w:rsidRPr="00793738">
        <w:rPr>
          <w:rFonts w:ascii="Arial" w:hAnsi="Arial" w:cs="Arial"/>
          <w:sz w:val="24"/>
          <w:szCs w:val="24"/>
          <w:lang w:eastAsia="es-ES"/>
        </w:rPr>
        <w:t xml:space="preserve">abedo-López, Marc; Guzzo, Michelena; Perez-Hedo, Meritxell; Flors, Victor; Jaques, Josep A., 2021. </w:t>
      </w:r>
      <w:r w:rsidRPr="00793738">
        <w:rPr>
          <w:rFonts w:ascii="Arial" w:hAnsi="Arial" w:cs="Arial"/>
          <w:sz w:val="24"/>
          <w:szCs w:val="24"/>
          <w:lang w:val="en-US" w:eastAsia="es-ES"/>
        </w:rPr>
        <w:t xml:space="preserve">Plant defense responses triggered by phytoseiid predatory mites (Mesostigmata: Phytoseiidae) are species-specific, depend on plant genotype and may not be related to direct plant feeding.BioControl. https://doi.org/10.1007/s10526-021-10077-8.Handling Editor: Dirk Babendreier.The online version contains supplementary material available at </w:t>
      </w:r>
      <w:hyperlink r:id="rId20" w:history="1">
        <w:r w:rsidRPr="00793738">
          <w:rPr>
            <w:rStyle w:val="Hipervnculo"/>
            <w:rFonts w:ascii="Arial" w:hAnsi="Arial" w:cs="Arial"/>
            <w:sz w:val="24"/>
            <w:szCs w:val="24"/>
            <w:lang w:val="en-US" w:eastAsia="es-ES"/>
          </w:rPr>
          <w:t>https://doi.org/10.1007/</w:t>
        </w:r>
      </w:hyperlink>
      <w:r w:rsidRPr="00793738">
        <w:rPr>
          <w:rFonts w:ascii="Arial" w:hAnsi="Arial" w:cs="Arial"/>
          <w:sz w:val="24"/>
          <w:szCs w:val="24"/>
          <w:lang w:val="en-US" w:eastAsia="es-ES"/>
        </w:rPr>
        <w:t xml:space="preserve"> s10526-021-10077-8.</w:t>
      </w:r>
    </w:p>
    <w:p w:rsidR="00793738" w:rsidRDefault="00793738" w:rsidP="002351B3">
      <w:pPr>
        <w:tabs>
          <w:tab w:val="left" w:pos="426"/>
        </w:tabs>
        <w:autoSpaceDE w:val="0"/>
        <w:autoSpaceDN w:val="0"/>
        <w:adjustRightInd w:val="0"/>
        <w:spacing w:after="0" w:line="240" w:lineRule="auto"/>
        <w:jc w:val="both"/>
        <w:rPr>
          <w:rFonts w:ascii="Arial" w:hAnsi="Arial" w:cs="Arial"/>
          <w:sz w:val="24"/>
          <w:szCs w:val="24"/>
          <w:lang w:val="en-US"/>
        </w:rPr>
      </w:pPr>
    </w:p>
    <w:p w:rsidR="00793738" w:rsidRPr="00091C07" w:rsidRDefault="00793738" w:rsidP="002351B3">
      <w:pPr>
        <w:spacing w:after="0" w:line="240" w:lineRule="auto"/>
        <w:jc w:val="both"/>
        <w:rPr>
          <w:rFonts w:ascii="Arial" w:hAnsi="Arial" w:cs="Arial"/>
          <w:sz w:val="24"/>
          <w:szCs w:val="24"/>
          <w:lang w:val="en-US"/>
        </w:rPr>
      </w:pPr>
    </w:p>
    <w:p w:rsidR="00793738" w:rsidRPr="00312C9E" w:rsidRDefault="00793738" w:rsidP="002351B3">
      <w:pPr>
        <w:spacing w:after="0" w:line="240" w:lineRule="auto"/>
        <w:jc w:val="both"/>
        <w:rPr>
          <w:lang w:val="en-US"/>
        </w:rPr>
      </w:pPr>
    </w:p>
    <w:p w:rsidR="000E15BC" w:rsidRPr="00793738" w:rsidRDefault="000E15BC" w:rsidP="002351B3">
      <w:pPr>
        <w:spacing w:after="0" w:line="240" w:lineRule="auto"/>
        <w:jc w:val="both"/>
        <w:rPr>
          <w:rFonts w:ascii="Arial" w:hAnsi="Arial" w:cs="Arial"/>
          <w:sz w:val="24"/>
          <w:szCs w:val="24"/>
          <w:lang w:val="en-US"/>
        </w:rPr>
      </w:pPr>
    </w:p>
    <w:sectPr w:rsidR="000E15BC" w:rsidRPr="00793738" w:rsidSect="00BF667B">
      <w:headerReference w:type="default" r:id="rId21"/>
      <w:footerReference w:type="default" r:id="rId22"/>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E487C" w16cid:durableId="2430FF14"/>
  <w16cid:commentId w16cid:paraId="7CBA053D" w16cid:durableId="2430FFAE"/>
  <w16cid:commentId w16cid:paraId="5E458970" w16cid:durableId="2431007C"/>
  <w16cid:commentId w16cid:paraId="1E2ECE2A" w16cid:durableId="2431024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8B2" w:rsidRDefault="006D08B2">
      <w:pPr>
        <w:spacing w:after="0" w:line="240" w:lineRule="auto"/>
      </w:pPr>
      <w:r>
        <w:separator/>
      </w:r>
    </w:p>
  </w:endnote>
  <w:endnote w:type="continuationSeparator" w:id="1">
    <w:p w:rsidR="006D08B2" w:rsidRDefault="006D0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BIIK O+ TTDF Fo 00">
    <w:altName w:val="TTDF Fo"/>
    <w:charset w:val="00"/>
    <w:family w:val="swiss"/>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MT">
    <w:altName w:val="MS Mincho"/>
    <w:panose1 w:val="00000000000000000000"/>
    <w:charset w:val="80"/>
    <w:family w:val="auto"/>
    <w:notTrueType/>
    <w:pitch w:val="default"/>
    <w:sig w:usb0="00000003" w:usb1="08070000" w:usb2="00000010" w:usb3="00000000" w:csb0="00020001" w:csb1="00000000"/>
  </w:font>
  <w:font w:name="CharisSIL">
    <w:altName w:val="MS Gothic"/>
    <w:panose1 w:val="00000000000000000000"/>
    <w:charset w:val="80"/>
    <w:family w:val="swiss"/>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B8E" w:rsidRDefault="009D0BA0">
    <w:pPr>
      <w:pStyle w:val="Piedepgina"/>
      <w:jc w:val="right"/>
    </w:pPr>
    <w:r>
      <w:fldChar w:fldCharType="begin"/>
    </w:r>
    <w:r w:rsidR="00344B8E">
      <w:instrText>PAGE   \* MERGEFORMAT</w:instrText>
    </w:r>
    <w:r>
      <w:fldChar w:fldCharType="separate"/>
    </w:r>
    <w:r w:rsidR="00425E94">
      <w:rPr>
        <w:noProof/>
      </w:rPr>
      <w:t>20</w:t>
    </w:r>
    <w:r>
      <w:rPr>
        <w:noProof/>
      </w:rPr>
      <w:fldChar w:fldCharType="end"/>
    </w:r>
  </w:p>
  <w:p w:rsidR="00344B8E" w:rsidRDefault="00344B8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8B2" w:rsidRDefault="006D08B2">
      <w:pPr>
        <w:spacing w:after="0" w:line="240" w:lineRule="auto"/>
      </w:pPr>
      <w:r>
        <w:separator/>
      </w:r>
    </w:p>
  </w:footnote>
  <w:footnote w:type="continuationSeparator" w:id="1">
    <w:p w:rsidR="006D08B2" w:rsidRDefault="006D08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B8E" w:rsidRDefault="00344B8E">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8EFE133C"/>
    <w:lvl w:ilvl="0" w:tplc="C7C0BC1A">
      <w:start w:val="1"/>
      <w:numFmt w:val="decimal"/>
      <w:lvlText w:val="%1."/>
      <w:lvlJc w:val="left"/>
      <w:pPr>
        <w:ind w:left="1070" w:hanging="360"/>
      </w:pPr>
      <w:rPr>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000002"/>
    <w:multiLevelType w:val="hybridMultilevel"/>
    <w:tmpl w:val="AF780E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00003"/>
    <w:multiLevelType w:val="hybridMultilevel"/>
    <w:tmpl w:val="AF780E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883413A"/>
    <w:multiLevelType w:val="multilevel"/>
    <w:tmpl w:val="1616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4456AB"/>
    <w:multiLevelType w:val="hybridMultilevel"/>
    <w:tmpl w:val="6486C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416C85"/>
    <w:multiLevelType w:val="hybridMultilevel"/>
    <w:tmpl w:val="FC2495A2"/>
    <w:lvl w:ilvl="0" w:tplc="013C91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107BF9"/>
    <w:multiLevelType w:val="hybridMultilevel"/>
    <w:tmpl w:val="99502B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957306"/>
    <w:multiLevelType w:val="hybridMultilevel"/>
    <w:tmpl w:val="DBFC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CC60AB"/>
    <w:multiLevelType w:val="hybridMultilevel"/>
    <w:tmpl w:val="A1AC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5B1897"/>
    <w:multiLevelType w:val="hybridMultilevel"/>
    <w:tmpl w:val="27506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F310F0"/>
    <w:multiLevelType w:val="hybridMultilevel"/>
    <w:tmpl w:val="DF2E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D96ACD"/>
    <w:multiLevelType w:val="hybridMultilevel"/>
    <w:tmpl w:val="39865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253D60"/>
    <w:multiLevelType w:val="hybridMultilevel"/>
    <w:tmpl w:val="B4302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EA3BB2"/>
    <w:multiLevelType w:val="multilevel"/>
    <w:tmpl w:val="CA244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843C5C"/>
    <w:multiLevelType w:val="hybridMultilevel"/>
    <w:tmpl w:val="A944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281864"/>
    <w:multiLevelType w:val="hybridMultilevel"/>
    <w:tmpl w:val="8DC4022A"/>
    <w:lvl w:ilvl="0" w:tplc="7E54F836">
      <w:start w:val="1"/>
      <w:numFmt w:val="decimal"/>
      <w:lvlText w:val="%1."/>
      <w:lvlJc w:val="left"/>
      <w:pPr>
        <w:ind w:left="644"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5937D1"/>
    <w:multiLevelType w:val="hybridMultilevel"/>
    <w:tmpl w:val="7006F9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884594D"/>
    <w:multiLevelType w:val="hybridMultilevel"/>
    <w:tmpl w:val="3C06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
  </w:num>
  <w:num w:numId="4">
    <w:abstractNumId w:val="2"/>
  </w:num>
  <w:num w:numId="5">
    <w:abstractNumId w:val="15"/>
  </w:num>
  <w:num w:numId="6">
    <w:abstractNumId w:val="11"/>
  </w:num>
  <w:num w:numId="7">
    <w:abstractNumId w:val="6"/>
  </w:num>
  <w:num w:numId="8">
    <w:abstractNumId w:val="12"/>
  </w:num>
  <w:num w:numId="9">
    <w:abstractNumId w:val="14"/>
  </w:num>
  <w:num w:numId="10">
    <w:abstractNumId w:val="9"/>
  </w:num>
  <w:num w:numId="11">
    <w:abstractNumId w:val="10"/>
  </w:num>
  <w:num w:numId="12">
    <w:abstractNumId w:val="8"/>
  </w:num>
  <w:num w:numId="13">
    <w:abstractNumId w:val="7"/>
  </w:num>
  <w:num w:numId="14">
    <w:abstractNumId w:val="17"/>
  </w:num>
  <w:num w:numId="15">
    <w:abstractNumId w:val="3"/>
  </w:num>
  <w:num w:numId="16">
    <w:abstractNumId w:val="4"/>
  </w:num>
  <w:num w:numId="17">
    <w:abstractNumId w:val="13"/>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DO"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DO" w:vendorID="64" w:dllVersion="4096" w:nlCheck="1" w:checkStyle="0"/>
  <w:activeWritingStyle w:appName="MSWord" w:lang="pt-BR" w:vendorID="64" w:dllVersion="4096" w:nlCheck="1" w:checkStyle="0"/>
  <w:activeWritingStyle w:appName="MSWord" w:lang="es-ES" w:vendorID="64" w:dllVersion="131078" w:nlCheck="1" w:checkStyle="0"/>
  <w:activeWritingStyle w:appName="MSWord" w:lang="en-US" w:vendorID="64" w:dllVersion="131078" w:nlCheck="1" w:checkStyle="0"/>
  <w:activeWritingStyle w:appName="MSWord" w:lang="es-DO" w:vendorID="64" w:dllVersion="131078" w:nlCheck="1" w:checkStyle="0"/>
  <w:activeWritingStyle w:appName="MSWord" w:lang="pt-BR" w:vendorID="64" w:dllVersion="131078" w:nlCheck="1" w:checkStyle="0"/>
  <w:defaultTabStop w:val="720"/>
  <w:hyphenationZone w:val="425"/>
  <w:characterSpacingControl w:val="doNotCompress"/>
  <w:footnotePr>
    <w:footnote w:id="0"/>
    <w:footnote w:id="1"/>
  </w:footnotePr>
  <w:endnotePr>
    <w:endnote w:id="0"/>
    <w:endnote w:id="1"/>
  </w:endnotePr>
  <w:compat/>
  <w:rsids>
    <w:rsidRoot w:val="000E15BC"/>
    <w:rsid w:val="000222E2"/>
    <w:rsid w:val="00057793"/>
    <w:rsid w:val="00091C07"/>
    <w:rsid w:val="000A7357"/>
    <w:rsid w:val="000E15BC"/>
    <w:rsid w:val="000E40AD"/>
    <w:rsid w:val="00120F08"/>
    <w:rsid w:val="00141946"/>
    <w:rsid w:val="001434E2"/>
    <w:rsid w:val="0018324E"/>
    <w:rsid w:val="001A74CA"/>
    <w:rsid w:val="001B264E"/>
    <w:rsid w:val="001C0F99"/>
    <w:rsid w:val="001C3603"/>
    <w:rsid w:val="001E1628"/>
    <w:rsid w:val="001E1BC2"/>
    <w:rsid w:val="001F363B"/>
    <w:rsid w:val="00217A37"/>
    <w:rsid w:val="002351B3"/>
    <w:rsid w:val="002369BC"/>
    <w:rsid w:val="00252CBF"/>
    <w:rsid w:val="002632AF"/>
    <w:rsid w:val="002A7667"/>
    <w:rsid w:val="002C25BC"/>
    <w:rsid w:val="002D6FE3"/>
    <w:rsid w:val="002E1306"/>
    <w:rsid w:val="002E78B7"/>
    <w:rsid w:val="002F22FE"/>
    <w:rsid w:val="002F6C9C"/>
    <w:rsid w:val="00313349"/>
    <w:rsid w:val="0033176F"/>
    <w:rsid w:val="00334EFF"/>
    <w:rsid w:val="00344B8E"/>
    <w:rsid w:val="00354688"/>
    <w:rsid w:val="00396C64"/>
    <w:rsid w:val="003A4A43"/>
    <w:rsid w:val="003E02D7"/>
    <w:rsid w:val="00402A97"/>
    <w:rsid w:val="00406F3F"/>
    <w:rsid w:val="00416DE0"/>
    <w:rsid w:val="00425E94"/>
    <w:rsid w:val="00445E72"/>
    <w:rsid w:val="00450324"/>
    <w:rsid w:val="004526BF"/>
    <w:rsid w:val="004762E4"/>
    <w:rsid w:val="004764E8"/>
    <w:rsid w:val="004A7ADB"/>
    <w:rsid w:val="004D5609"/>
    <w:rsid w:val="004D5EF2"/>
    <w:rsid w:val="004E4A3E"/>
    <w:rsid w:val="00504D89"/>
    <w:rsid w:val="00507B8C"/>
    <w:rsid w:val="005236E1"/>
    <w:rsid w:val="0054304C"/>
    <w:rsid w:val="005538DD"/>
    <w:rsid w:val="00561736"/>
    <w:rsid w:val="00575001"/>
    <w:rsid w:val="005944AE"/>
    <w:rsid w:val="005B2444"/>
    <w:rsid w:val="005C23E7"/>
    <w:rsid w:val="005D6127"/>
    <w:rsid w:val="005F269C"/>
    <w:rsid w:val="005F5DEF"/>
    <w:rsid w:val="005F6088"/>
    <w:rsid w:val="006036A7"/>
    <w:rsid w:val="0061283D"/>
    <w:rsid w:val="00614B4A"/>
    <w:rsid w:val="006404BD"/>
    <w:rsid w:val="00647D82"/>
    <w:rsid w:val="0065154F"/>
    <w:rsid w:val="00652598"/>
    <w:rsid w:val="00660F91"/>
    <w:rsid w:val="0067032E"/>
    <w:rsid w:val="00680490"/>
    <w:rsid w:val="00683A17"/>
    <w:rsid w:val="006C2123"/>
    <w:rsid w:val="006D08B2"/>
    <w:rsid w:val="006E1A7B"/>
    <w:rsid w:val="0070716A"/>
    <w:rsid w:val="00717825"/>
    <w:rsid w:val="00746D63"/>
    <w:rsid w:val="007502E3"/>
    <w:rsid w:val="0076538E"/>
    <w:rsid w:val="00765C2A"/>
    <w:rsid w:val="00792CA0"/>
    <w:rsid w:val="00793738"/>
    <w:rsid w:val="007B6662"/>
    <w:rsid w:val="008107EF"/>
    <w:rsid w:val="0082380F"/>
    <w:rsid w:val="0086571C"/>
    <w:rsid w:val="00897C0B"/>
    <w:rsid w:val="008C33D9"/>
    <w:rsid w:val="009713DD"/>
    <w:rsid w:val="009753E8"/>
    <w:rsid w:val="009D0BA0"/>
    <w:rsid w:val="009D2218"/>
    <w:rsid w:val="00A02E13"/>
    <w:rsid w:val="00A11CE5"/>
    <w:rsid w:val="00A160AB"/>
    <w:rsid w:val="00A37D60"/>
    <w:rsid w:val="00A451AD"/>
    <w:rsid w:val="00A64BB0"/>
    <w:rsid w:val="00A72EDE"/>
    <w:rsid w:val="00A97B3D"/>
    <w:rsid w:val="00AA1FA9"/>
    <w:rsid w:val="00AA7317"/>
    <w:rsid w:val="00AB6F49"/>
    <w:rsid w:val="00AC2408"/>
    <w:rsid w:val="00AD43F3"/>
    <w:rsid w:val="00AE0F9E"/>
    <w:rsid w:val="00AE5A71"/>
    <w:rsid w:val="00B17FC9"/>
    <w:rsid w:val="00B47591"/>
    <w:rsid w:val="00B61F28"/>
    <w:rsid w:val="00B64C0D"/>
    <w:rsid w:val="00B7539C"/>
    <w:rsid w:val="00BF0AC8"/>
    <w:rsid w:val="00BF667B"/>
    <w:rsid w:val="00C206CB"/>
    <w:rsid w:val="00C36DF2"/>
    <w:rsid w:val="00C40E74"/>
    <w:rsid w:val="00C41EF0"/>
    <w:rsid w:val="00C552B1"/>
    <w:rsid w:val="00C860FC"/>
    <w:rsid w:val="00C9719C"/>
    <w:rsid w:val="00CA41B0"/>
    <w:rsid w:val="00CA5963"/>
    <w:rsid w:val="00CC2D1F"/>
    <w:rsid w:val="00CE6042"/>
    <w:rsid w:val="00D22CC7"/>
    <w:rsid w:val="00D451AD"/>
    <w:rsid w:val="00D56D27"/>
    <w:rsid w:val="00DD60ED"/>
    <w:rsid w:val="00DD77EA"/>
    <w:rsid w:val="00DD7A5C"/>
    <w:rsid w:val="00DF2424"/>
    <w:rsid w:val="00E01175"/>
    <w:rsid w:val="00E7009B"/>
    <w:rsid w:val="00EA72AF"/>
    <w:rsid w:val="00EC6364"/>
    <w:rsid w:val="00ED10BC"/>
    <w:rsid w:val="00F17F21"/>
    <w:rsid w:val="00F314D4"/>
    <w:rsid w:val="00F36661"/>
    <w:rsid w:val="00F46DE9"/>
    <w:rsid w:val="00F56F03"/>
    <w:rsid w:val="00F94E39"/>
    <w:rsid w:val="00FB21E5"/>
    <w:rsid w:val="00FC3A02"/>
    <w:rsid w:val="00FC40B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67B"/>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rsid w:val="00BF667B"/>
    <w:rPr>
      <w:sz w:val="16"/>
      <w:szCs w:val="16"/>
    </w:rPr>
  </w:style>
  <w:style w:type="paragraph" w:styleId="Textocomentario">
    <w:name w:val="annotation text"/>
    <w:basedOn w:val="Normal"/>
    <w:link w:val="TextocomentarioCar"/>
    <w:uiPriority w:val="99"/>
    <w:rsid w:val="00BF667B"/>
    <w:pPr>
      <w:spacing w:line="240" w:lineRule="auto"/>
    </w:pPr>
    <w:rPr>
      <w:sz w:val="20"/>
      <w:szCs w:val="20"/>
      <w:lang w:val="en-US"/>
    </w:rPr>
  </w:style>
  <w:style w:type="character" w:customStyle="1" w:styleId="TextocomentarioCar">
    <w:name w:val="Texto comentario Car"/>
    <w:basedOn w:val="Fuentedeprrafopredeter"/>
    <w:link w:val="Textocomentario"/>
    <w:uiPriority w:val="99"/>
    <w:rsid w:val="00BF667B"/>
    <w:rPr>
      <w:sz w:val="20"/>
      <w:szCs w:val="20"/>
    </w:rPr>
  </w:style>
  <w:style w:type="paragraph" w:customStyle="1" w:styleId="Default">
    <w:name w:val="Default"/>
    <w:rsid w:val="00BF667B"/>
    <w:pPr>
      <w:autoSpaceDE w:val="0"/>
      <w:autoSpaceDN w:val="0"/>
      <w:adjustRightInd w:val="0"/>
      <w:spacing w:after="0" w:line="240" w:lineRule="auto"/>
    </w:pPr>
    <w:rPr>
      <w:rFonts w:ascii="Times New Roman" w:hAnsi="Times New Roman" w:cs="Times New Roman"/>
      <w:color w:val="000000"/>
      <w:sz w:val="24"/>
      <w:szCs w:val="24"/>
    </w:rPr>
  </w:style>
  <w:style w:type="paragraph" w:styleId="HTMLconformatoprevio">
    <w:name w:val="HTML Preformatted"/>
    <w:basedOn w:val="Normal"/>
    <w:link w:val="HTMLconformatoprevioCar"/>
    <w:uiPriority w:val="99"/>
    <w:rsid w:val="00BF6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BF667B"/>
    <w:rPr>
      <w:rFonts w:ascii="Courier New" w:eastAsia="Times New Roman" w:hAnsi="Courier New" w:cs="Courier New"/>
      <w:sz w:val="20"/>
      <w:szCs w:val="20"/>
      <w:lang w:val="es-ES" w:eastAsia="es-ES"/>
    </w:rPr>
  </w:style>
  <w:style w:type="paragraph" w:styleId="Textodeglobo">
    <w:name w:val="Balloon Text"/>
    <w:basedOn w:val="Normal"/>
    <w:link w:val="TextodegloboCar"/>
    <w:uiPriority w:val="99"/>
    <w:rsid w:val="00BF66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BF667B"/>
    <w:rPr>
      <w:rFonts w:ascii="Segoe UI" w:hAnsi="Segoe UI" w:cs="Segoe UI"/>
      <w:sz w:val="18"/>
      <w:szCs w:val="18"/>
      <w:lang w:val="es-ES"/>
    </w:rPr>
  </w:style>
  <w:style w:type="paragraph" w:styleId="Asuntodelcomentario">
    <w:name w:val="annotation subject"/>
    <w:basedOn w:val="Textocomentario"/>
    <w:next w:val="Textocomentario"/>
    <w:link w:val="AsuntodelcomentarioCar"/>
    <w:uiPriority w:val="99"/>
    <w:rsid w:val="00BF667B"/>
    <w:rPr>
      <w:b/>
      <w:bCs/>
      <w:lang w:val="es-ES"/>
    </w:rPr>
  </w:style>
  <w:style w:type="character" w:customStyle="1" w:styleId="AsuntodelcomentarioCar">
    <w:name w:val="Asunto del comentario Car"/>
    <w:basedOn w:val="TextocomentarioCar"/>
    <w:link w:val="Asuntodelcomentario"/>
    <w:uiPriority w:val="99"/>
    <w:rsid w:val="00BF667B"/>
    <w:rPr>
      <w:b/>
      <w:bCs/>
      <w:sz w:val="20"/>
      <w:szCs w:val="20"/>
      <w:lang w:val="es-ES"/>
    </w:rPr>
  </w:style>
  <w:style w:type="character" w:styleId="Hipervnculo">
    <w:name w:val="Hyperlink"/>
    <w:basedOn w:val="Fuentedeprrafopredeter"/>
    <w:uiPriority w:val="99"/>
    <w:rsid w:val="00BF667B"/>
    <w:rPr>
      <w:color w:val="0563C1"/>
      <w:u w:val="single"/>
    </w:rPr>
  </w:style>
  <w:style w:type="paragraph" w:customStyle="1" w:styleId="CM7">
    <w:name w:val="CM7"/>
    <w:basedOn w:val="Default"/>
    <w:next w:val="Default"/>
    <w:uiPriority w:val="99"/>
    <w:rsid w:val="00BF667B"/>
    <w:pPr>
      <w:spacing w:line="260" w:lineRule="atLeast"/>
    </w:pPr>
    <w:rPr>
      <w:rFonts w:ascii="CBIIK O+ TTDF Fo 00" w:hAnsi="CBIIK O+ TTDF Fo 00" w:cstheme="minorBidi"/>
      <w:color w:val="auto"/>
      <w:lang w:val="es-ES"/>
    </w:rPr>
  </w:style>
  <w:style w:type="paragraph" w:styleId="Prrafodelista">
    <w:name w:val="List Paragraph"/>
    <w:basedOn w:val="Normal"/>
    <w:uiPriority w:val="34"/>
    <w:qFormat/>
    <w:rsid w:val="00BF667B"/>
    <w:pPr>
      <w:ind w:left="720"/>
      <w:contextualSpacing/>
    </w:pPr>
  </w:style>
  <w:style w:type="character" w:customStyle="1" w:styleId="A0">
    <w:name w:val="A0"/>
    <w:uiPriority w:val="99"/>
    <w:rsid w:val="00BF667B"/>
    <w:rPr>
      <w:color w:val="000000"/>
      <w:sz w:val="20"/>
      <w:szCs w:val="20"/>
    </w:rPr>
  </w:style>
  <w:style w:type="paragraph" w:customStyle="1" w:styleId="Pa6">
    <w:name w:val="Pa6"/>
    <w:basedOn w:val="Default"/>
    <w:next w:val="Default"/>
    <w:uiPriority w:val="99"/>
    <w:rsid w:val="00BF667B"/>
    <w:pPr>
      <w:spacing w:line="241" w:lineRule="atLeast"/>
    </w:pPr>
    <w:rPr>
      <w:color w:val="auto"/>
      <w:lang w:val="es-ES"/>
    </w:rPr>
  </w:style>
  <w:style w:type="character" w:customStyle="1" w:styleId="A5">
    <w:name w:val="A5"/>
    <w:uiPriority w:val="99"/>
    <w:rsid w:val="00BF667B"/>
    <w:rPr>
      <w:color w:val="000000"/>
      <w:sz w:val="16"/>
      <w:szCs w:val="16"/>
    </w:rPr>
  </w:style>
  <w:style w:type="paragraph" w:styleId="Encabezado">
    <w:name w:val="header"/>
    <w:basedOn w:val="Normal"/>
    <w:link w:val="EncabezadoCar"/>
    <w:uiPriority w:val="99"/>
    <w:rsid w:val="00BF66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F667B"/>
    <w:rPr>
      <w:lang w:val="es-ES"/>
    </w:rPr>
  </w:style>
  <w:style w:type="paragraph" w:styleId="Piedepgina">
    <w:name w:val="footer"/>
    <w:basedOn w:val="Normal"/>
    <w:link w:val="PiedepginaCar"/>
    <w:uiPriority w:val="99"/>
    <w:rsid w:val="00BF66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F667B"/>
    <w:rPr>
      <w:lang w:val="es-ES"/>
    </w:rPr>
  </w:style>
  <w:style w:type="paragraph" w:styleId="NormalWeb">
    <w:name w:val="Normal (Web)"/>
    <w:basedOn w:val="Normal"/>
    <w:uiPriority w:val="99"/>
    <w:semiHidden/>
    <w:unhideWhenUsed/>
    <w:rsid w:val="005C23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tion">
    <w:name w:val="citation"/>
    <w:basedOn w:val="Fuentedeprrafopredeter"/>
    <w:rsid w:val="005944AE"/>
  </w:style>
  <w:style w:type="character" w:customStyle="1" w:styleId="reference-accessdate">
    <w:name w:val="reference-accessdate"/>
    <w:basedOn w:val="Fuentedeprrafopredeter"/>
    <w:rsid w:val="005944AE"/>
  </w:style>
  <w:style w:type="character" w:customStyle="1" w:styleId="y2iqfc">
    <w:name w:val="y2iqfc"/>
    <w:basedOn w:val="Fuentedeprrafopredeter"/>
    <w:rsid w:val="00C206CB"/>
  </w:style>
</w:styles>
</file>

<file path=word/webSettings.xml><?xml version="1.0" encoding="utf-8"?>
<w:webSettings xmlns:r="http://schemas.openxmlformats.org/officeDocument/2006/relationships" xmlns:w="http://schemas.openxmlformats.org/wordprocessingml/2006/main">
  <w:divs>
    <w:div w:id="530345489">
      <w:bodyDiv w:val="1"/>
      <w:marLeft w:val="0"/>
      <w:marRight w:val="0"/>
      <w:marTop w:val="0"/>
      <w:marBottom w:val="0"/>
      <w:divBdr>
        <w:top w:val="none" w:sz="0" w:space="0" w:color="auto"/>
        <w:left w:val="none" w:sz="0" w:space="0" w:color="auto"/>
        <w:bottom w:val="none" w:sz="0" w:space="0" w:color="auto"/>
        <w:right w:val="none" w:sz="0" w:space="0" w:color="auto"/>
      </w:divBdr>
      <w:divsChild>
        <w:div w:id="11579207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hernandezacosta@inca.edu.cu" TargetMode="External"/><Relationship Id="rId13" Type="http://schemas.openxmlformats.org/officeDocument/2006/relationships/hyperlink" Target="https://orcid.org/0000-0002-6325-1005" TargetMode="External"/><Relationship Id="rId18" Type="http://schemas.openxmlformats.org/officeDocument/2006/relationships/hyperlink" Target="http://www.fibl.org/en/themen/themen-statistiken.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yblanco@inca.edu.cu" TargetMode="External"/><Relationship Id="rId17" Type="http://schemas.openxmlformats.org/officeDocument/2006/relationships/hyperlink" Target="http://www.fao" TargetMode="External"/><Relationship Id="rId2" Type="http://schemas.openxmlformats.org/officeDocument/2006/relationships/numbering" Target="numbering.xml"/><Relationship Id="rId16" Type="http://schemas.openxmlformats.org/officeDocument/2006/relationships/hyperlink" Target="http://www.fao.org/soils-2015/resources/infographics/es/" TargetMode="External"/><Relationship Id="rId20" Type="http://schemas.openxmlformats.org/officeDocument/2006/relationships/hyperlink" Target="https://doi.org/10.1007/"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436-043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gronet.gov.co/www/docs_si2/20061024162729_manualcapacitacionagroforesteria.pdf" TargetMode="External"/><Relationship Id="rId23" Type="http://schemas.openxmlformats.org/officeDocument/2006/relationships/fontTable" Target="fontTable.xml"/><Relationship Id="rId10" Type="http://schemas.openxmlformats.org/officeDocument/2006/relationships/hyperlink" Target="mailto:ocartaya@inca.edu.cu" TargetMode="External"/><Relationship Id="rId19" Type="http://schemas.openxmlformats.org/officeDocument/2006/relationships/hyperlink" Target="http://dx.doi.org/10.1016/j.agee.2013.04.01" TargetMode="External"/><Relationship Id="rId4" Type="http://schemas.openxmlformats.org/officeDocument/2006/relationships/settings" Target="settings.xml"/><Relationship Id="rId9" Type="http://schemas.openxmlformats.org/officeDocument/2006/relationships/hyperlink" Target="http://orcid.org/0000-0002-3335-9218" TargetMode="External"/><Relationship Id="rId14" Type="http://schemas.openxmlformats.org/officeDocument/2006/relationships/hyperlink" Target="https://web.archive.org/web/20150514160028/http:/agronet.gov.co/www/docs_si2/20061024162729_manualcapacitacionagroforesteria.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D9A11-AEA9-4CB9-A732-949DAA340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20</Pages>
  <Words>8752</Words>
  <Characters>48137</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PC</dc:creator>
  <cp:lastModifiedBy>Yanelis</cp:lastModifiedBy>
  <cp:revision>6</cp:revision>
  <dcterms:created xsi:type="dcterms:W3CDTF">2021-04-27T13:36:00Z</dcterms:created>
  <dcterms:modified xsi:type="dcterms:W3CDTF">2021-05-26T20:17:00Z</dcterms:modified>
</cp:coreProperties>
</file>