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24"/>
          <w:szCs w:val="24"/>
        </w:rPr>
      </w:pPr>
      <w:r>
        <w:rPr>
          <w:rFonts w:ascii="Times New Roman" w:hAnsi="Times New Roman"/>
          <w:sz w:val="24"/>
          <w:szCs w:val="24"/>
          <w:lang w:eastAsia="es-ES"/>
        </w:rPr>
        <w:drawing>
          <wp:anchor distT="0" distB="0" distL="114300" distR="114300" simplePos="0" relativeHeight="251659264" behindDoc="0" locked="0" layoutInCell="1" allowOverlap="1">
            <wp:simplePos x="0" y="0"/>
            <wp:positionH relativeFrom="column">
              <wp:posOffset>1739900</wp:posOffset>
            </wp:positionH>
            <wp:positionV relativeFrom="paragraph">
              <wp:posOffset>-260985</wp:posOffset>
            </wp:positionV>
            <wp:extent cx="2388235" cy="995680"/>
            <wp:effectExtent l="0" t="0" r="0" b="0"/>
            <wp:wrapSquare wrapText="bothSides"/>
            <wp:docPr id="10" name="1 Imagen" descr="Identidad INCA-01.png"/>
            <wp:cNvGraphicFramePr/>
            <a:graphic xmlns:a="http://schemas.openxmlformats.org/drawingml/2006/main">
              <a:graphicData uri="http://schemas.openxmlformats.org/drawingml/2006/picture">
                <pic:pic xmlns:pic="http://schemas.openxmlformats.org/drawingml/2006/picture">
                  <pic:nvPicPr>
                    <pic:cNvPr id="10" name="1 Imagen" descr="Identidad INCA-01.png"/>
                    <pic:cNvPicPr/>
                  </pic:nvPicPr>
                  <pic:blipFill>
                    <a:blip r:embed="rId6" cstate="print">
                      <a:extLst>
                        <a:ext uri="{28A0092B-C50C-407E-A947-70E740481C1C}">
                          <a14:useLocalDpi xmlns:a14="http://schemas.microsoft.com/office/drawing/2010/main" val="0"/>
                        </a:ext>
                      </a:extLst>
                    </a:blip>
                    <a:srcRect b="34232"/>
                    <a:stretch>
                      <a:fillRect/>
                    </a:stretch>
                  </pic:blipFill>
                  <pic:spPr>
                    <a:xfrm>
                      <a:off x="0" y="0"/>
                      <a:ext cx="2388235" cy="995680"/>
                    </a:xfrm>
                    <a:prstGeom prst="rect">
                      <a:avLst/>
                    </a:prstGeom>
                    <a:ln>
                      <a:noFill/>
                    </a:ln>
                  </pic:spPr>
                </pic:pic>
              </a:graphicData>
            </a:graphic>
          </wp:anchor>
        </w:drawing>
      </w:r>
    </w:p>
    <w:p>
      <w:pPr>
        <w:tabs>
          <w:tab w:val="left" w:pos="1560"/>
        </w:tabs>
        <w:rPr>
          <w:rFonts w:ascii="Times New Roman" w:hAnsi="Times New Roman"/>
          <w:bCs/>
          <w:sz w:val="24"/>
          <w:szCs w:val="24"/>
        </w:rPr>
      </w:pPr>
      <w:r>
        <w:rPr>
          <w:rFonts w:ascii="Times New Roman" w:hAnsi="Times New Roman"/>
          <w:sz w:val="24"/>
          <w:szCs w:val="24"/>
          <w:lang w:eastAsia="es-ES"/>
        </w:rPr>
        <w:drawing>
          <wp:anchor distT="0" distB="0" distL="114300" distR="114300" simplePos="0" relativeHeight="251660288" behindDoc="0" locked="0" layoutInCell="1" allowOverlap="1">
            <wp:simplePos x="0" y="0"/>
            <wp:positionH relativeFrom="column">
              <wp:posOffset>-927735</wp:posOffset>
            </wp:positionH>
            <wp:positionV relativeFrom="paragraph">
              <wp:posOffset>-1056640</wp:posOffset>
            </wp:positionV>
            <wp:extent cx="1144905" cy="10036175"/>
            <wp:effectExtent l="0" t="0" r="0" b="317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144905" cy="10036175"/>
                    </a:xfrm>
                    <a:prstGeom prst="rect">
                      <a:avLst/>
                    </a:prstGeom>
                  </pic:spPr>
                </pic:pic>
              </a:graphicData>
            </a:graphic>
          </wp:anchor>
        </w:drawing>
      </w:r>
    </w:p>
    <w:p>
      <w:pPr>
        <w:rPr>
          <w:rFonts w:ascii="Times New Roman" w:hAnsi="Times New Roman"/>
          <w:bCs/>
          <w:sz w:val="24"/>
          <w:szCs w:val="24"/>
        </w:rPr>
      </w:pPr>
    </w:p>
    <w:p>
      <w:pPr>
        <w:spacing w:after="0"/>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Informe Científico Técnico de Resultado</w:t>
      </w:r>
    </w:p>
    <w:p>
      <w:pPr>
        <w:spacing w:after="0"/>
        <w:jc w:val="center"/>
        <w:rPr>
          <w:rFonts w:ascii="Times New Roman" w:hAnsi="Times New Roman" w:eastAsiaTheme="minorEastAsia"/>
          <w:sz w:val="24"/>
          <w:szCs w:val="24"/>
        </w:rPr>
      </w:pPr>
      <w:r>
        <w:rPr>
          <w:rFonts w:ascii="Times New Roman" w:hAnsi="Times New Roman" w:eastAsia="Times New Roman"/>
          <w:b/>
          <w:bCs/>
          <w:sz w:val="24"/>
          <w:szCs w:val="24"/>
          <w:lang w:eastAsia="zh-CN"/>
        </w:rPr>
        <w:t>(parcial)</w:t>
      </w:r>
    </w:p>
    <w:p>
      <w:pPr>
        <w:spacing w:after="0"/>
        <w:jc w:val="center"/>
        <w:rPr>
          <w:rFonts w:ascii="Times New Roman" w:hAnsi="Times New Roman" w:eastAsiaTheme="minorEastAsia"/>
          <w:sz w:val="24"/>
          <w:szCs w:val="24"/>
        </w:rPr>
      </w:pPr>
    </w:p>
    <w:p>
      <w:pPr>
        <w:spacing w:after="0"/>
        <w:jc w:val="center"/>
        <w:rPr>
          <w:rFonts w:ascii="Times New Roman" w:hAnsi="Times New Roman" w:eastAsia="Times New Roman"/>
          <w:b/>
          <w:sz w:val="24"/>
          <w:szCs w:val="24"/>
        </w:rPr>
      </w:pPr>
    </w:p>
    <w:p>
      <w:pPr>
        <w:pStyle w:val="9"/>
        <w:numPr>
          <w:ilvl w:val="0"/>
          <w:numId w:val="1"/>
        </w:numPr>
        <w:spacing w:after="60" w:line="600" w:lineRule="auto"/>
        <w:jc w:val="both"/>
        <w:rPr>
          <w:rFonts w:ascii="Times New Roman" w:hAnsi="Times New Roman" w:eastAsia="Times New Roman"/>
          <w:b/>
          <w:color w:val="000000"/>
          <w:szCs w:val="24"/>
        </w:rPr>
      </w:pPr>
      <w:r>
        <w:rPr>
          <w:rFonts w:ascii="Times New Roman" w:hAnsi="Times New Roman" w:eastAsia="Times New Roman"/>
          <w:b/>
          <w:color w:val="000000"/>
          <w:szCs w:val="24"/>
        </w:rPr>
        <w:t>Identificación del Proyecto</w:t>
      </w:r>
    </w:p>
    <w:p>
      <w:pPr>
        <w:spacing w:before="240" w:line="600" w:lineRule="auto"/>
        <w:ind w:firstLine="708"/>
        <w:jc w:val="both"/>
        <w:rPr>
          <w:rFonts w:ascii="Times New Roman" w:hAnsi="Times New Roman"/>
          <w:b/>
          <w:sz w:val="24"/>
          <w:szCs w:val="24"/>
        </w:rPr>
      </w:pPr>
      <w:r>
        <w:rPr>
          <w:rFonts w:ascii="Times New Roman" w:hAnsi="Times New Roman"/>
          <w:b/>
          <w:sz w:val="24"/>
          <w:szCs w:val="24"/>
        </w:rPr>
        <w:t xml:space="preserve">Código: </w:t>
      </w:r>
      <w:r>
        <w:rPr>
          <w:rFonts w:ascii="Times New Roman" w:hAnsi="Times New Roman"/>
          <w:sz w:val="24"/>
          <w:szCs w:val="24"/>
        </w:rPr>
        <w:t>PS131LH004-00X1</w:t>
      </w:r>
    </w:p>
    <w:p>
      <w:pPr>
        <w:spacing w:line="600" w:lineRule="auto"/>
        <w:ind w:firstLine="708"/>
        <w:jc w:val="both"/>
        <w:rPr>
          <w:rFonts w:ascii="Times New Roman" w:hAnsi="Times New Roman"/>
          <w:sz w:val="24"/>
          <w:szCs w:val="24"/>
        </w:rPr>
      </w:pPr>
      <w:r>
        <w:rPr>
          <w:rFonts w:ascii="Times New Roman" w:hAnsi="Times New Roman"/>
          <w:b/>
          <w:sz w:val="24"/>
          <w:szCs w:val="24"/>
        </w:rPr>
        <w:t>Título:</w:t>
      </w:r>
      <w:r>
        <w:rPr>
          <w:rFonts w:ascii="Times New Roman" w:hAnsi="Times New Roman"/>
          <w:sz w:val="24"/>
          <w:szCs w:val="24"/>
        </w:rPr>
        <w:t xml:space="preserve"> Bioproductos a base de rizobios para arroz y maíz</w:t>
      </w:r>
    </w:p>
    <w:p>
      <w:pPr>
        <w:spacing w:line="600" w:lineRule="auto"/>
        <w:ind w:left="992"/>
        <w:jc w:val="both"/>
        <w:rPr>
          <w:rFonts w:ascii="Times New Roman" w:hAnsi="Times New Roman"/>
          <w:sz w:val="24"/>
          <w:szCs w:val="24"/>
        </w:rPr>
      </w:pPr>
      <w:r>
        <w:rPr>
          <w:rFonts w:ascii="Times New Roman" w:hAnsi="Times New Roman"/>
          <w:b/>
          <w:sz w:val="24"/>
          <w:szCs w:val="24"/>
        </w:rPr>
        <w:t xml:space="preserve">    Entidad ejecutora principal:</w:t>
      </w:r>
      <w:r>
        <w:rPr>
          <w:rFonts w:ascii="Times New Roman" w:hAnsi="Times New Roman"/>
          <w:sz w:val="24"/>
          <w:szCs w:val="24"/>
        </w:rPr>
        <w:t xml:space="preserve"> Instituto Nacional de Ciencias Agrícolas </w:t>
      </w:r>
    </w:p>
    <w:p>
      <w:pPr>
        <w:spacing w:after="60" w:line="600" w:lineRule="auto"/>
        <w:ind w:firstLine="708"/>
        <w:jc w:val="both"/>
        <w:rPr>
          <w:rFonts w:ascii="Times New Roman" w:hAnsi="Times New Roman" w:eastAsia="Times New Roman"/>
          <w:color w:val="000000"/>
          <w:sz w:val="24"/>
          <w:szCs w:val="24"/>
        </w:rPr>
      </w:pPr>
      <w:r>
        <w:rPr>
          <w:rFonts w:ascii="Times New Roman" w:hAnsi="Times New Roman" w:eastAsia="Times New Roman"/>
          <w:b/>
          <w:color w:val="000000"/>
          <w:sz w:val="24"/>
          <w:szCs w:val="24"/>
        </w:rPr>
        <w:t>Clasificación del documento por las normas establecidas:</w:t>
      </w:r>
      <w:r>
        <w:rPr>
          <w:rFonts w:ascii="Times New Roman" w:hAnsi="Times New Roman" w:eastAsia="Times New Roman"/>
          <w:color w:val="000000"/>
          <w:sz w:val="24"/>
          <w:szCs w:val="24"/>
        </w:rPr>
        <w:t xml:space="preserve"> Ordinario</w:t>
      </w:r>
    </w:p>
    <w:p>
      <w:pPr>
        <w:spacing w:after="60" w:line="600" w:lineRule="auto"/>
        <w:ind w:firstLine="708"/>
        <w:jc w:val="both"/>
        <w:rPr>
          <w:rFonts w:ascii="Times New Roman" w:hAnsi="Times New Roman"/>
          <w:sz w:val="24"/>
          <w:szCs w:val="24"/>
        </w:rPr>
      </w:pPr>
      <w:r>
        <w:rPr>
          <w:rFonts w:ascii="Times New Roman" w:hAnsi="Times New Roman" w:eastAsia="Times New Roman"/>
          <w:b/>
          <w:sz w:val="24"/>
          <w:szCs w:val="24"/>
        </w:rPr>
        <w:t xml:space="preserve">Título del Resultado: </w:t>
      </w:r>
      <w:r>
        <w:rPr>
          <w:rFonts w:ascii="Times New Roman" w:hAnsi="Times New Roman"/>
          <w:sz w:val="24"/>
          <w:szCs w:val="24"/>
        </w:rPr>
        <w:t>Bioproductos a base de rizobios para arroz y maíz</w:t>
      </w:r>
    </w:p>
    <w:p>
      <w:pPr>
        <w:spacing w:after="60" w:line="600" w:lineRule="auto"/>
        <w:ind w:firstLine="708"/>
        <w:jc w:val="both"/>
        <w:rPr>
          <w:rFonts w:ascii="Times New Roman" w:hAnsi="Times New Roman" w:eastAsia="Times New Roman"/>
          <w:sz w:val="24"/>
          <w:szCs w:val="24"/>
        </w:rPr>
      </w:pPr>
      <w:r>
        <w:rPr>
          <w:rFonts w:ascii="Times New Roman" w:hAnsi="Times New Roman" w:eastAsia="Times New Roman"/>
          <w:b/>
          <w:sz w:val="24"/>
          <w:szCs w:val="24"/>
        </w:rPr>
        <w:t>Tipo de resultado:</w:t>
      </w:r>
      <w:r>
        <w:rPr>
          <w:rFonts w:ascii="Times New Roman" w:hAnsi="Times New Roman" w:eastAsia="Times New Roman"/>
          <w:sz w:val="24"/>
          <w:szCs w:val="24"/>
        </w:rPr>
        <w:t xml:space="preserve"> Parcial  </w:t>
      </w:r>
    </w:p>
    <w:p>
      <w:pPr>
        <w:spacing w:after="60" w:line="600" w:lineRule="auto"/>
        <w:ind w:firstLine="708"/>
        <w:jc w:val="both"/>
        <w:rPr>
          <w:rFonts w:ascii="Times New Roman" w:hAnsi="Times New Roman" w:eastAsia="Times New Roman"/>
          <w:sz w:val="24"/>
          <w:szCs w:val="24"/>
        </w:rPr>
      </w:pPr>
      <w:r>
        <w:rPr>
          <w:rFonts w:ascii="Times New Roman" w:hAnsi="Times New Roman" w:eastAsia="Times New Roman"/>
          <w:b/>
          <w:sz w:val="24"/>
          <w:szCs w:val="24"/>
        </w:rPr>
        <w:t>Relación de autores y contribución al resultado</w:t>
      </w:r>
      <w:r>
        <w:rPr>
          <w:rFonts w:ascii="Times New Roman" w:hAnsi="Times New Roman" w:eastAsia="Times New Roman"/>
          <w:sz w:val="24"/>
          <w:szCs w:val="24"/>
        </w:rPr>
        <w:t xml:space="preserve">: María C. Nápoles García (20%), Ionel Hernández Forte (20%), Aida Tania Rodríguez Pedroso (15 %), Betsy de la Caridad (15%), Vivianne Machado Brito (10%), Lázaro Alberto Maqueira López (10%), Belkis Morales Mena (5%), Jesús Dávila Cabrera (5%) </w:t>
      </w:r>
    </w:p>
    <w:p>
      <w:pPr>
        <w:spacing w:line="720" w:lineRule="auto"/>
        <w:ind w:firstLine="708"/>
        <w:rPr>
          <w:rFonts w:ascii="Times New Roman" w:hAnsi="Times New Roman" w:eastAsia="Times New Roman"/>
          <w:sz w:val="24"/>
          <w:szCs w:val="24"/>
        </w:rPr>
      </w:pPr>
      <w:r>
        <w:rPr>
          <w:rFonts w:ascii="Times New Roman" w:hAnsi="Times New Roman" w:eastAsia="Times New Roman"/>
          <w:b/>
          <w:sz w:val="24"/>
          <w:szCs w:val="24"/>
        </w:rPr>
        <w:t>Rama o campo del conocimiento:</w:t>
      </w:r>
      <w:r>
        <w:rPr>
          <w:rFonts w:ascii="Times New Roman" w:hAnsi="Times New Roman" w:eastAsia="Times New Roman"/>
          <w:sz w:val="24"/>
          <w:szCs w:val="24"/>
        </w:rPr>
        <w:t xml:space="preserve"> Ciencias Agrícolas</w:t>
      </w:r>
    </w:p>
    <w:p>
      <w:pPr>
        <w:spacing w:line="720" w:lineRule="auto"/>
        <w:ind w:firstLine="708"/>
        <w:rPr>
          <w:rFonts w:ascii="Times New Roman" w:hAnsi="Times New Roman" w:eastAsia="Times New Roman"/>
          <w:sz w:val="24"/>
          <w:szCs w:val="24"/>
        </w:rPr>
      </w:pPr>
    </w:p>
    <w:p>
      <w:pPr>
        <w:pStyle w:val="9"/>
        <w:numPr>
          <w:ilvl w:val="0"/>
          <w:numId w:val="1"/>
        </w:numPr>
        <w:spacing w:before="240" w:after="120" w:line="240" w:lineRule="auto"/>
        <w:jc w:val="both"/>
        <w:rPr>
          <w:rFonts w:ascii="Times New Roman" w:hAnsi="Times New Roman" w:eastAsia="Times New Roman"/>
          <w:szCs w:val="24"/>
        </w:rPr>
      </w:pPr>
      <w:r>
        <w:rPr>
          <w:rFonts w:ascii="Times New Roman" w:hAnsi="Times New Roman" w:eastAsia="Times New Roman"/>
          <w:b/>
          <w:szCs w:val="24"/>
        </w:rPr>
        <w:t>Resumen</w:t>
      </w:r>
      <w:r>
        <w:rPr>
          <w:rFonts w:ascii="Times New Roman" w:hAnsi="Times New Roman" w:eastAsia="Times New Roman"/>
          <w:szCs w:val="24"/>
        </w:rPr>
        <w:t xml:space="preserve"> (250 palabras como máximo) que incluya la </w:t>
      </w:r>
      <w:r>
        <w:rPr>
          <w:rFonts w:ascii="Times New Roman" w:hAnsi="Times New Roman" w:eastAsia="Times New Roman"/>
          <w:color w:val="000000"/>
          <w:szCs w:val="24"/>
        </w:rPr>
        <w:t>correspondencia entre los objetivos planteados para el período y los resultados alcanzados.</w:t>
      </w:r>
    </w:p>
    <w:p>
      <w:pPr>
        <w:spacing w:before="240"/>
        <w:jc w:val="both"/>
        <w:rPr>
          <w:rFonts w:hint="default" w:ascii="Times New Roman" w:hAnsi="Times New Roman"/>
          <w:sz w:val="24"/>
          <w:szCs w:val="24"/>
        </w:rPr>
      </w:pPr>
      <w:r>
        <w:rPr>
          <w:rFonts w:ascii="Times New Roman" w:hAnsi="Times New Roman"/>
          <w:sz w:val="24"/>
          <w:szCs w:val="24"/>
        </w:rPr>
        <w:t xml:space="preserve">En el primer trimestre del año, se han realizado algunas tareas que brindan valor comercial a los inoculantes a base de rizobios para arroz y maíz, que se han venido desarrollando durante el proyecto. Se han propuesto medios de cultivo que permiten una alta concentración del ingrediente activo, en el caso del Azofert-Maíz y que parte de su composición lo constituyen subproductos de la industria agrícola nacional. Esto implicaría un ahorro considerable por concepto de importar reactivos químicos para la elaboración de grandes volúmenes de medio de cultivo, en el momento de la producción a gran escala de los inoculantes. Se dieron los primeros pasos en las evaluaciones correspondientes a encontrar un compuesto que permita conservar en el tiempo y en diferentes temperaturas, una alta concentración de células viables de los rizobios. Se continuaron los estudios sobre la actividad antagonista de cepas de rizobios frente a patógenos fúngicos. Se observó una inhibición de </w:t>
      </w:r>
      <w:r>
        <w:rPr>
          <w:rFonts w:ascii="Times New Roman" w:hAnsi="Times New Roman"/>
          <w:i/>
          <w:sz w:val="24"/>
          <w:szCs w:val="24"/>
        </w:rPr>
        <w:t>Bipolaris</w:t>
      </w:r>
      <w:r>
        <w:rPr>
          <w:rFonts w:ascii="Times New Roman" w:hAnsi="Times New Roman"/>
          <w:sz w:val="24"/>
          <w:szCs w:val="24"/>
        </w:rPr>
        <w:t>, hongo que constituye una gran amenaza para las plantaciones de arroz en el país, por algunas cepas de rizobios seleccionadas como más promisorias</w:t>
      </w:r>
      <w:r>
        <w:rPr>
          <w:rFonts w:hint="default" w:ascii="Times New Roman" w:hAnsi="Times New Roman"/>
          <w:sz w:val="24"/>
          <w:szCs w:val="24"/>
          <w:lang w:val="es-ES"/>
        </w:rPr>
        <w:t xml:space="preserve"> y se ejecuta un ensayo </w:t>
      </w:r>
      <w:r>
        <w:rPr>
          <w:rFonts w:hint="default" w:ascii="Times New Roman" w:hAnsi="Times New Roman"/>
          <w:i/>
          <w:iCs/>
          <w:sz w:val="24"/>
          <w:szCs w:val="24"/>
          <w:lang w:val="es-ES"/>
        </w:rPr>
        <w:t>in vivo</w:t>
      </w:r>
      <w:r>
        <w:rPr>
          <w:rFonts w:hint="default" w:ascii="Times New Roman" w:hAnsi="Times New Roman"/>
          <w:sz w:val="24"/>
          <w:szCs w:val="24"/>
          <w:lang w:val="es-ES"/>
        </w:rPr>
        <w:t xml:space="preserve"> frente a </w:t>
      </w:r>
      <w:r>
        <w:rPr>
          <w:rFonts w:hint="default" w:ascii="Times New Roman" w:hAnsi="Times New Roman"/>
          <w:i/>
          <w:iCs/>
          <w:sz w:val="24"/>
          <w:szCs w:val="24"/>
          <w:lang w:val="es-ES"/>
        </w:rPr>
        <w:t>Pyricularia</w:t>
      </w:r>
      <w:r>
        <w:rPr>
          <w:rFonts w:hint="default" w:ascii="Times New Roman" w:hAnsi="Times New Roman"/>
          <w:sz w:val="24"/>
          <w:szCs w:val="24"/>
          <w:lang w:val="es-ES"/>
        </w:rPr>
        <w:t>.</w:t>
      </w:r>
      <w:r>
        <w:rPr>
          <w:rFonts w:ascii="Times New Roman" w:hAnsi="Times New Roman"/>
          <w:sz w:val="24"/>
          <w:szCs w:val="24"/>
        </w:rPr>
        <w:t xml:space="preserve">  Pese a los esfuerzos realizados, ha habido dificultades para avanzar en tareas como el escalado de Azofert-Arroz y Azofert-Maíz, como consecuencia de la crisis energética que atraviesa el país</w:t>
      </w:r>
      <w:r>
        <w:rPr>
          <w:rFonts w:hint="default" w:ascii="Times New Roman" w:hAnsi="Times New Roman"/>
          <w:sz w:val="24"/>
          <w:szCs w:val="24"/>
          <w:lang w:val="es-ES"/>
        </w:rPr>
        <w:t xml:space="preserve">. Se continúa la validación </w:t>
      </w:r>
      <w:r>
        <w:rPr>
          <w:rFonts w:hint="default" w:ascii="Times New Roman" w:hAnsi="Times New Roman"/>
          <w:sz w:val="24"/>
          <w:szCs w:val="24"/>
        </w:rPr>
        <w:t xml:space="preserve">de Azofert A sobre semillas y durante el trasplante en escenarios productivos </w:t>
      </w:r>
      <w:r>
        <w:rPr>
          <w:rFonts w:hint="default" w:ascii="Times New Roman" w:hAnsi="Times New Roman"/>
          <w:sz w:val="24"/>
          <w:szCs w:val="24"/>
          <w:lang w:val="es-ES"/>
        </w:rPr>
        <w:t>del</w:t>
      </w:r>
      <w:r>
        <w:rPr>
          <w:rFonts w:ascii="Times New Roman" w:hAnsi="Times New Roman"/>
          <w:sz w:val="24"/>
          <w:szCs w:val="24"/>
        </w:rPr>
        <w:t xml:space="preserve"> </w:t>
      </w:r>
      <w:r>
        <w:rPr>
          <w:rFonts w:hint="default" w:ascii="Times New Roman" w:hAnsi="Times New Roman"/>
          <w:sz w:val="24"/>
          <w:szCs w:val="24"/>
          <w:lang w:val="es-ES"/>
        </w:rPr>
        <w:t>C</w:t>
      </w:r>
      <w:r>
        <w:rPr>
          <w:rFonts w:hint="default" w:ascii="Times New Roman" w:hAnsi="Times New Roman"/>
          <w:sz w:val="24"/>
          <w:szCs w:val="24"/>
        </w:rPr>
        <w:t xml:space="preserve">AI Arrocero de Los Palacios en Pinar del Río, lo que permitirá </w:t>
      </w:r>
      <w:r>
        <w:rPr>
          <w:rFonts w:hint="default" w:ascii="Times New Roman" w:hAnsi="Times New Roman"/>
          <w:sz w:val="24"/>
          <w:szCs w:val="24"/>
          <w:lang w:val="es-ES"/>
        </w:rPr>
        <w:t>además capacitar a los involucrados.</w:t>
      </w:r>
      <w:r>
        <w:rPr>
          <w:rFonts w:hint="default" w:ascii="Times New Roman" w:hAnsi="Times New Roman"/>
          <w:sz w:val="24"/>
          <w:szCs w:val="24"/>
        </w:rPr>
        <w:t xml:space="preserve">  </w:t>
      </w:r>
    </w:p>
    <w:p>
      <w:pPr>
        <w:spacing w:before="240"/>
        <w:jc w:val="both"/>
        <w:rPr>
          <w:rFonts w:ascii="Times New Roman" w:hAnsi="Times New Roman" w:eastAsia="Times New Roman"/>
          <w:b/>
          <w:sz w:val="24"/>
          <w:szCs w:val="24"/>
        </w:rPr>
      </w:pPr>
      <w:r>
        <w:rPr>
          <w:rFonts w:ascii="Times New Roman" w:hAnsi="Times New Roman"/>
          <w:sz w:val="24"/>
          <w:szCs w:val="24"/>
        </w:rPr>
        <w:t xml:space="preserve">     </w:t>
      </w:r>
      <w:r>
        <w:rPr>
          <w:rFonts w:ascii="Times New Roman" w:hAnsi="Times New Roman" w:eastAsia="Times New Roman"/>
          <w:b/>
          <w:color w:val="000000"/>
          <w:sz w:val="24"/>
          <w:szCs w:val="24"/>
        </w:rPr>
        <w:t>Valoración científica:</w:t>
      </w:r>
    </w:p>
    <w:p>
      <w:pPr>
        <w:spacing w:after="60" w:line="240" w:lineRule="auto"/>
        <w:jc w:val="both"/>
        <w:rPr>
          <w:rFonts w:ascii="Times New Roman" w:hAnsi="Times New Roman" w:eastAsia="Times New Roman"/>
          <w:i/>
          <w:sz w:val="24"/>
          <w:szCs w:val="24"/>
        </w:rPr>
      </w:pPr>
      <w:r>
        <w:rPr>
          <w:rFonts w:ascii="Times New Roman" w:hAnsi="Times New Roman" w:eastAsia="Times New Roman"/>
          <w:i/>
          <w:sz w:val="24"/>
          <w:szCs w:val="24"/>
        </w:rPr>
        <w:t>Rigor Científico de los resultados obtenidos</w:t>
      </w:r>
    </w:p>
    <w:p>
      <w:pPr>
        <w:spacing w:before="240" w:after="0"/>
        <w:jc w:val="both"/>
        <w:rPr>
          <w:rFonts w:ascii="Times New Roman" w:hAnsi="Times New Roman" w:eastAsia="Times New Roman"/>
          <w:sz w:val="24"/>
          <w:szCs w:val="24"/>
        </w:rPr>
      </w:pPr>
      <w:r>
        <w:rPr>
          <w:rFonts w:ascii="Times New Roman" w:hAnsi="Times New Roman" w:eastAsia="Times New Roman"/>
          <w:sz w:val="24"/>
          <w:szCs w:val="24"/>
        </w:rPr>
        <w:t>Consideramos que los resultados alcanzados en el período cuentan con rigor científico, desde el diseño experimental hasta su procesamiento y presentación. Las metodologías que generan dichos resultados se encuentran bien establecidas, así como el equipamiento empleado se encuentra debidamente calibrado. Cada experimento se realizó más de una vez, asegurando numerosas réplicas experimentales y biológicas, y se ejecutan los análisis estadísticos correspondientes con programas estadísticos especializados. La representación de los resultados se realiza de manera clara y sencilla, a partir del empleo de los programas informáticos que comúnmente se emplean para este fin.</w:t>
      </w:r>
    </w:p>
    <w:p>
      <w:pPr>
        <w:spacing w:after="0" w:line="240" w:lineRule="auto"/>
        <w:jc w:val="both"/>
        <w:rPr>
          <w:rFonts w:ascii="Times New Roman" w:hAnsi="Times New Roman" w:eastAsia="Times New Roman"/>
          <w:sz w:val="24"/>
          <w:szCs w:val="24"/>
        </w:rPr>
      </w:pPr>
    </w:p>
    <w:p>
      <w:pPr>
        <w:spacing w:line="240" w:lineRule="auto"/>
        <w:jc w:val="both"/>
        <w:rPr>
          <w:rFonts w:ascii="Times New Roman" w:hAnsi="Times New Roman" w:eastAsia="Times New Roman"/>
          <w:i/>
          <w:sz w:val="24"/>
          <w:szCs w:val="24"/>
        </w:rPr>
      </w:pPr>
      <w:r>
        <w:rPr>
          <w:rFonts w:ascii="Times New Roman" w:hAnsi="Times New Roman" w:eastAsia="Times New Roman"/>
          <w:i/>
          <w:sz w:val="24"/>
          <w:szCs w:val="24"/>
        </w:rPr>
        <w:t>Nivel de actualización de los resultados</w:t>
      </w:r>
    </w:p>
    <w:p>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Los resultados que se han obtenido en el período han contribuido a desarrollar y dar valor comercial a dos biofertilizantes a base de rizobios, uno para arroz y otro para maíz. El empleo a gran escala de ambos bioproductos resulta oportuno en las actuales circunstancias en las que se encuentra nuestro país, donde se impone la necesidad de sustituir importaciones, contar con insumos de producción nacional, inocuos y que tributen a una soberanía alimentaria con alimentos saludables y diversos. En este período se han obtenido resultados alentadores en cuanto a obtener un medio de cultivo con el uso de subproductos de la industria agrícola cubana. Además, se corroboró la actividad antagonista </w:t>
      </w:r>
      <w:r>
        <w:rPr>
          <w:rFonts w:ascii="Times New Roman" w:hAnsi="Times New Roman"/>
          <w:bCs/>
          <w:i/>
          <w:color w:val="000000"/>
          <w:sz w:val="24"/>
          <w:szCs w:val="24"/>
        </w:rPr>
        <w:t>in vitro</w:t>
      </w:r>
      <w:r>
        <w:rPr>
          <w:rFonts w:ascii="Times New Roman" w:hAnsi="Times New Roman"/>
          <w:bCs/>
          <w:color w:val="000000"/>
          <w:sz w:val="24"/>
          <w:szCs w:val="24"/>
        </w:rPr>
        <w:t xml:space="preserve"> de algunas cepas de rizobios frente a </w:t>
      </w:r>
      <w:r>
        <w:rPr>
          <w:rFonts w:ascii="Times New Roman" w:hAnsi="Times New Roman"/>
          <w:bCs/>
          <w:i/>
          <w:color w:val="000000"/>
          <w:sz w:val="24"/>
          <w:szCs w:val="24"/>
        </w:rPr>
        <w:t>Bipolaris</w:t>
      </w:r>
      <w:r>
        <w:rPr>
          <w:rFonts w:ascii="Times New Roman" w:hAnsi="Times New Roman"/>
          <w:bCs/>
          <w:color w:val="000000"/>
          <w:sz w:val="24"/>
          <w:szCs w:val="24"/>
        </w:rPr>
        <w:t xml:space="preserve">, hongos que afectan en gran medida los campos de arroz cubanos en caso de que no se logre su control a tiempo.  </w:t>
      </w:r>
    </w:p>
    <w:p>
      <w:pPr>
        <w:spacing w:after="60" w:line="240" w:lineRule="auto"/>
        <w:jc w:val="both"/>
        <w:rPr>
          <w:rFonts w:ascii="Times New Roman" w:hAnsi="Times New Roman" w:eastAsia="Times New Roman"/>
          <w:sz w:val="24"/>
          <w:szCs w:val="24"/>
        </w:rPr>
      </w:pPr>
    </w:p>
    <w:p>
      <w:pPr>
        <w:spacing w:after="60" w:line="240" w:lineRule="auto"/>
        <w:jc w:val="both"/>
        <w:rPr>
          <w:rFonts w:ascii="Times New Roman" w:hAnsi="Times New Roman" w:eastAsia="Times New Roman"/>
          <w:sz w:val="24"/>
          <w:szCs w:val="24"/>
        </w:rPr>
      </w:pPr>
      <w:r>
        <w:rPr>
          <w:rFonts w:ascii="Times New Roman" w:hAnsi="Times New Roman" w:eastAsia="Times New Roman"/>
          <w:i/>
          <w:sz w:val="24"/>
          <w:szCs w:val="24"/>
        </w:rPr>
        <w:t>Magnitud y características del aporte alcanzado: repercusión nacional o internacional, patente, doctorado, relación de eventos, publicaciones, entre otros.</w:t>
      </w:r>
    </w:p>
    <w:p>
      <w:pPr>
        <w:spacing w:before="240"/>
        <w:jc w:val="both"/>
        <w:rPr>
          <w:rFonts w:ascii="Times New Roman" w:hAnsi="Times New Roman" w:eastAsia="SimSun"/>
          <w:sz w:val="24"/>
          <w:szCs w:val="24"/>
          <w:lang w:eastAsia="es-ES"/>
        </w:rPr>
      </w:pPr>
      <w:r>
        <w:rPr>
          <w:rFonts w:ascii="Times New Roman" w:hAnsi="Times New Roman" w:eastAsia="SimSun"/>
          <w:sz w:val="24"/>
          <w:szCs w:val="24"/>
          <w:lang w:eastAsia="es-ES"/>
        </w:rPr>
        <w:t xml:space="preserve">Los resultados alcanzados en los primeros tres meses del año tienen una repercusión en el ámbito nacional pues se avanzó en el desarrollo de un bioproducto a base de rizobios para maíz que contiene un medio de cultivo barato, que emplea subproductos de la industria nacional y que asegura una alta concentración del ingrediente activo en el inoculante. Además, se demostró un efecto antagonista de Azofert-Arroz, frente a </w:t>
      </w:r>
      <w:r>
        <w:rPr>
          <w:rFonts w:ascii="Times New Roman" w:hAnsi="Times New Roman" w:eastAsia="SimSun"/>
          <w:i/>
          <w:sz w:val="24"/>
          <w:szCs w:val="24"/>
          <w:lang w:eastAsia="es-ES"/>
        </w:rPr>
        <w:t>Bipolaris</w:t>
      </w:r>
      <w:r>
        <w:rPr>
          <w:rFonts w:ascii="Times New Roman" w:hAnsi="Times New Roman" w:eastAsia="SimSun"/>
          <w:sz w:val="24"/>
          <w:szCs w:val="24"/>
          <w:lang w:eastAsia="es-ES"/>
        </w:rPr>
        <w:t xml:space="preserve">, un género fúngico que afecta en gran medida las plantaciones de arroz en Cuba. Por lo tanto, ambos bioproductos podrían formar parte del manejo integrado de los cultivos arroz y maíz, priorizados por la Política Económica del país, para disminuir los gastos por concepto de fertilización nitrogenada e incrementar de los rendimientos.     </w:t>
      </w:r>
    </w:p>
    <w:p>
      <w:pPr>
        <w:spacing w:before="240" w:after="60" w:line="240" w:lineRule="auto"/>
        <w:jc w:val="both"/>
        <w:rPr>
          <w:rFonts w:ascii="Times New Roman" w:hAnsi="Times New Roman" w:eastAsia="Times New Roman"/>
          <w:i/>
          <w:sz w:val="24"/>
          <w:szCs w:val="24"/>
        </w:rPr>
      </w:pPr>
      <w:r>
        <w:rPr>
          <w:rFonts w:ascii="Times New Roman" w:hAnsi="Times New Roman" w:eastAsia="Times New Roman"/>
          <w:i/>
          <w:sz w:val="24"/>
          <w:szCs w:val="24"/>
        </w:rPr>
        <w:t>Nivel de generalización: propuesta, alcanzada y posible</w:t>
      </w:r>
    </w:p>
    <w:p>
      <w:pPr>
        <w:spacing w:before="240"/>
        <w:jc w:val="both"/>
        <w:rPr>
          <w:rFonts w:ascii="Times New Roman" w:hAnsi="Times New Roman" w:eastAsia="SimSun"/>
          <w:sz w:val="24"/>
          <w:szCs w:val="24"/>
          <w:lang w:eastAsia="es-ES"/>
        </w:rPr>
      </w:pPr>
      <w:r>
        <w:rPr>
          <w:rFonts w:ascii="Times New Roman" w:hAnsi="Times New Roman" w:eastAsia="SimSun"/>
          <w:sz w:val="24"/>
          <w:szCs w:val="24"/>
          <w:lang w:eastAsia="es-ES"/>
        </w:rPr>
        <w:t xml:space="preserve">En el período que se evalúa, la actividad de generalización se evidenció a partir de la coordinación entre la dirección del INCA y el CAI arrocero de Los Palacios en Pinar del Río, la realización de validaciones del producto en áreas productivas y con mayor extensión que lo que se habían realizado hasta el momento. Teniendo en cuenta que el arroz es un cultivo priorizado y </w:t>
      </w:r>
      <w:r>
        <w:rPr>
          <w:rFonts w:hint="default" w:ascii="Times New Roman" w:hAnsi="Times New Roman" w:eastAsia="SimSun"/>
          <w:sz w:val="24"/>
          <w:szCs w:val="24"/>
          <w:lang w:val="en-US" w:eastAsia="es-ES"/>
        </w:rPr>
        <w:t>que la falta de</w:t>
      </w:r>
      <w:r>
        <w:rPr>
          <w:rFonts w:ascii="Times New Roman" w:hAnsi="Times New Roman" w:eastAsia="SimSun"/>
          <w:sz w:val="24"/>
          <w:szCs w:val="24"/>
          <w:lang w:eastAsia="es-ES"/>
        </w:rPr>
        <w:t xml:space="preserve"> productos que incrementan su rendimiento</w:t>
      </w:r>
      <w:r>
        <w:rPr>
          <w:rFonts w:hint="default" w:ascii="Times New Roman" w:hAnsi="Times New Roman" w:eastAsia="SimSun"/>
          <w:sz w:val="24"/>
          <w:szCs w:val="24"/>
          <w:lang w:val="en-US" w:eastAsia="es-ES"/>
        </w:rPr>
        <w:t xml:space="preserve"> atenta contra su productividad</w:t>
      </w:r>
      <w:r>
        <w:rPr>
          <w:rFonts w:ascii="Times New Roman" w:hAnsi="Times New Roman" w:eastAsia="SimSun"/>
          <w:sz w:val="24"/>
          <w:szCs w:val="24"/>
          <w:lang w:eastAsia="es-ES"/>
        </w:rPr>
        <w:t xml:space="preserve">, creemos que acciones de coordinación como las que se han estado realizando nos permitirá introducir el producto aceleradamente en la práctica productiva.   </w:t>
      </w:r>
    </w:p>
    <w:p>
      <w:pPr>
        <w:numPr>
          <w:ilvl w:val="0"/>
          <w:numId w:val="1"/>
        </w:numPr>
        <w:spacing w:after="120" w:line="240" w:lineRule="auto"/>
        <w:ind w:left="357" w:hanging="357"/>
        <w:jc w:val="both"/>
        <w:rPr>
          <w:rFonts w:ascii="Times New Roman" w:hAnsi="Times New Roman" w:eastAsia="Times New Roman"/>
          <w:sz w:val="24"/>
          <w:szCs w:val="24"/>
        </w:rPr>
      </w:pPr>
      <w:r>
        <w:rPr>
          <w:rFonts w:ascii="Times New Roman" w:hAnsi="Times New Roman" w:eastAsia="Times New Roman"/>
          <w:b/>
          <w:sz w:val="24"/>
          <w:szCs w:val="24"/>
        </w:rPr>
        <w:t>Novedad</w:t>
      </w:r>
      <w:r>
        <w:rPr>
          <w:rFonts w:ascii="Times New Roman" w:hAnsi="Times New Roman" w:eastAsia="Times New Roman"/>
          <w:sz w:val="24"/>
          <w:szCs w:val="24"/>
        </w:rPr>
        <w:t xml:space="preserve"> </w:t>
      </w:r>
    </w:p>
    <w:p>
      <w:pPr>
        <w:spacing w:after="12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Durante el período se identifican como principales novedades: </w:t>
      </w:r>
    </w:p>
    <w:p>
      <w:pPr>
        <w:pStyle w:val="9"/>
        <w:numPr>
          <w:ilvl w:val="0"/>
          <w:numId w:val="2"/>
        </w:numPr>
        <w:spacing w:after="120" w:line="240" w:lineRule="auto"/>
        <w:jc w:val="both"/>
        <w:rPr>
          <w:rFonts w:ascii="Times New Roman" w:hAnsi="Times New Roman" w:eastAsia="Times New Roman"/>
          <w:szCs w:val="24"/>
        </w:rPr>
      </w:pPr>
      <w:r>
        <w:rPr>
          <w:rFonts w:ascii="Times New Roman" w:hAnsi="Times New Roman" w:eastAsia="Times New Roman"/>
          <w:szCs w:val="24"/>
        </w:rPr>
        <w:t>Se obtuvo un medio de cultivo a base de residuos agroindustriales que asegura altas concentraciones de una cepa de rizobio promisoria</w:t>
      </w:r>
      <w:r>
        <w:rPr>
          <w:rFonts w:hint="default" w:ascii="Times New Roman" w:hAnsi="Times New Roman" w:eastAsia="Times New Roman"/>
          <w:szCs w:val="24"/>
          <w:lang w:val="es-ES"/>
        </w:rPr>
        <w:t xml:space="preserve"> para el maíz</w:t>
      </w:r>
      <w:r>
        <w:rPr>
          <w:rFonts w:ascii="Times New Roman" w:hAnsi="Times New Roman" w:eastAsia="Times New Roman"/>
          <w:szCs w:val="24"/>
        </w:rPr>
        <w:t xml:space="preserve">. </w:t>
      </w:r>
    </w:p>
    <w:p>
      <w:pPr>
        <w:pStyle w:val="9"/>
        <w:numPr>
          <w:ilvl w:val="0"/>
          <w:numId w:val="2"/>
        </w:numPr>
        <w:spacing w:after="120" w:line="240" w:lineRule="auto"/>
        <w:jc w:val="both"/>
        <w:rPr>
          <w:rFonts w:ascii="Times New Roman" w:hAnsi="Times New Roman" w:eastAsia="Times New Roman"/>
          <w:szCs w:val="24"/>
        </w:rPr>
      </w:pPr>
      <w:r>
        <w:rPr>
          <w:rFonts w:ascii="Times New Roman" w:hAnsi="Times New Roman" w:eastAsia="Times New Roman"/>
          <w:szCs w:val="24"/>
        </w:rPr>
        <w:t xml:space="preserve">Se contribuyó al conocimiento de la interacción </w:t>
      </w:r>
      <w:r>
        <w:rPr>
          <w:rFonts w:ascii="Times New Roman" w:hAnsi="Times New Roman" w:eastAsia="Times New Roman"/>
          <w:i/>
          <w:szCs w:val="24"/>
        </w:rPr>
        <w:t>Rhizobium</w:t>
      </w:r>
      <w:r>
        <w:rPr>
          <w:rFonts w:ascii="Times New Roman" w:hAnsi="Times New Roman" w:eastAsia="Times New Roman"/>
          <w:szCs w:val="24"/>
        </w:rPr>
        <w:t>-arroz, en especial en la especificidad cepa-cultivar.</w:t>
      </w:r>
    </w:p>
    <w:p>
      <w:pPr>
        <w:pStyle w:val="9"/>
        <w:numPr>
          <w:ilvl w:val="0"/>
          <w:numId w:val="2"/>
        </w:numPr>
        <w:spacing w:before="240" w:after="120" w:line="240" w:lineRule="auto"/>
        <w:jc w:val="both"/>
        <w:rPr>
          <w:rFonts w:ascii="Times New Roman" w:hAnsi="Times New Roman" w:eastAsia="Times New Roman"/>
          <w:szCs w:val="24"/>
        </w:rPr>
      </w:pPr>
      <w:r>
        <w:rPr>
          <w:rFonts w:ascii="Times New Roman" w:hAnsi="Times New Roman" w:eastAsia="Times New Roman"/>
          <w:szCs w:val="24"/>
        </w:rPr>
        <w:t xml:space="preserve">Por primera vez en Cuba, cepas de rizobios provenientes de cultivares cubanos de importancia económica, presentaron actividad antagonista frente a </w:t>
      </w:r>
      <w:r>
        <w:rPr>
          <w:rFonts w:ascii="Times New Roman" w:hAnsi="Times New Roman" w:eastAsia="Times New Roman"/>
          <w:i/>
          <w:szCs w:val="24"/>
        </w:rPr>
        <w:t>Bipolaris</w:t>
      </w:r>
      <w:r>
        <w:rPr>
          <w:rFonts w:ascii="Times New Roman" w:hAnsi="Times New Roman" w:eastAsia="Times New Roman"/>
          <w:szCs w:val="24"/>
        </w:rPr>
        <w:t xml:space="preserve">, hongo que causa grandes pérdidas en el cultivo del arroz en el país.  </w:t>
      </w:r>
    </w:p>
    <w:p>
      <w:pPr>
        <w:numPr>
          <w:ilvl w:val="0"/>
          <w:numId w:val="1"/>
        </w:numPr>
        <w:spacing w:before="240" w:after="120" w:line="240" w:lineRule="auto"/>
        <w:ind w:left="357" w:hanging="357"/>
        <w:jc w:val="both"/>
        <w:rPr>
          <w:rFonts w:ascii="Times New Roman" w:hAnsi="Times New Roman" w:eastAsia="Times New Roman"/>
          <w:sz w:val="24"/>
          <w:szCs w:val="24"/>
        </w:rPr>
      </w:pPr>
      <w:r>
        <w:rPr>
          <w:rFonts w:ascii="Times New Roman" w:hAnsi="Times New Roman" w:eastAsia="Times New Roman"/>
          <w:b/>
          <w:sz w:val="24"/>
          <w:szCs w:val="24"/>
        </w:rPr>
        <w:t>Efecto positivo</w:t>
      </w:r>
      <w:r>
        <w:rPr>
          <w:rFonts w:ascii="Times New Roman" w:hAnsi="Times New Roman" w:eastAsia="Times New Roman"/>
          <w:sz w:val="24"/>
          <w:szCs w:val="24"/>
        </w:rPr>
        <w:t>: Se especifican, cuantitativamente, las ventajas de la propuesta.</w:t>
      </w:r>
    </w:p>
    <w:p>
      <w:pPr>
        <w:pStyle w:val="9"/>
        <w:numPr>
          <w:ilvl w:val="0"/>
          <w:numId w:val="3"/>
        </w:numPr>
        <w:spacing w:before="240" w:after="120" w:line="240" w:lineRule="auto"/>
        <w:jc w:val="both"/>
        <w:rPr>
          <w:rFonts w:ascii="Times New Roman" w:hAnsi="Times New Roman" w:eastAsia="Times New Roman"/>
          <w:szCs w:val="24"/>
        </w:rPr>
      </w:pPr>
      <w:r>
        <w:rPr>
          <w:rFonts w:ascii="Times New Roman" w:hAnsi="Times New Roman" w:eastAsia="Times New Roman"/>
          <w:szCs w:val="24"/>
        </w:rPr>
        <w:t>Se logra ahorrar el 40 % del fertilizante nitrogenado en el cultivo del arroz tras la aplicación de Azofert-A en el momento del trasplante, sin que se afecte negativamente el rendimiento y el número de panículas por m</w:t>
      </w:r>
      <w:r>
        <w:rPr>
          <w:rFonts w:ascii="Times New Roman" w:hAnsi="Times New Roman" w:eastAsia="Times New Roman"/>
          <w:szCs w:val="24"/>
          <w:vertAlign w:val="superscript"/>
        </w:rPr>
        <w:t>2</w:t>
      </w:r>
      <w:r>
        <w:rPr>
          <w:rFonts w:ascii="Times New Roman" w:hAnsi="Times New Roman" w:eastAsia="Times New Roman"/>
          <w:szCs w:val="24"/>
        </w:rPr>
        <w:t>,</w:t>
      </w:r>
      <w:r>
        <w:rPr>
          <w:rFonts w:ascii="Times New Roman" w:hAnsi="Times New Roman" w:eastAsia="Times New Roman"/>
          <w:szCs w:val="24"/>
          <w:vertAlign w:val="superscript"/>
        </w:rPr>
        <w:t xml:space="preserve"> </w:t>
      </w:r>
      <w:r>
        <w:rPr>
          <w:rFonts w:ascii="Times New Roman" w:hAnsi="Times New Roman" w:eastAsia="Times New Roman"/>
          <w:szCs w:val="24"/>
        </w:rPr>
        <w:t>en comparación con el 100 % de la fertilización.</w:t>
      </w:r>
    </w:p>
    <w:p>
      <w:pPr>
        <w:pStyle w:val="9"/>
        <w:numPr>
          <w:ilvl w:val="0"/>
          <w:numId w:val="3"/>
        </w:numPr>
        <w:spacing w:before="240" w:after="120" w:line="240" w:lineRule="auto"/>
        <w:jc w:val="both"/>
        <w:rPr>
          <w:rFonts w:ascii="Times New Roman" w:hAnsi="Times New Roman" w:eastAsia="Times New Roman"/>
          <w:szCs w:val="24"/>
        </w:rPr>
      </w:pPr>
      <w:r>
        <w:rPr>
          <w:rFonts w:ascii="Times New Roman" w:hAnsi="Times New Roman" w:eastAsia="Times New Roman"/>
          <w:szCs w:val="24"/>
        </w:rPr>
        <w:t>Se logra incrementar el rendimiento en un 50 % en al cultivo del arroz con la aplicación del Azofert-A y solo el 60 % de la fertilización nitrogenada, en comparación con el control sin inocular ni fertilizar.</w:t>
      </w:r>
    </w:p>
    <w:p>
      <w:pPr>
        <w:pStyle w:val="9"/>
        <w:numPr>
          <w:ilvl w:val="0"/>
          <w:numId w:val="3"/>
        </w:numPr>
        <w:spacing w:before="240" w:after="120" w:line="240" w:lineRule="auto"/>
        <w:jc w:val="both"/>
        <w:rPr>
          <w:rFonts w:ascii="Times New Roman" w:hAnsi="Times New Roman" w:eastAsia="Times New Roman"/>
          <w:szCs w:val="24"/>
        </w:rPr>
      </w:pPr>
      <w:r>
        <w:rPr>
          <w:rFonts w:ascii="Times New Roman" w:hAnsi="Times New Roman" w:eastAsia="Times New Roman"/>
          <w:szCs w:val="24"/>
        </w:rPr>
        <w:t xml:space="preserve">Se logra alrededor de un 30 % de incremento en el rendimiento de maíz con  el empleo de Azofert-M respecto a los controles no inoculados. </w:t>
      </w:r>
    </w:p>
    <w:p>
      <w:pPr>
        <w:numPr>
          <w:ilvl w:val="0"/>
          <w:numId w:val="1"/>
        </w:numPr>
        <w:spacing w:after="120" w:line="240" w:lineRule="auto"/>
        <w:ind w:left="357" w:hanging="357"/>
        <w:jc w:val="both"/>
        <w:rPr>
          <w:rFonts w:ascii="Times New Roman" w:hAnsi="Times New Roman" w:eastAsia="Times New Roman"/>
          <w:b/>
          <w:color w:val="FF0000"/>
          <w:sz w:val="24"/>
          <w:szCs w:val="24"/>
        </w:rPr>
      </w:pPr>
      <w:r>
        <w:rPr>
          <w:rFonts w:ascii="Times New Roman" w:hAnsi="Times New Roman" w:eastAsia="Times New Roman"/>
          <w:b/>
          <w:sz w:val="24"/>
          <w:szCs w:val="24"/>
        </w:rPr>
        <w:t>Bibliografía</w:t>
      </w:r>
      <w:r>
        <w:rPr>
          <w:rFonts w:ascii="Times New Roman" w:hAnsi="Times New Roman" w:eastAsia="Times New Roman"/>
          <w:sz w:val="24"/>
          <w:szCs w:val="24"/>
        </w:rPr>
        <w:t xml:space="preserve"> </w:t>
      </w:r>
      <w:r>
        <w:rPr>
          <w:rFonts w:ascii="Times New Roman" w:hAnsi="Times New Roman" w:eastAsia="Times New Roman"/>
          <w:b/>
          <w:sz w:val="24"/>
          <w:szCs w:val="24"/>
        </w:rPr>
        <w:t>consultada</w:t>
      </w:r>
      <w:r>
        <w:rPr>
          <w:rFonts w:ascii="Times New Roman" w:hAnsi="Times New Roman" w:eastAsia="Times New Roman"/>
          <w:sz w:val="24"/>
          <w:szCs w:val="24"/>
        </w:rPr>
        <w:t xml:space="preserve">: según normas establecidas. </w:t>
      </w:r>
    </w:p>
    <w:p>
      <w:pPr>
        <w:spacing w:before="100" w:beforeAutospacing="1" w:after="40" w:line="360" w:lineRule="auto"/>
        <w:jc w:val="both"/>
        <w:outlineLvl w:val="0"/>
        <w:rPr>
          <w:rFonts w:ascii="Times New Roman" w:hAnsi="Times New Roman"/>
          <w:sz w:val="24"/>
          <w:szCs w:val="24"/>
          <w:lang w:val="en-US"/>
        </w:rPr>
      </w:pPr>
      <w:r>
        <w:rPr>
          <w:rFonts w:ascii="Times New Roman" w:hAnsi="Times New Roman"/>
          <w:sz w:val="24"/>
          <w:szCs w:val="24"/>
          <w:lang w:val="en-US"/>
        </w:rPr>
        <w:t xml:space="preserve">Endophytic rhizobia promote the growth of Cuban rice cultivar. </w:t>
      </w:r>
      <w:r>
        <w:rPr>
          <w:rFonts w:ascii="Times New Roman" w:hAnsi="Times New Roman"/>
          <w:sz w:val="24"/>
          <w:szCs w:val="24"/>
        </w:rPr>
        <w:t xml:space="preserve">Hernández I., Taulé C., Pérez-Pérez R., Battistoni F., Fabiano E., Rivero D., Nápoles M.C. </w:t>
      </w:r>
      <w:r>
        <w:rPr>
          <w:rFonts w:ascii="Times New Roman" w:hAnsi="Times New Roman"/>
          <w:i/>
          <w:sz w:val="24"/>
          <w:szCs w:val="24"/>
        </w:rPr>
        <w:t xml:space="preserve">Symbiosis. </w:t>
      </w:r>
      <w:r>
        <w:rPr>
          <w:rFonts w:ascii="Times New Roman" w:hAnsi="Times New Roman"/>
          <w:sz w:val="24"/>
          <w:szCs w:val="24"/>
          <w:lang w:val="en-US"/>
        </w:rPr>
        <w:t>2021.</w:t>
      </w:r>
      <w:r>
        <w:rPr>
          <w:rFonts w:ascii="Times New Roman" w:hAnsi="Times New Roman"/>
          <w:i/>
          <w:sz w:val="24"/>
          <w:szCs w:val="24"/>
          <w:lang w:val="en-US"/>
        </w:rPr>
        <w:t xml:space="preserve"> </w:t>
      </w:r>
      <w:r>
        <w:fldChar w:fldCharType="begin"/>
      </w:r>
      <w:r>
        <w:instrText xml:space="preserve"> HYPERLINK "https://doi.org/10.1007/s13199-021-00803-2" </w:instrText>
      </w:r>
      <w:r>
        <w:fldChar w:fldCharType="separate"/>
      </w:r>
      <w:r>
        <w:rPr>
          <w:rStyle w:val="8"/>
          <w:rFonts w:ascii="Times New Roman" w:hAnsi="Times New Roman"/>
          <w:sz w:val="24"/>
          <w:szCs w:val="24"/>
          <w:lang w:val="en-US"/>
        </w:rPr>
        <w:t>https://doi.org/10.1007/s13199-021-00803-2</w:t>
      </w:r>
      <w:r>
        <w:rPr>
          <w:rStyle w:val="8"/>
          <w:rFonts w:ascii="Times New Roman" w:hAnsi="Times New Roman"/>
          <w:sz w:val="24"/>
          <w:szCs w:val="24"/>
          <w:lang w:val="en-US"/>
        </w:rPr>
        <w:fldChar w:fldCharType="end"/>
      </w:r>
      <w:r>
        <w:rPr>
          <w:rFonts w:ascii="Times New Roman" w:hAnsi="Times New Roman"/>
          <w:sz w:val="24"/>
          <w:szCs w:val="24"/>
          <w:lang w:val="en-US"/>
        </w:rPr>
        <w:t xml:space="preserve"> . </w:t>
      </w:r>
    </w:p>
    <w:p>
      <w:pPr>
        <w:widowControl w:val="0"/>
        <w:spacing w:before="100" w:beforeAutospacing="1" w:after="40" w:line="360" w:lineRule="auto"/>
        <w:jc w:val="both"/>
        <w:outlineLvl w:val="0"/>
        <w:rPr>
          <w:rFonts w:ascii="Times New Roman" w:hAnsi="Times New Roman"/>
          <w:b/>
          <w:bCs/>
          <w:sz w:val="24"/>
          <w:szCs w:val="24"/>
          <w:lang w:val="es-US"/>
        </w:rPr>
      </w:pPr>
      <w:r>
        <w:rPr>
          <w:rFonts w:ascii="Times New Roman" w:hAnsi="Times New Roman"/>
          <w:b/>
          <w:bCs/>
          <w:sz w:val="24"/>
          <w:szCs w:val="24"/>
        </w:rPr>
        <w:t>García</w:t>
      </w:r>
      <w:r>
        <w:rPr>
          <w:rFonts w:ascii="Times New Roman" w:hAnsi="Times New Roman"/>
          <w:sz w:val="24"/>
          <w:szCs w:val="24"/>
        </w:rPr>
        <w:t xml:space="preserve"> JC, Hernández A, Acebo Y, Rives N. Obtención de un nuevo método de desinfección de semillas de arroz. </w:t>
      </w:r>
      <w:r>
        <w:rPr>
          <w:rFonts w:ascii="Times New Roman" w:hAnsi="Times New Roman"/>
          <w:i/>
          <w:iCs/>
          <w:sz w:val="24"/>
          <w:szCs w:val="24"/>
        </w:rPr>
        <w:t>Cultivos Tropicales</w:t>
      </w:r>
      <w:r>
        <w:rPr>
          <w:rFonts w:ascii="Times New Roman" w:hAnsi="Times New Roman"/>
          <w:sz w:val="24"/>
          <w:szCs w:val="24"/>
        </w:rPr>
        <w:t xml:space="preserve">. </w:t>
      </w:r>
      <w:r>
        <w:rPr>
          <w:rFonts w:ascii="Times New Roman" w:hAnsi="Times New Roman"/>
          <w:b/>
          <w:bCs/>
          <w:sz w:val="24"/>
          <w:szCs w:val="24"/>
        </w:rPr>
        <w:t>2008</w:t>
      </w:r>
      <w:r>
        <w:rPr>
          <w:rFonts w:ascii="Times New Roman" w:hAnsi="Times New Roman"/>
          <w:bCs/>
          <w:sz w:val="24"/>
          <w:szCs w:val="24"/>
        </w:rPr>
        <w:t>;</w:t>
      </w:r>
      <w:r>
        <w:rPr>
          <w:rFonts w:ascii="Times New Roman" w:hAnsi="Times New Roman"/>
          <w:b/>
          <w:bCs/>
          <w:sz w:val="24"/>
          <w:szCs w:val="24"/>
        </w:rPr>
        <w:t xml:space="preserve"> </w:t>
      </w:r>
      <w:r>
        <w:rPr>
          <w:rFonts w:ascii="Times New Roman" w:hAnsi="Times New Roman"/>
          <w:sz w:val="24"/>
          <w:szCs w:val="24"/>
        </w:rPr>
        <w:t xml:space="preserve">29(4), 55–59. </w:t>
      </w:r>
      <w:r>
        <w:rPr>
          <w:rFonts w:ascii="Times New Roman" w:hAnsi="Times New Roman"/>
          <w:sz w:val="24"/>
          <w:szCs w:val="24"/>
          <w:lang w:eastAsia="ar-SA"/>
        </w:rPr>
        <w:t xml:space="preserve">ISSN: </w:t>
      </w:r>
      <w:r>
        <w:rPr>
          <w:rFonts w:ascii="Times New Roman" w:hAnsi="Times New Roman"/>
          <w:sz w:val="24"/>
          <w:szCs w:val="24"/>
          <w:lang w:val="es-US"/>
        </w:rPr>
        <w:t>1819-4087</w:t>
      </w:r>
    </w:p>
    <w:p>
      <w:pPr>
        <w:jc w:val="both"/>
        <w:rPr>
          <w:rStyle w:val="13"/>
          <w:rFonts w:ascii="Times New Roman" w:hAnsi="Times New Roman" w:eastAsia="SimSun"/>
          <w:sz w:val="24"/>
          <w:szCs w:val="24"/>
          <w:lang w:val="en-US"/>
        </w:rPr>
      </w:pPr>
      <w:r>
        <w:rPr>
          <w:rStyle w:val="13"/>
          <w:rFonts w:ascii="Times New Roman" w:hAnsi="Times New Roman" w:eastAsia="SimSun"/>
          <w:sz w:val="24"/>
          <w:szCs w:val="24"/>
          <w:lang w:val="en-US"/>
        </w:rPr>
        <w:t>Hernández, I.; Taulé, C.; Pérez-Pérez, R.; Battistoni, F.; Fabiano, E.; Villanueva-Guerrero, A.; Nápoles, M.C.; Herrera, H. Endophytic Seed-Associated Bacteria as Plant Growth Promoters of Cuban Rice (</w:t>
      </w:r>
      <w:r>
        <w:rPr>
          <w:rStyle w:val="13"/>
          <w:rFonts w:ascii="Times New Roman" w:hAnsi="Times New Roman" w:eastAsia="SimSun"/>
          <w:i/>
          <w:sz w:val="24"/>
          <w:szCs w:val="24"/>
          <w:lang w:val="en-US"/>
        </w:rPr>
        <w:t>Oryza sativa</w:t>
      </w:r>
      <w:r>
        <w:rPr>
          <w:rStyle w:val="13"/>
          <w:rFonts w:ascii="Times New Roman" w:hAnsi="Times New Roman" w:eastAsia="SimSun"/>
          <w:sz w:val="24"/>
          <w:szCs w:val="24"/>
          <w:lang w:val="en-US"/>
        </w:rPr>
        <w:t xml:space="preserve"> L.). </w:t>
      </w:r>
      <w:r>
        <w:rPr>
          <w:rStyle w:val="13"/>
          <w:rFonts w:ascii="Times New Roman" w:hAnsi="Times New Roman" w:eastAsia="SimSun"/>
          <w:i/>
          <w:sz w:val="24"/>
          <w:szCs w:val="24"/>
          <w:lang w:val="en-US"/>
        </w:rPr>
        <w:t>Microorganisms</w:t>
      </w:r>
      <w:r>
        <w:rPr>
          <w:rStyle w:val="13"/>
          <w:rFonts w:ascii="Times New Roman" w:hAnsi="Times New Roman" w:eastAsia="SimSun"/>
          <w:sz w:val="24"/>
          <w:szCs w:val="24"/>
          <w:lang w:val="en-US"/>
        </w:rPr>
        <w:t xml:space="preserve"> 2023, 11, 2317. </w:t>
      </w:r>
      <w:r>
        <w:fldChar w:fldCharType="begin"/>
      </w:r>
      <w:r>
        <w:instrText xml:space="preserve"> HYPERLINK "https://doi.org/10.3390/microorganisms11092317" </w:instrText>
      </w:r>
      <w:r>
        <w:fldChar w:fldCharType="separate"/>
      </w:r>
      <w:r>
        <w:rPr>
          <w:rStyle w:val="8"/>
          <w:rFonts w:ascii="Times New Roman" w:hAnsi="Times New Roman" w:eastAsia="SimSun"/>
          <w:sz w:val="24"/>
          <w:szCs w:val="24"/>
          <w:lang w:val="en-US"/>
        </w:rPr>
        <w:t>https://doi.org/10.3390/microorganisms11092317</w:t>
      </w:r>
      <w:r>
        <w:rPr>
          <w:rStyle w:val="8"/>
          <w:rFonts w:ascii="Times New Roman" w:hAnsi="Times New Roman" w:eastAsia="SimSun"/>
          <w:sz w:val="24"/>
          <w:szCs w:val="24"/>
          <w:lang w:val="en-US"/>
        </w:rPr>
        <w:fldChar w:fldCharType="end"/>
      </w:r>
    </w:p>
    <w:p>
      <w:pPr>
        <w:spacing w:before="100" w:beforeAutospacing="1" w:after="40" w:line="360" w:lineRule="auto"/>
        <w:jc w:val="both"/>
        <w:outlineLvl w:val="0"/>
        <w:rPr>
          <w:rFonts w:ascii="Times New Roman" w:hAnsi="Times New Roman" w:eastAsia="Arial"/>
          <w:color w:val="FF0000"/>
          <w:sz w:val="24"/>
          <w:szCs w:val="24"/>
          <w:lang w:val="en-US" w:eastAsia="es-ES"/>
        </w:rPr>
      </w:pPr>
      <w:r>
        <w:rPr>
          <w:rFonts w:ascii="Times New Roman" w:hAnsi="Times New Roman"/>
          <w:b/>
          <w:sz w:val="24"/>
          <w:szCs w:val="24"/>
          <w:lang w:val="en-US" w:eastAsia="es-ES"/>
        </w:rPr>
        <w:t>Josey</w:t>
      </w:r>
      <w:r>
        <w:rPr>
          <w:rFonts w:ascii="Times New Roman" w:hAnsi="Times New Roman"/>
          <w:sz w:val="24"/>
          <w:szCs w:val="24"/>
          <w:lang w:val="en-US" w:eastAsia="es-ES"/>
        </w:rPr>
        <w:t xml:space="preserve"> DP, Beynon JL, Johnston AWB, Beringer JE. Strain identification in </w:t>
      </w:r>
      <w:r>
        <w:rPr>
          <w:rFonts w:ascii="Times New Roman" w:hAnsi="Times New Roman"/>
          <w:i/>
          <w:sz w:val="24"/>
          <w:szCs w:val="24"/>
          <w:lang w:val="en-US" w:eastAsia="es-ES"/>
        </w:rPr>
        <w:t>Rhizobium</w:t>
      </w:r>
      <w:r>
        <w:rPr>
          <w:rFonts w:ascii="Times New Roman" w:hAnsi="Times New Roman"/>
          <w:sz w:val="24"/>
          <w:szCs w:val="24"/>
          <w:lang w:val="en-US" w:eastAsia="es-ES"/>
        </w:rPr>
        <w:t xml:space="preserve"> using intrinsic antibiotic resistance. </w:t>
      </w:r>
      <w:r>
        <w:rPr>
          <w:rFonts w:ascii="Times New Roman" w:hAnsi="Times New Roman"/>
          <w:i/>
          <w:sz w:val="24"/>
          <w:szCs w:val="24"/>
          <w:lang w:val="en-US" w:eastAsia="es-ES"/>
        </w:rPr>
        <w:t xml:space="preserve">J Appl Bacteriol. </w:t>
      </w:r>
      <w:r>
        <w:rPr>
          <w:rFonts w:ascii="Times New Roman" w:hAnsi="Times New Roman"/>
          <w:b/>
          <w:sz w:val="24"/>
          <w:szCs w:val="24"/>
          <w:lang w:val="en-US" w:eastAsia="es-ES"/>
        </w:rPr>
        <w:t>1979</w:t>
      </w:r>
      <w:r>
        <w:rPr>
          <w:rFonts w:ascii="Times New Roman" w:hAnsi="Times New Roman"/>
          <w:sz w:val="24"/>
          <w:szCs w:val="24"/>
          <w:lang w:val="en-US" w:eastAsia="es-ES"/>
        </w:rPr>
        <w:t>; 46(2): 343-350.</w:t>
      </w:r>
      <w:r>
        <w:rPr>
          <w:rFonts w:ascii="Times New Roman" w:hAnsi="Times New Roman"/>
          <w:color w:val="FF0000"/>
          <w:sz w:val="24"/>
          <w:szCs w:val="24"/>
          <w:lang w:val="en-US" w:eastAsia="es-ES"/>
        </w:rPr>
        <w:t xml:space="preserve"> </w:t>
      </w:r>
      <w:r>
        <w:fldChar w:fldCharType="begin"/>
      </w:r>
      <w:r>
        <w:instrText xml:space="preserve"> HYPERLINK "https://doi.org/10.1111/j.1365-2672.1979.tb00830.x" </w:instrText>
      </w:r>
      <w:r>
        <w:fldChar w:fldCharType="separate"/>
      </w:r>
      <w:r>
        <w:rPr>
          <w:rFonts w:ascii="Times New Roman" w:hAnsi="Times New Roman"/>
          <w:iCs/>
          <w:color w:val="0000FF"/>
          <w:sz w:val="24"/>
          <w:szCs w:val="24"/>
          <w:u w:val="single"/>
          <w:lang w:val="en-US" w:eastAsia="ar-SA"/>
        </w:rPr>
        <w:t>https://doi.org/10.1111/j.1365-2672.1979.tb00830.x</w:t>
      </w:r>
      <w:r>
        <w:rPr>
          <w:rFonts w:ascii="Times New Roman" w:hAnsi="Times New Roman"/>
          <w:iCs/>
          <w:color w:val="0000FF"/>
          <w:sz w:val="24"/>
          <w:szCs w:val="24"/>
          <w:u w:val="single"/>
          <w:lang w:val="en-US" w:eastAsia="ar-SA"/>
        </w:rPr>
        <w:fldChar w:fldCharType="end"/>
      </w:r>
      <w:r>
        <w:rPr>
          <w:rFonts w:ascii="Times New Roman" w:hAnsi="Times New Roman"/>
          <w:iCs/>
          <w:color w:val="FF0000"/>
          <w:sz w:val="24"/>
          <w:szCs w:val="24"/>
          <w:u w:val="single"/>
          <w:lang w:val="en-US" w:eastAsia="ar-SA"/>
        </w:rPr>
        <w:t xml:space="preserve"> </w:t>
      </w:r>
      <w:r>
        <w:rPr>
          <w:rFonts w:ascii="Times New Roman" w:hAnsi="Times New Roman"/>
          <w:iCs/>
          <w:color w:val="FF0000"/>
          <w:sz w:val="24"/>
          <w:szCs w:val="24"/>
          <w:lang w:val="en-US" w:eastAsia="ar-SA"/>
        </w:rPr>
        <w:t xml:space="preserve"> </w:t>
      </w:r>
    </w:p>
    <w:p>
      <w:pPr>
        <w:jc w:val="both"/>
        <w:rPr>
          <w:rFonts w:ascii="Times New Roman" w:hAnsi="Times New Roman"/>
          <w:sz w:val="24"/>
          <w:szCs w:val="24"/>
          <w:lang w:val="en-US"/>
        </w:rPr>
      </w:pPr>
      <w:r>
        <w:rPr>
          <w:rFonts w:ascii="Times New Roman" w:hAnsi="Times New Roman"/>
          <w:sz w:val="24"/>
          <w:szCs w:val="24"/>
        </w:rPr>
        <w:t xml:space="preserve">Nápoles MC, Gómez G, Costales D. Factores de nodulación. Experiencia en Cuba. Cultivos Tropicales [Internet]. </w:t>
      </w:r>
      <w:r>
        <w:rPr>
          <w:rFonts w:ascii="Times New Roman" w:hAnsi="Times New Roman"/>
          <w:sz w:val="24"/>
          <w:szCs w:val="24"/>
          <w:lang w:val="en-US"/>
        </w:rPr>
        <w:t xml:space="preserve">2008;29(2):71–80. Available from: </w:t>
      </w:r>
      <w:r>
        <w:fldChar w:fldCharType="begin"/>
      </w:r>
      <w:r>
        <w:instrText xml:space="preserve"> HYPERLINK "http://scielo.sld.cu/scielo.php?script=sci_arttext&amp;pid=S0258-59362008000200012" </w:instrText>
      </w:r>
      <w:r>
        <w:fldChar w:fldCharType="separate"/>
      </w:r>
      <w:r>
        <w:rPr>
          <w:rStyle w:val="8"/>
          <w:rFonts w:ascii="Times New Roman" w:hAnsi="Times New Roman"/>
          <w:sz w:val="24"/>
          <w:szCs w:val="24"/>
          <w:lang w:val="en-US"/>
        </w:rPr>
        <w:t>http://scielo.sld.cu/scielo.php?script=sci_arttext&amp;pid=S0258-59362008000200012</w:t>
      </w:r>
      <w:r>
        <w:rPr>
          <w:rStyle w:val="8"/>
          <w:rFonts w:ascii="Times New Roman" w:hAnsi="Times New Roman"/>
          <w:sz w:val="24"/>
          <w:szCs w:val="24"/>
          <w:lang w:val="en-US"/>
        </w:rPr>
        <w:fldChar w:fldCharType="end"/>
      </w:r>
      <w:r>
        <w:rPr>
          <w:rFonts w:ascii="Times New Roman" w:hAnsi="Times New Roman"/>
          <w:sz w:val="24"/>
          <w:szCs w:val="24"/>
          <w:lang w:val="en-US"/>
        </w:rPr>
        <w:t xml:space="preserve"> </w:t>
      </w:r>
    </w:p>
    <w:p>
      <w:pPr>
        <w:suppressAutoHyphens/>
        <w:spacing w:before="100" w:beforeAutospacing="1" w:after="40" w:line="360" w:lineRule="auto"/>
        <w:jc w:val="both"/>
        <w:outlineLvl w:val="0"/>
        <w:rPr>
          <w:rFonts w:ascii="Times New Roman" w:hAnsi="Times New Roman"/>
          <w:sz w:val="24"/>
          <w:szCs w:val="24"/>
        </w:rPr>
      </w:pPr>
      <w:r>
        <w:rPr>
          <w:rFonts w:ascii="Times New Roman" w:hAnsi="Times New Roman"/>
          <w:b/>
          <w:sz w:val="24"/>
          <w:szCs w:val="24"/>
          <w:lang w:val="en-US"/>
        </w:rPr>
        <w:t>Vincent</w:t>
      </w:r>
      <w:r>
        <w:rPr>
          <w:rFonts w:ascii="Times New Roman" w:hAnsi="Times New Roman"/>
          <w:sz w:val="24"/>
          <w:szCs w:val="24"/>
          <w:lang w:val="en-US"/>
        </w:rPr>
        <w:t xml:space="preserve"> JM. </w:t>
      </w:r>
      <w:r>
        <w:rPr>
          <w:rFonts w:ascii="Times New Roman" w:hAnsi="Times New Roman"/>
          <w:iCs/>
          <w:sz w:val="24"/>
          <w:szCs w:val="24"/>
          <w:lang w:val="en-US"/>
        </w:rPr>
        <w:t>A manual for the practical study of root-nodule bacteria</w:t>
      </w:r>
      <w:r>
        <w:rPr>
          <w:rFonts w:ascii="Times New Roman" w:hAnsi="Times New Roman"/>
          <w:sz w:val="24"/>
          <w:szCs w:val="24"/>
          <w:lang w:val="en-US"/>
        </w:rPr>
        <w:t xml:space="preserve">. </w:t>
      </w:r>
      <w:r>
        <w:rPr>
          <w:rFonts w:ascii="Times New Roman" w:hAnsi="Times New Roman"/>
          <w:sz w:val="24"/>
          <w:szCs w:val="24"/>
        </w:rPr>
        <w:t>1</w:t>
      </w:r>
      <w:r>
        <w:rPr>
          <w:rFonts w:ascii="Times New Roman" w:hAnsi="Times New Roman"/>
          <w:sz w:val="24"/>
          <w:szCs w:val="24"/>
          <w:vertAlign w:val="superscript"/>
        </w:rPr>
        <w:t>st</w:t>
      </w:r>
      <w:r>
        <w:rPr>
          <w:rFonts w:ascii="Times New Roman" w:hAnsi="Times New Roman"/>
          <w:sz w:val="24"/>
          <w:szCs w:val="24"/>
        </w:rPr>
        <w:t xml:space="preserve"> ed. England, Oxford:</w:t>
      </w:r>
      <w:r>
        <w:rPr>
          <w:rFonts w:ascii="Times New Roman" w:hAnsi="Times New Roman"/>
          <w:b/>
          <w:sz w:val="24"/>
          <w:szCs w:val="24"/>
        </w:rPr>
        <w:t xml:space="preserve"> </w:t>
      </w:r>
      <w:r>
        <w:rPr>
          <w:rFonts w:ascii="Times New Roman" w:hAnsi="Times New Roman"/>
          <w:sz w:val="24"/>
          <w:szCs w:val="24"/>
        </w:rPr>
        <w:t>International Programme Handbook;</w:t>
      </w:r>
      <w:r>
        <w:rPr>
          <w:rFonts w:ascii="Times New Roman" w:hAnsi="Times New Roman"/>
          <w:b/>
          <w:sz w:val="24"/>
          <w:szCs w:val="24"/>
        </w:rPr>
        <w:t xml:space="preserve"> 1970</w:t>
      </w:r>
      <w:r>
        <w:rPr>
          <w:rFonts w:ascii="Times New Roman" w:hAnsi="Times New Roman"/>
          <w:sz w:val="24"/>
          <w:szCs w:val="24"/>
        </w:rPr>
        <w:t>. 164 p. ISBN: 19710700726</w:t>
      </w:r>
    </w:p>
    <w:p>
      <w:pPr>
        <w:numPr>
          <w:ilvl w:val="0"/>
          <w:numId w:val="1"/>
        </w:numPr>
        <w:spacing w:after="120" w:line="240" w:lineRule="auto"/>
        <w:ind w:left="357" w:hanging="357"/>
        <w:jc w:val="both"/>
        <w:rPr>
          <w:rFonts w:ascii="Times New Roman" w:hAnsi="Times New Roman" w:eastAsia="Times New Roman"/>
          <w:sz w:val="24"/>
          <w:szCs w:val="24"/>
        </w:rPr>
      </w:pPr>
      <w:r>
        <w:rPr>
          <w:rFonts w:ascii="Times New Roman" w:hAnsi="Times New Roman" w:eastAsia="Times New Roman"/>
          <w:b/>
          <w:sz w:val="24"/>
          <w:szCs w:val="24"/>
        </w:rPr>
        <w:t>Anexos</w:t>
      </w:r>
      <w:r>
        <w:rPr>
          <w:rFonts w:ascii="Times New Roman" w:hAnsi="Times New Roman" w:eastAsia="Times New Roman"/>
          <w:sz w:val="24"/>
          <w:szCs w:val="24"/>
        </w:rPr>
        <w:t>: Informe Científico</w:t>
      </w:r>
    </w:p>
    <w:p>
      <w:pPr>
        <w:spacing w:after="120" w:line="240" w:lineRule="auto"/>
        <w:jc w:val="both"/>
        <w:rPr>
          <w:rFonts w:ascii="Times New Roman" w:hAnsi="Times New Roman" w:eastAsia="Times New Roman"/>
          <w:sz w:val="24"/>
          <w:szCs w:val="24"/>
        </w:rPr>
      </w:pPr>
    </w:p>
    <w:p>
      <w:pPr>
        <w:spacing w:after="120" w:line="240" w:lineRule="auto"/>
        <w:jc w:val="both"/>
        <w:rPr>
          <w:rFonts w:ascii="Times New Roman" w:hAnsi="Times New Roman" w:eastAsia="Times New Roman"/>
          <w:sz w:val="24"/>
          <w:szCs w:val="24"/>
        </w:rPr>
      </w:pPr>
    </w:p>
    <w:p>
      <w:pPr>
        <w:spacing w:after="120" w:line="240" w:lineRule="auto"/>
        <w:jc w:val="both"/>
        <w:rPr>
          <w:rFonts w:hint="default" w:ascii="Times New Roman" w:hAnsi="Times New Roman" w:eastAsia="Times New Roman"/>
          <w:sz w:val="24"/>
          <w:szCs w:val="24"/>
          <w:lang w:val="es-ES"/>
        </w:rPr>
      </w:pPr>
      <w:r>
        <w:rPr>
          <w:rFonts w:ascii="Times New Roman" w:hAnsi="Times New Roman" w:eastAsia="Times New Roman"/>
          <w:sz w:val="24"/>
          <w:szCs w:val="24"/>
          <w:lang w:eastAsia="es-ES"/>
        </w:rPr>
        <w:drawing>
          <wp:anchor distT="0" distB="0" distL="114300" distR="114300" simplePos="0" relativeHeight="251661312" behindDoc="0" locked="0" layoutInCell="1" allowOverlap="1">
            <wp:simplePos x="0" y="0"/>
            <wp:positionH relativeFrom="column">
              <wp:posOffset>2120900</wp:posOffset>
            </wp:positionH>
            <wp:positionV relativeFrom="paragraph">
              <wp:posOffset>79375</wp:posOffset>
            </wp:positionV>
            <wp:extent cx="734060" cy="445135"/>
            <wp:effectExtent l="0" t="0" r="8890" b="1206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4060" cy="445135"/>
                    </a:xfrm>
                    <a:prstGeom prst="rect">
                      <a:avLst/>
                    </a:prstGeom>
                  </pic:spPr>
                </pic:pic>
              </a:graphicData>
            </a:graphic>
          </wp:anchor>
        </w:drawing>
      </w:r>
      <w:r>
        <w:rPr>
          <w:rFonts w:hint="default" w:ascii="Times New Roman" w:hAnsi="Times New Roman" w:eastAsia="Times New Roman"/>
          <w:sz w:val="24"/>
          <w:szCs w:val="24"/>
          <w:lang w:val="es-ES"/>
        </w:rPr>
        <w:t xml:space="preserve">  </w:t>
      </w:r>
    </w:p>
    <w:p>
      <w:pPr>
        <w:spacing w:after="12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Firma del Jefe de Proyecto: </w:t>
      </w:r>
    </w:p>
    <w:p>
      <w:pPr>
        <w:spacing w:after="120" w:line="240" w:lineRule="auto"/>
        <w:jc w:val="both"/>
        <w:rPr>
          <w:rFonts w:ascii="Times New Roman" w:hAnsi="Times New Roman"/>
          <w:sz w:val="24"/>
          <w:szCs w:val="24"/>
        </w:rPr>
      </w:pPr>
      <w:r>
        <w:rPr>
          <w:rFonts w:ascii="Times New Roman" w:hAnsi="Times New Roman" w:eastAsia="Times New Roman"/>
          <w:sz w:val="24"/>
          <w:szCs w:val="24"/>
        </w:rPr>
        <w:t>Fecha: 17 de Marzo de 2024</w:t>
      </w:r>
      <w:bookmarkStart w:id="0" w:name="_GoBack"/>
      <w:bookmarkEnd w:id="0"/>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auto"/>
    <w:pitch w:val="default"/>
    <w:sig w:usb0="E10002FF" w:usb1="4000ACFF" w:usb2="00000009" w:usb3="00000000" w:csb0="2000019F" w:csb1="00000000"/>
  </w:font>
  <w:font w:name="Microsoft YaHei">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977C23"/>
    <w:multiLevelType w:val="multilevel"/>
    <w:tmpl w:val="11977C2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4BE6B2B"/>
    <w:multiLevelType w:val="multilevel"/>
    <w:tmpl w:val="44BE6B2B"/>
    <w:lvl w:ilvl="0" w:tentative="0">
      <w:start w:val="1"/>
      <w:numFmt w:val="decimal"/>
      <w:lvlText w:val="%1."/>
      <w:lvlJc w:val="left"/>
      <w:pPr>
        <w:ind w:left="720" w:hanging="360"/>
      </w:pPr>
      <w:rPr>
        <w:rFonts w:hint="default"/>
        <w:b/>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FA52132"/>
    <w:multiLevelType w:val="multilevel"/>
    <w:tmpl w:val="4FA5213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D76"/>
    <w:rsid w:val="00023A42"/>
    <w:rsid w:val="00056FB0"/>
    <w:rsid w:val="000C6A56"/>
    <w:rsid w:val="000F39F2"/>
    <w:rsid w:val="00107386"/>
    <w:rsid w:val="00145189"/>
    <w:rsid w:val="001D2124"/>
    <w:rsid w:val="002011EC"/>
    <w:rsid w:val="00211A67"/>
    <w:rsid w:val="00232BE3"/>
    <w:rsid w:val="002420EB"/>
    <w:rsid w:val="00266A96"/>
    <w:rsid w:val="00292A01"/>
    <w:rsid w:val="002B4031"/>
    <w:rsid w:val="002C4B93"/>
    <w:rsid w:val="002E7313"/>
    <w:rsid w:val="00320FC3"/>
    <w:rsid w:val="003453E7"/>
    <w:rsid w:val="00362D39"/>
    <w:rsid w:val="00372F49"/>
    <w:rsid w:val="003905C9"/>
    <w:rsid w:val="003C477A"/>
    <w:rsid w:val="003F7AE4"/>
    <w:rsid w:val="00412E23"/>
    <w:rsid w:val="00415180"/>
    <w:rsid w:val="00430D76"/>
    <w:rsid w:val="00443FB4"/>
    <w:rsid w:val="00496763"/>
    <w:rsid w:val="004B2394"/>
    <w:rsid w:val="004D2B81"/>
    <w:rsid w:val="004D5973"/>
    <w:rsid w:val="004F4B64"/>
    <w:rsid w:val="005A6059"/>
    <w:rsid w:val="005C1034"/>
    <w:rsid w:val="005C5F17"/>
    <w:rsid w:val="005D49EE"/>
    <w:rsid w:val="006D5B44"/>
    <w:rsid w:val="0077334F"/>
    <w:rsid w:val="00790CE0"/>
    <w:rsid w:val="007C281F"/>
    <w:rsid w:val="00882E8D"/>
    <w:rsid w:val="008F3A1C"/>
    <w:rsid w:val="008F6979"/>
    <w:rsid w:val="009525E4"/>
    <w:rsid w:val="00980260"/>
    <w:rsid w:val="009E0EEE"/>
    <w:rsid w:val="00A13D07"/>
    <w:rsid w:val="00A3603F"/>
    <w:rsid w:val="00A3715C"/>
    <w:rsid w:val="00A42F45"/>
    <w:rsid w:val="00A856F8"/>
    <w:rsid w:val="00AA187F"/>
    <w:rsid w:val="00B21C18"/>
    <w:rsid w:val="00B726A0"/>
    <w:rsid w:val="00B81948"/>
    <w:rsid w:val="00C053F3"/>
    <w:rsid w:val="00C633BF"/>
    <w:rsid w:val="00C742C7"/>
    <w:rsid w:val="00C8785F"/>
    <w:rsid w:val="00C8796D"/>
    <w:rsid w:val="00CB1B88"/>
    <w:rsid w:val="00CB1DAB"/>
    <w:rsid w:val="00CC1EF4"/>
    <w:rsid w:val="00CC549A"/>
    <w:rsid w:val="00CF5704"/>
    <w:rsid w:val="00CF5F1D"/>
    <w:rsid w:val="00D25A17"/>
    <w:rsid w:val="00D6154C"/>
    <w:rsid w:val="00D805C6"/>
    <w:rsid w:val="00DD7987"/>
    <w:rsid w:val="00DE0CA6"/>
    <w:rsid w:val="00DF24F6"/>
    <w:rsid w:val="00E07C27"/>
    <w:rsid w:val="00E76AB0"/>
    <w:rsid w:val="00EC73B7"/>
    <w:rsid w:val="00ED0B09"/>
    <w:rsid w:val="00F21DEC"/>
    <w:rsid w:val="4B232E15"/>
    <w:rsid w:val="4CD6243E"/>
    <w:rsid w:val="54074BB3"/>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s-E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character" w:styleId="5">
    <w:name w:val="annotation reference"/>
    <w:basedOn w:val="2"/>
    <w:semiHidden/>
    <w:unhideWhenUsed/>
    <w:qFormat/>
    <w:uiPriority w:val="99"/>
    <w:rPr>
      <w:sz w:val="16"/>
      <w:szCs w:val="16"/>
    </w:rPr>
  </w:style>
  <w:style w:type="paragraph" w:styleId="6">
    <w:name w:val="annotation text"/>
    <w:basedOn w:val="1"/>
    <w:link w:val="10"/>
    <w:semiHidden/>
    <w:unhideWhenUsed/>
    <w:uiPriority w:val="99"/>
    <w:pPr>
      <w:spacing w:line="240" w:lineRule="auto"/>
    </w:pPr>
    <w:rPr>
      <w:rFonts w:ascii="Arial" w:hAnsi="Arial" w:eastAsia="SimSun" w:cs="Arial"/>
      <w:sz w:val="20"/>
      <w:szCs w:val="20"/>
      <w:lang w:eastAsia="es-ES"/>
    </w:rPr>
  </w:style>
  <w:style w:type="paragraph" w:styleId="7">
    <w:name w:val="annotation subject"/>
    <w:basedOn w:val="6"/>
    <w:next w:val="6"/>
    <w:link w:val="12"/>
    <w:semiHidden/>
    <w:unhideWhenUsed/>
    <w:qFormat/>
    <w:uiPriority w:val="99"/>
    <w:rPr>
      <w:rFonts w:ascii="Calibri" w:hAnsi="Calibri" w:eastAsia="Calibri" w:cs="Times New Roman"/>
      <w:b/>
      <w:bCs/>
      <w:lang w:eastAsia="en-US"/>
    </w:rPr>
  </w:style>
  <w:style w:type="character" w:styleId="8">
    <w:name w:val="Hyperlink"/>
    <w:basedOn w:val="2"/>
    <w:unhideWhenUsed/>
    <w:qFormat/>
    <w:uiPriority w:val="99"/>
    <w:rPr>
      <w:color w:val="0000FF" w:themeColor="hyperlink"/>
      <w:u w:val="single"/>
      <w14:textFill>
        <w14:solidFill>
          <w14:schemeClr w14:val="hlink"/>
        </w14:solidFill>
      </w14:textFill>
    </w:rPr>
  </w:style>
  <w:style w:type="paragraph" w:styleId="9">
    <w:name w:val="List Paragraph"/>
    <w:basedOn w:val="1"/>
    <w:qFormat/>
    <w:uiPriority w:val="34"/>
    <w:pPr>
      <w:ind w:left="720"/>
      <w:contextualSpacing/>
    </w:pPr>
    <w:rPr>
      <w:rFonts w:ascii="Arial" w:hAnsi="Arial" w:eastAsia="SimSun" w:cs="Arial"/>
      <w:sz w:val="24"/>
      <w:lang w:eastAsia="es-ES"/>
    </w:rPr>
  </w:style>
  <w:style w:type="character" w:customStyle="1" w:styleId="10">
    <w:name w:val="Texto comentario Car"/>
    <w:basedOn w:val="2"/>
    <w:link w:val="6"/>
    <w:semiHidden/>
    <w:qFormat/>
    <w:uiPriority w:val="99"/>
    <w:rPr>
      <w:rFonts w:eastAsia="SimSun"/>
      <w:sz w:val="20"/>
      <w:szCs w:val="20"/>
      <w:lang w:eastAsia="es-ES"/>
    </w:rPr>
  </w:style>
  <w:style w:type="character" w:customStyle="1" w:styleId="11">
    <w:name w:val="Texto de globo Car"/>
    <w:basedOn w:val="2"/>
    <w:link w:val="4"/>
    <w:semiHidden/>
    <w:qFormat/>
    <w:uiPriority w:val="99"/>
    <w:rPr>
      <w:rFonts w:ascii="Tahoma" w:hAnsi="Tahoma" w:eastAsia="Calibri" w:cs="Tahoma"/>
      <w:sz w:val="16"/>
      <w:szCs w:val="16"/>
    </w:rPr>
  </w:style>
  <w:style w:type="character" w:customStyle="1" w:styleId="12">
    <w:name w:val="Asunto del comentario Car"/>
    <w:basedOn w:val="10"/>
    <w:link w:val="7"/>
    <w:semiHidden/>
    <w:qFormat/>
    <w:uiPriority w:val="99"/>
    <w:rPr>
      <w:rFonts w:ascii="Calibri" w:hAnsi="Calibri" w:eastAsia="Calibri" w:cs="Times New Roman"/>
      <w:b/>
      <w:bCs/>
      <w:sz w:val="20"/>
      <w:szCs w:val="20"/>
      <w:lang w:eastAsia="es-ES"/>
    </w:rPr>
  </w:style>
  <w:style w:type="character" w:customStyle="1" w:styleId="13">
    <w:name w:val="y2iqfc"/>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1321</Words>
  <Characters>7267</Characters>
  <Lines>60</Lines>
  <Paragraphs>17</Paragraphs>
  <TotalTime>18</TotalTime>
  <ScaleCrop>false</ScaleCrop>
  <LinksUpToDate>false</LinksUpToDate>
  <CharactersWithSpaces>8571</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2024-03-15T18:40:00Z</dcterms:created>
  <dc:creator>Ionel</dc:creator>
  <cp:lastModifiedBy>mnapoles</cp:lastModifiedBy>
  <dcterms:modified xsi:type="dcterms:W3CDTF">2024-03-18T20:38:07Z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A90967DD7CFE4806A5F9163003EEED40_13</vt:lpwstr>
  </property>
</Properties>
</file>