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11088.0" w:type="dxa"/>
        <w:jc w:val="left"/>
        <w:tblInd w:w="0.0" w:type="dxa"/>
        <w:tblLayout w:type="fixed"/>
        <w:tblLook w:val="0000"/>
      </w:tblPr>
      <w:tblGrid>
        <w:gridCol w:w="2058"/>
        <w:gridCol w:w="9030"/>
        <w:tblGridChange w:id="0">
          <w:tblGrid>
            <w:gridCol w:w="2058"/>
            <w:gridCol w:w="9030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 por: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Yanelis Reyes Guerrero </w:t>
            </w:r>
          </w:p>
        </w:tc>
      </w:tr>
    </w:tbl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MAYO 2022</w:t>
      </w:r>
      <w:r w:rsidDel="00000000" w:rsidR="00000000" w:rsidRPr="00000000">
        <w:rPr>
          <w:rtl w:val="0"/>
        </w:rPr>
      </w:r>
    </w:p>
    <w:tbl>
      <w:tblPr>
        <w:tblStyle w:val="Table2"/>
        <w:tblW w:w="113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0"/>
        <w:gridCol w:w="6077"/>
        <w:gridCol w:w="1560"/>
        <w:tblGridChange w:id="0">
          <w:tblGrid>
            <w:gridCol w:w="3670"/>
            <w:gridCol w:w="6077"/>
            <w:gridCol w:w="1560"/>
          </w:tblGrid>
        </w:tblGridChange>
      </w:tblGrid>
      <w:tr>
        <w:trPr>
          <w:trHeight w:val="136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trHeight w:val="229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Plan de acción QuitoMax, Radix y Pectimorf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Organizar y responder necesidades generales de la producción e investigación. Reuniones con implicados en producción y apoyo. Gestión de inventario y aseguramiento de reactivos y misceláneas para producción. Intercambio con productores. Se coordina preparación de Pm y QMx. Se venden 70 L de QMx a empresas agrícolas.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9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Trabajo y Asesoría en publicaciones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- Se revisó y reescribió el manuscrito “Quitosano estimula el crecimiento del tabaco en condiciones de semillero” para Agricultura mesoamericana (Coautor con maestrante).</w:t>
            </w:r>
          </w:p>
          <w:p w:rsidR="00000000" w:rsidDel="00000000" w:rsidP="00000000" w:rsidRDefault="00000000" w:rsidRPr="00000000" w14:paraId="0000000E">
            <w:pPr>
              <w:tabs>
                <w:tab w:val="left" w:pos="272"/>
              </w:tabs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Revisión y reescritura de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manuscrito “QMx en el rendimiento del garbanzo” (colaboración con colegas de Universidad de Granma)</w:t>
            </w:r>
          </w:p>
          <w:p w:rsidR="00000000" w:rsidDel="00000000" w:rsidP="00000000" w:rsidRDefault="00000000" w:rsidRPr="00000000" w14:paraId="0000000F">
            <w:pPr>
              <w:tabs>
                <w:tab w:val="left" w:pos="272"/>
              </w:tabs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Arbitraje a manuscrito de Centro Agrícola: Terminado y entregado a la revista.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9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Experimentos y aseguramiento de la experimentación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relacionados con estudiantes asesorados y nuevo proyecto: datos de expto de Azofert-F con Pm en campo. Coordinación de ensayos biológicos de tomate en proyecto de Bioestimuladores y caracterización para los comerciales. Diseño y siembra del experimento QMx-Soya del proyecto bioestimuladores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9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0"/>
              </w:tabs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Asesorías de Pre y posgrado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Tesis de doctorado: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Daimy Costales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revisión de presentación para defensa y respuesta a oponencia de Gloria Martín. Asesoría 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Yanebis Pérez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; experimentación a realizar, Comité doctoral 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 Laura Celina Ochoa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 CIAD de Mx: Fue reprobada. Doctorante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Daylén Hdez Rguez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asesorando y coordinando exptos. Maestría: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José C. Glez Sotolongo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(QMx en tabaco); Asesoría para participación en proyecto de innovación con Estación del tabaco.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Alianna Machín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Trichoderma y quitosano en soya inoculada. Rediseño del plan de tesis. Especialista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Lisbel Travieso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Diseño de plan de maestría.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2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60" w:lineRule="auto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Reuniones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Telefónicas con Jefa dpto. y directivos INCA (varias). Reuniones varias por teléfono o vía whatsapp con coautores de artículos científicos en preparación, colaboradores de proyectos, estudiantes y de colaboración internacional. Reuniones con Florido y Mayelin (varias).  Consejo científico (9). Comisión Científica dpto. (23).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9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PROYECTOS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Sectorial de bioinsumos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“Nuevos Bioestimulantes a base de rizobios y oligosacarinas para frijol y soya”. Se pagó la remuneración correspondiente a 2021 y firma de documentos.</w:t>
            </w:r>
          </w:p>
          <w:p w:rsidR="00000000" w:rsidDel="00000000" w:rsidP="00000000" w:rsidRDefault="00000000" w:rsidRPr="00000000" w14:paraId="0000001C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Comercial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con Empresa Complejo Mayabeque “Producción y comercialización de QMx”: Se preparan Fichas técnicas y participación en suplementos de pagos para entrega a la empresa en cada venta realizada en el mes.</w:t>
            </w:r>
          </w:p>
          <w:p w:rsidR="00000000" w:rsidDel="00000000" w:rsidP="00000000" w:rsidRDefault="00000000" w:rsidRPr="00000000" w14:paraId="0000001D">
            <w:pPr>
              <w:spacing w:after="60" w:lineRule="auto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Participante 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de colaboración internacional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(“EVALUACIÓN DE BIOESTIMULANTES EN LA PROPAGACIÓN DEL CULTIVO DEL CACAO”) al FOCICYT de Ecuador con la Universidad Técnica Estatal de Quevedo, Ecuador. Jefe del proyecto en Ecuador: Dr. Juan J. Reyes Pérez. Continúa.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 </w:t>
            </w:r>
          </w:p>
        </w:tc>
      </w:tr>
      <w:tr>
        <w:trPr>
          <w:trHeight w:val="229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Colaboración Nacional e Internacional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 participa en el diseño y preparación de un proyecto con el VLIR (Bélgica): Biotización in vitro de cultivos. Se participa en el diseño de una propuesta de proyecto UNAH, INCA, CENSA con China: Actividad antiviral en arroz y frijol.</w:t>
            </w:r>
          </w:p>
          <w:p w:rsidR="00000000" w:rsidDel="00000000" w:rsidP="00000000" w:rsidRDefault="00000000" w:rsidRPr="00000000" w14:paraId="00000021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Intercambio con colegas de España y México respecto a validación de bioestimulantes y potenciales colaboraciones.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9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OTRAS TAREAS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- Intercambio con investigadora de Artemisa sobre colaboración en Hemicellulosas.</w:t>
            </w:r>
          </w:p>
          <w:p w:rsidR="00000000" w:rsidDel="00000000" w:rsidP="00000000" w:rsidRDefault="00000000" w:rsidRPr="00000000" w14:paraId="00000025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Impartición de conferencia introductoria de curso de Bioproductos a estudiantes del doctorado de MAS y se le entregan materiales a estudiar de conferencias de bioproductos y se sitúa examen para el jueves 9 de Junio.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9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DIVULGACIÓN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Se presenta en TV nacional y en la radio provincial el spot del Quitomax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108" w:hRule="atLeast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6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Impactos del mes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Se producen 49 gramos de Pm y se venden 70 L de QMx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3" w:hRule="atLeast"/>
        </w:trPr>
        <w:tc>
          <w:tcPr/>
          <w:p w:rsidR="00000000" w:rsidDel="00000000" w:rsidP="00000000" w:rsidRDefault="00000000" w:rsidRPr="00000000" w14:paraId="0000002E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Investigador Titular </w:t>
            </w:r>
          </w:p>
        </w:tc>
      </w:tr>
      <w:tr>
        <w:trPr>
          <w:trHeight w:val="138" w:hRule="atLeast"/>
        </w:trPr>
        <w:tc>
          <w:tcPr/>
          <w:p w:rsidR="00000000" w:rsidDel="00000000" w:rsidP="00000000" w:rsidRDefault="00000000" w:rsidRPr="00000000" w14:paraId="00000031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 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Alejandro Bernardo Falcón Rodríguez</w:t>
            </w:r>
          </w:p>
        </w:tc>
      </w:tr>
    </w:tbl>
    <w:p w:rsidR="00000000" w:rsidDel="00000000" w:rsidP="00000000" w:rsidRDefault="00000000" w:rsidRPr="00000000" w14:paraId="00000034">
      <w:pPr>
        <w:tabs>
          <w:tab w:val="left" w:pos="3240"/>
        </w:tabs>
        <w:spacing w:before="12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ab/>
        <w:t xml:space="preserve">Calendario de actividades por días</w:t>
      </w:r>
      <w:r w:rsidDel="00000000" w:rsidR="00000000" w:rsidRPr="00000000">
        <w:rPr>
          <w:rtl w:val="0"/>
        </w:rPr>
      </w:r>
    </w:p>
    <w:tbl>
      <w:tblPr>
        <w:tblStyle w:val="Table3"/>
        <w:tblW w:w="1027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8"/>
        <w:gridCol w:w="2077"/>
        <w:gridCol w:w="31"/>
        <w:gridCol w:w="2046"/>
        <w:gridCol w:w="2065"/>
        <w:gridCol w:w="2090"/>
        <w:tblGridChange w:id="0">
          <w:tblGrid>
            <w:gridCol w:w="1951"/>
            <w:gridCol w:w="18"/>
            <w:gridCol w:w="2077"/>
            <w:gridCol w:w="31"/>
            <w:gridCol w:w="2046"/>
            <w:gridCol w:w="2065"/>
            <w:gridCol w:w="2090"/>
          </w:tblGrid>
        </w:tblGridChange>
      </w:tblGrid>
      <w:tr>
        <w:trPr>
          <w:trHeight w:val="136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Lunes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Martes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Miércoles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ind w:right="-2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Jueves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ind w:left="-74" w:right="-2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Viernes</w:t>
            </w:r>
          </w:p>
        </w:tc>
      </w:tr>
      <w:tr>
        <w:trPr>
          <w:trHeight w:val="63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</w:tr>
      <w:tr>
        <w:trPr>
          <w:trHeight w:val="212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----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trHeight w:val="75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13</w:t>
            </w:r>
          </w:p>
        </w:tc>
      </w:tr>
      <w:tr>
        <w:trPr>
          <w:trHeight w:val="249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trHeight w:val="75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20</w:t>
            </w:r>
          </w:p>
        </w:tc>
      </w:tr>
      <w:tr>
        <w:trPr>
          <w:trHeight w:val="75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5,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6, 7</w:t>
            </w:r>
          </w:p>
        </w:tc>
      </w:tr>
      <w:tr>
        <w:trPr>
          <w:trHeight w:val="75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27</w:t>
            </w:r>
          </w:p>
        </w:tc>
      </w:tr>
      <w:tr>
        <w:trPr>
          <w:trHeight w:val="75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3, 5,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</w:t>
            </w:r>
          </w:p>
        </w:tc>
      </w:tr>
      <w:tr>
        <w:trPr>
          <w:trHeight w:val="75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5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6, 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