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D3" w:rsidRDefault="004C0BD3" w:rsidP="009D0B5B">
      <w:pPr>
        <w:spacing w:line="360" w:lineRule="auto"/>
        <w:jc w:val="both"/>
        <w:rPr>
          <w:rFonts w:ascii="Arial" w:eastAsia="Palatino Linotype" w:hAnsi="Arial" w:cs="Arial"/>
          <w:b/>
          <w:sz w:val="24"/>
          <w:szCs w:val="24"/>
          <w:lang w:val="es-ES"/>
        </w:rPr>
      </w:pPr>
      <w:r w:rsidRPr="004C0BD3">
        <w:rPr>
          <w:rFonts w:ascii="Arial" w:eastAsia="Palatino Linotype" w:hAnsi="Arial" w:cs="Arial"/>
          <w:b/>
          <w:sz w:val="24"/>
          <w:szCs w:val="24"/>
          <w:lang w:val="es-ES"/>
        </w:rPr>
        <w:t xml:space="preserve">Efecto acaricida de componentes de aceites esenciales sobre </w:t>
      </w:r>
      <w:proofErr w:type="spellStart"/>
      <w:r w:rsidRPr="004C0BD3">
        <w:rPr>
          <w:rFonts w:ascii="Arial" w:eastAsia="Palatino Linotype" w:hAnsi="Arial" w:cs="Arial"/>
          <w:b/>
          <w:i/>
          <w:sz w:val="24"/>
          <w:szCs w:val="24"/>
          <w:lang w:val="es-ES"/>
        </w:rPr>
        <w:t>Tetranychustumidus</w:t>
      </w:r>
      <w:proofErr w:type="spellEnd"/>
      <w:r w:rsidRPr="004C0BD3">
        <w:rPr>
          <w:rFonts w:ascii="Arial" w:eastAsia="Palatino Linotype" w:hAnsi="Arial" w:cs="Arial"/>
          <w:b/>
          <w:sz w:val="24"/>
          <w:szCs w:val="24"/>
          <w:lang w:val="es-ES"/>
        </w:rPr>
        <w:t xml:space="preserve"> Banks </w:t>
      </w:r>
    </w:p>
    <w:p w:rsidR="004C0BD3" w:rsidRPr="004C0BD3" w:rsidRDefault="004C0BD3" w:rsidP="004C0BD3">
      <w:pPr>
        <w:spacing w:line="360" w:lineRule="auto"/>
        <w:rPr>
          <w:rFonts w:ascii="Arial" w:eastAsia="Palatino Linotype" w:hAnsi="Arial" w:cs="Arial"/>
          <w:sz w:val="24"/>
          <w:szCs w:val="24"/>
          <w:vertAlign w:val="superscript"/>
          <w:lang w:val="es-ES"/>
        </w:rPr>
      </w:pPr>
      <w:proofErr w:type="spellStart"/>
      <w:r w:rsidRPr="004C0BD3">
        <w:rPr>
          <w:rFonts w:ascii="Arial" w:eastAsia="Palatino Linotype" w:hAnsi="Arial" w:cs="Arial"/>
          <w:sz w:val="24"/>
          <w:szCs w:val="24"/>
          <w:u w:val="single"/>
          <w:lang w:val="es-ES"/>
        </w:rPr>
        <w:t>Yanebis</w:t>
      </w:r>
      <w:proofErr w:type="spellEnd"/>
      <w:r w:rsidRPr="004C0BD3">
        <w:rPr>
          <w:rFonts w:ascii="Arial" w:eastAsia="Palatino Linotype" w:hAnsi="Arial" w:cs="Arial"/>
          <w:sz w:val="24"/>
          <w:szCs w:val="24"/>
          <w:u w:val="single"/>
          <w:lang w:val="es-ES"/>
        </w:rPr>
        <w:t xml:space="preserve"> Pérez Madruga</w:t>
      </w:r>
      <w:r w:rsidRPr="004C0BD3">
        <w:rPr>
          <w:rFonts w:ascii="Arial" w:eastAsia="Palatino Linotype" w:hAnsi="Arial" w:cs="Arial"/>
          <w:sz w:val="24"/>
          <w:szCs w:val="24"/>
          <w:u w:val="single"/>
          <w:vertAlign w:val="superscript"/>
          <w:lang w:val="es-ES"/>
        </w:rPr>
        <w:t>1, 2</w:t>
      </w:r>
      <w:r w:rsidRPr="004C0BD3">
        <w:rPr>
          <w:rFonts w:ascii="Arial" w:eastAsia="Palatino Linotype" w:hAnsi="Arial" w:cs="Arial"/>
          <w:sz w:val="24"/>
          <w:szCs w:val="24"/>
          <w:lang w:val="es-ES"/>
        </w:rPr>
        <w:t xml:space="preserve">, </w:t>
      </w:r>
      <w:proofErr w:type="spellStart"/>
      <w:r w:rsidRPr="004C0BD3">
        <w:rPr>
          <w:rFonts w:ascii="Arial" w:eastAsia="Palatino Linotype" w:hAnsi="Arial" w:cs="Arial"/>
          <w:sz w:val="24"/>
          <w:szCs w:val="24"/>
          <w:lang w:val="es-ES"/>
        </w:rPr>
        <w:t>Oriela</w:t>
      </w:r>
      <w:proofErr w:type="spellEnd"/>
      <w:r w:rsidRPr="004C0BD3">
        <w:rPr>
          <w:rFonts w:ascii="Arial" w:eastAsia="Palatino Linotype" w:hAnsi="Arial" w:cs="Arial"/>
          <w:sz w:val="24"/>
          <w:szCs w:val="24"/>
          <w:lang w:val="es-ES"/>
        </w:rPr>
        <w:t xml:space="preserve"> Pino Pérez</w:t>
      </w:r>
      <w:r w:rsidRPr="004C0BD3">
        <w:rPr>
          <w:rFonts w:ascii="Arial" w:eastAsia="Palatino Linotype" w:hAnsi="Arial" w:cs="Arial"/>
          <w:sz w:val="24"/>
          <w:szCs w:val="24"/>
          <w:vertAlign w:val="superscript"/>
          <w:lang w:val="es-ES"/>
        </w:rPr>
        <w:t>1</w:t>
      </w:r>
      <w:r w:rsidRPr="004C0BD3">
        <w:rPr>
          <w:rFonts w:ascii="Arial" w:eastAsia="Palatino Linotype" w:hAnsi="Arial" w:cs="Arial"/>
          <w:sz w:val="24"/>
          <w:szCs w:val="24"/>
          <w:lang w:val="es-ES"/>
        </w:rPr>
        <w:t>,  Reinaldo Chico Morejón</w:t>
      </w:r>
      <w:r w:rsidRPr="004C0BD3">
        <w:rPr>
          <w:rFonts w:ascii="Arial" w:eastAsia="Palatino Linotype" w:hAnsi="Arial" w:cs="Arial"/>
          <w:sz w:val="24"/>
          <w:szCs w:val="24"/>
          <w:vertAlign w:val="superscript"/>
          <w:lang w:val="es-ES"/>
        </w:rPr>
        <w:t>1</w:t>
      </w:r>
    </w:p>
    <w:p w:rsidR="004C0BD3" w:rsidRPr="004C0BD3" w:rsidRDefault="004C0BD3" w:rsidP="004C0BD3">
      <w:pPr>
        <w:jc w:val="both"/>
        <w:rPr>
          <w:rFonts w:ascii="Arial" w:hAnsi="Arial" w:cs="Arial"/>
          <w:sz w:val="22"/>
          <w:szCs w:val="22"/>
          <w:lang w:val="es-ES"/>
        </w:rPr>
      </w:pPr>
      <w:r w:rsidRPr="004C0BD3">
        <w:rPr>
          <w:rFonts w:ascii="Arial" w:hAnsi="Arial" w:cs="Arial"/>
          <w:sz w:val="22"/>
          <w:szCs w:val="22"/>
          <w:vertAlign w:val="superscript"/>
          <w:lang w:val="es-ES"/>
        </w:rPr>
        <w:t xml:space="preserve">1 </w:t>
      </w:r>
      <w:r w:rsidRPr="004C0BD3">
        <w:rPr>
          <w:rFonts w:ascii="Arial" w:hAnsi="Arial" w:cs="Arial"/>
          <w:sz w:val="22"/>
          <w:szCs w:val="22"/>
          <w:lang w:val="es-ES"/>
        </w:rPr>
        <w:t xml:space="preserve">Grupo Plagas Agrícolas. Dirección de Sanidad Vegetal. Centro Nacional de Sanidad Agropecuaria (CENSA).Carretera de Jamaica y Autopista Nacional. </w:t>
      </w:r>
      <w:proofErr w:type="spellStart"/>
      <w:r w:rsidRPr="004C0BD3">
        <w:rPr>
          <w:rFonts w:ascii="Arial" w:hAnsi="Arial" w:cs="Arial"/>
          <w:sz w:val="22"/>
          <w:szCs w:val="22"/>
          <w:lang w:val="es-ES"/>
        </w:rPr>
        <w:t>Apdo</w:t>
      </w:r>
      <w:proofErr w:type="spellEnd"/>
      <w:r w:rsidRPr="004C0BD3">
        <w:rPr>
          <w:rFonts w:ascii="Arial" w:hAnsi="Arial" w:cs="Arial"/>
          <w:sz w:val="22"/>
          <w:szCs w:val="22"/>
          <w:lang w:val="es-ES"/>
        </w:rPr>
        <w:t xml:space="preserve"> 10, San José de las Lajas. </w:t>
      </w:r>
      <w:proofErr w:type="spellStart"/>
      <w:r w:rsidRPr="004C0BD3">
        <w:rPr>
          <w:rFonts w:ascii="Arial" w:hAnsi="Arial" w:cs="Arial"/>
          <w:sz w:val="22"/>
          <w:szCs w:val="22"/>
          <w:lang w:val="es-ES"/>
        </w:rPr>
        <w:t>Mayabeque</w:t>
      </w:r>
      <w:proofErr w:type="spellEnd"/>
      <w:r w:rsidRPr="004C0BD3">
        <w:rPr>
          <w:rFonts w:ascii="Arial" w:hAnsi="Arial" w:cs="Arial"/>
          <w:sz w:val="22"/>
          <w:szCs w:val="22"/>
          <w:lang w:val="es-ES"/>
        </w:rPr>
        <w:t xml:space="preserve">. Cuba. Correo electrónico: </w:t>
      </w:r>
      <w:hyperlink r:id="rId5" w:history="1">
        <w:r w:rsidRPr="004C0BD3">
          <w:rPr>
            <w:rStyle w:val="Hipervnculo"/>
            <w:rFonts w:ascii="Arial" w:hAnsi="Arial" w:cs="Arial"/>
            <w:sz w:val="22"/>
            <w:szCs w:val="22"/>
            <w:lang w:val="es-ES"/>
          </w:rPr>
          <w:t>oriela@censa.edu.cu</w:t>
        </w:r>
      </w:hyperlink>
    </w:p>
    <w:p w:rsidR="004C0BD3" w:rsidRPr="004C0BD3" w:rsidRDefault="004C0BD3" w:rsidP="004C0BD3">
      <w:pPr>
        <w:jc w:val="both"/>
        <w:rPr>
          <w:rFonts w:ascii="Arial" w:hAnsi="Arial" w:cs="Arial"/>
          <w:sz w:val="22"/>
          <w:szCs w:val="22"/>
          <w:lang w:val="es-ES"/>
        </w:rPr>
      </w:pPr>
      <w:r w:rsidRPr="004C0BD3">
        <w:rPr>
          <w:rFonts w:ascii="Arial" w:hAnsi="Arial" w:cs="Arial"/>
          <w:sz w:val="22"/>
          <w:szCs w:val="22"/>
          <w:vertAlign w:val="superscript"/>
          <w:lang w:val="es-ES"/>
        </w:rPr>
        <w:t xml:space="preserve">2 </w:t>
      </w:r>
      <w:r w:rsidRPr="004C0BD3">
        <w:rPr>
          <w:rFonts w:ascii="Arial" w:hAnsi="Arial" w:cs="Arial"/>
          <w:sz w:val="22"/>
          <w:szCs w:val="22"/>
          <w:lang w:val="es-ES"/>
        </w:rPr>
        <w:t xml:space="preserve">Departamento de Fisiología y Bioquímica Vegetal. Instituto Nacional de Ciencias Agrícolas. Carretera Tapaste Km </w:t>
      </w:r>
      <w:r w:rsidRPr="004C0BD3">
        <w:rPr>
          <w:rFonts w:ascii="Palatino Linotype" w:eastAsia="Palatino Linotype" w:hAnsi="Palatino Linotype" w:cs="Palatino Linotype"/>
          <w:sz w:val="22"/>
          <w:szCs w:val="22"/>
          <w:lang w:val="es-ES"/>
        </w:rPr>
        <w:t xml:space="preserve">3 ½, </w:t>
      </w:r>
      <w:r w:rsidRPr="004C0BD3">
        <w:rPr>
          <w:rFonts w:ascii="Arial" w:hAnsi="Arial" w:cs="Arial"/>
          <w:sz w:val="22"/>
          <w:szCs w:val="22"/>
          <w:lang w:val="es-ES"/>
        </w:rPr>
        <w:t xml:space="preserve">San José de las Lajas. </w:t>
      </w:r>
      <w:proofErr w:type="spellStart"/>
      <w:r w:rsidRPr="004C0BD3">
        <w:rPr>
          <w:rFonts w:ascii="Arial" w:hAnsi="Arial" w:cs="Arial"/>
          <w:sz w:val="22"/>
          <w:szCs w:val="22"/>
          <w:lang w:val="es-ES"/>
        </w:rPr>
        <w:t>Mayabeque</w:t>
      </w:r>
      <w:proofErr w:type="spellEnd"/>
      <w:r w:rsidRPr="004C0BD3">
        <w:rPr>
          <w:rFonts w:ascii="Arial" w:hAnsi="Arial" w:cs="Arial"/>
          <w:sz w:val="22"/>
          <w:szCs w:val="22"/>
          <w:lang w:val="es-ES"/>
        </w:rPr>
        <w:t xml:space="preserve">. Cuba. Correo electrónico: </w:t>
      </w:r>
      <w:r w:rsidR="006023B5">
        <w:fldChar w:fldCharType="begin"/>
      </w:r>
      <w:r w:rsidR="006023B5" w:rsidRPr="009D0B5B">
        <w:rPr>
          <w:lang w:val="es-ES"/>
        </w:rPr>
        <w:instrText>HYPERLINK "mailto:yanebis@inca.edu.cu"</w:instrText>
      </w:r>
      <w:r w:rsidR="006023B5">
        <w:fldChar w:fldCharType="separate"/>
      </w:r>
      <w:r w:rsidRPr="004C0BD3">
        <w:rPr>
          <w:rStyle w:val="Hipervnculo"/>
          <w:rFonts w:ascii="Arial" w:hAnsi="Arial" w:cs="Arial"/>
          <w:sz w:val="22"/>
          <w:szCs w:val="22"/>
          <w:lang w:val="es-ES"/>
        </w:rPr>
        <w:t>yanebis@inca.edu.cu</w:t>
      </w:r>
      <w:r w:rsidR="006023B5">
        <w:fldChar w:fldCharType="end"/>
      </w:r>
    </w:p>
    <w:p w:rsidR="004C0BD3" w:rsidRDefault="004C0BD3" w:rsidP="004C0BD3">
      <w:pPr>
        <w:jc w:val="both"/>
        <w:rPr>
          <w:rFonts w:ascii="Arial" w:hAnsi="Arial" w:cs="Arial"/>
          <w:sz w:val="24"/>
          <w:lang w:val="es-MX"/>
        </w:rPr>
      </w:pPr>
    </w:p>
    <w:p w:rsidR="004C0BD3" w:rsidRPr="004C0BD3" w:rsidRDefault="004C0BD3" w:rsidP="004C0BD3">
      <w:pPr>
        <w:spacing w:line="360" w:lineRule="auto"/>
        <w:jc w:val="both"/>
        <w:rPr>
          <w:rFonts w:ascii="Arial" w:hAnsi="Arial" w:cs="Arial"/>
          <w:sz w:val="24"/>
          <w:lang w:val="es-MX"/>
        </w:rPr>
      </w:pPr>
      <w:r w:rsidRPr="004C0BD3">
        <w:rPr>
          <w:rFonts w:ascii="Arial" w:hAnsi="Arial" w:cs="Arial"/>
          <w:sz w:val="24"/>
          <w:lang w:val="es-ES"/>
        </w:rPr>
        <w:t xml:space="preserve">Se determinó el efecto tóxico por contacto de 14 componentes de aceites esenciales sobre hembras de </w:t>
      </w:r>
      <w:proofErr w:type="spellStart"/>
      <w:r w:rsidRPr="004C0BD3">
        <w:rPr>
          <w:rFonts w:ascii="Arial" w:hAnsi="Arial" w:cs="Arial"/>
          <w:i/>
          <w:sz w:val="24"/>
          <w:lang w:val="es-ES"/>
        </w:rPr>
        <w:t>Tetranychustumidus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. Para los compuestos más promisorios se evaluó el efecto ovicida, la toxicidad sobre los estadios </w:t>
      </w:r>
      <w:proofErr w:type="spellStart"/>
      <w:r w:rsidRPr="004C0BD3">
        <w:rPr>
          <w:rFonts w:ascii="Arial" w:hAnsi="Arial" w:cs="Arial"/>
          <w:sz w:val="24"/>
          <w:lang w:val="es-ES"/>
        </w:rPr>
        <w:t>ninfales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, la toxicidad residual y la actividad </w:t>
      </w:r>
      <w:proofErr w:type="spellStart"/>
      <w:r w:rsidRPr="004C0BD3">
        <w:rPr>
          <w:rFonts w:ascii="Arial" w:hAnsi="Arial" w:cs="Arial"/>
          <w:sz w:val="24"/>
          <w:lang w:val="es-ES"/>
        </w:rPr>
        <w:t>traslaminar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. Se encontró que cuatro de los componentes evaluados, timol, </w:t>
      </w:r>
      <w:proofErr w:type="spellStart"/>
      <w:r w:rsidRPr="004C0BD3">
        <w:rPr>
          <w:rFonts w:ascii="Arial" w:hAnsi="Arial" w:cs="Arial"/>
          <w:sz w:val="24"/>
          <w:lang w:val="es-ES"/>
        </w:rPr>
        <w:t>carvacrol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, </w:t>
      </w:r>
      <w:proofErr w:type="spellStart"/>
      <w:r w:rsidRPr="004C0BD3">
        <w:rPr>
          <w:rFonts w:ascii="Arial" w:hAnsi="Arial" w:cs="Arial"/>
          <w:sz w:val="24"/>
          <w:lang w:val="es-ES"/>
        </w:rPr>
        <w:t>eugenol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y </w:t>
      </w:r>
      <w:proofErr w:type="spellStart"/>
      <w:r w:rsidRPr="004C0BD3">
        <w:rPr>
          <w:rFonts w:ascii="Arial" w:hAnsi="Arial" w:cs="Arial"/>
          <w:sz w:val="24"/>
          <w:lang w:val="es-ES"/>
        </w:rPr>
        <w:t>dilapiol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poseen un elevado efecto acaricida frente a las hembras de </w:t>
      </w:r>
      <w:proofErr w:type="spellStart"/>
      <w:r w:rsidRPr="004C0BD3">
        <w:rPr>
          <w:rFonts w:ascii="Arial" w:hAnsi="Arial" w:cs="Arial"/>
          <w:i/>
          <w:sz w:val="24"/>
          <w:lang w:val="es-ES"/>
        </w:rPr>
        <w:t>T.tumidus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obteniéndose 100%, 100%, 98% y 96% de mortalidad respectivamente. Los tres compuestos más promisorios poseen un bajo efecto ovicida y no tienen acción residual ni actividad </w:t>
      </w:r>
      <w:proofErr w:type="spellStart"/>
      <w:r w:rsidRPr="004C0BD3">
        <w:rPr>
          <w:rFonts w:ascii="Arial" w:hAnsi="Arial" w:cs="Arial"/>
          <w:sz w:val="24"/>
          <w:lang w:val="es-ES"/>
        </w:rPr>
        <w:t>traslaminar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frente a las hembras de esta plaga a las concentraciones de 0,5% y 1%.  El timol y el </w:t>
      </w:r>
      <w:proofErr w:type="spellStart"/>
      <w:r w:rsidRPr="004C0BD3">
        <w:rPr>
          <w:rFonts w:ascii="Arial" w:hAnsi="Arial" w:cs="Arial"/>
          <w:sz w:val="24"/>
          <w:lang w:val="es-ES"/>
        </w:rPr>
        <w:t>carvacrol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poseen una elevada actividad biológica sobre los estadios </w:t>
      </w:r>
      <w:proofErr w:type="spellStart"/>
      <w:r w:rsidRPr="004C0BD3">
        <w:rPr>
          <w:rFonts w:ascii="Arial" w:hAnsi="Arial" w:cs="Arial"/>
          <w:sz w:val="24"/>
          <w:lang w:val="es-ES"/>
        </w:rPr>
        <w:t>ninfales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provocando ambos 100 % de mortalidad para la concentración de 1%, 88% y 81% de mortalidad para la concentración de 0,5 % respectivamente, el </w:t>
      </w:r>
      <w:proofErr w:type="spellStart"/>
      <w:r w:rsidRPr="004C0BD3">
        <w:rPr>
          <w:rFonts w:ascii="Arial" w:hAnsi="Arial" w:cs="Arial"/>
          <w:sz w:val="24"/>
          <w:lang w:val="es-ES"/>
        </w:rPr>
        <w:t>eugenol</w:t>
      </w:r>
      <w:proofErr w:type="spellEnd"/>
      <w:r w:rsidRPr="004C0BD3">
        <w:rPr>
          <w:rFonts w:ascii="Arial" w:hAnsi="Arial" w:cs="Arial"/>
          <w:sz w:val="24"/>
          <w:lang w:val="es-ES"/>
        </w:rPr>
        <w:t xml:space="preserve"> presentó solo un 92% y 31% de mortalidad para las concentraciones de 1% y 0,5%.</w:t>
      </w:r>
      <w:bookmarkStart w:id="0" w:name="_GoBack"/>
      <w:bookmarkEnd w:id="0"/>
    </w:p>
    <w:p w:rsidR="006828F7" w:rsidRPr="004C0BD3" w:rsidRDefault="009D0B5B" w:rsidP="004C0BD3">
      <w:pPr>
        <w:jc w:val="both"/>
        <w:rPr>
          <w:rFonts w:ascii="Arial" w:hAnsi="Arial" w:cs="Arial"/>
          <w:sz w:val="32"/>
          <w:lang w:val="es-MX"/>
        </w:rPr>
      </w:pPr>
    </w:p>
    <w:sectPr w:rsidR="006828F7" w:rsidRPr="004C0BD3" w:rsidSect="006023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C0BD3"/>
    <w:rsid w:val="002A06DF"/>
    <w:rsid w:val="002C3D23"/>
    <w:rsid w:val="00472251"/>
    <w:rsid w:val="004C0BD3"/>
    <w:rsid w:val="006023B5"/>
    <w:rsid w:val="009D0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0BD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C0BD3"/>
    <w:pPr>
      <w:spacing w:before="100" w:beforeAutospacing="1" w:after="100" w:afterAutospacing="1"/>
    </w:pPr>
    <w:rPr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0BD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C0BD3"/>
    <w:pPr>
      <w:spacing w:before="100" w:beforeAutospacing="1" w:after="100" w:afterAutospacing="1"/>
    </w:pPr>
    <w:rPr>
      <w:sz w:val="24"/>
      <w:szCs w:val="24"/>
      <w:lang w:val="es-MX"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riela@censa.edu.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8E4F-E27E-471B-911D-C4EE1E38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hioviedo</cp:lastModifiedBy>
  <cp:revision>2</cp:revision>
  <dcterms:created xsi:type="dcterms:W3CDTF">2016-06-01T16:54:00Z</dcterms:created>
  <dcterms:modified xsi:type="dcterms:W3CDTF">2016-06-01T16:54:00Z</dcterms:modified>
</cp:coreProperties>
</file>