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963" w:rsidRPr="00073963" w:rsidRDefault="00073963" w:rsidP="00073963">
      <w:pPr>
        <w:pStyle w:val="BodyText"/>
        <w:spacing w:line="276" w:lineRule="auto"/>
        <w:rPr>
          <w:b w:val="0"/>
          <w:szCs w:val="24"/>
        </w:rPr>
      </w:pPr>
      <w:r w:rsidRPr="00073963">
        <w:rPr>
          <w:b w:val="0"/>
          <w:szCs w:val="24"/>
        </w:rPr>
        <w:t>Apl</w:t>
      </w:r>
      <w:r w:rsidR="00F413C9">
        <w:rPr>
          <w:b w:val="0"/>
          <w:szCs w:val="24"/>
        </w:rPr>
        <w:t>icación de los fragmentos polimó</w:t>
      </w:r>
      <w:r w:rsidRPr="00073963">
        <w:rPr>
          <w:b w:val="0"/>
          <w:szCs w:val="24"/>
        </w:rPr>
        <w:t>rficos amplificados al azar (AFLP) para detectar estabilidad o variabilidad genética en plantas de ajo (</w:t>
      </w:r>
      <w:r w:rsidRPr="00073963">
        <w:rPr>
          <w:b w:val="0"/>
          <w:i/>
          <w:szCs w:val="24"/>
        </w:rPr>
        <w:t>Allium s</w:t>
      </w:r>
      <w:r w:rsidR="007714D3">
        <w:rPr>
          <w:b w:val="0"/>
          <w:i/>
          <w:szCs w:val="24"/>
        </w:rPr>
        <w:t>a</w:t>
      </w:r>
      <w:r w:rsidRPr="00073963">
        <w:rPr>
          <w:b w:val="0"/>
          <w:i/>
          <w:szCs w:val="24"/>
        </w:rPr>
        <w:t>tivum</w:t>
      </w:r>
      <w:r w:rsidRPr="00073963">
        <w:rPr>
          <w:b w:val="0"/>
          <w:szCs w:val="24"/>
        </w:rPr>
        <w:t xml:space="preserve"> L.) cultivadas </w:t>
      </w:r>
      <w:r w:rsidRPr="00073963">
        <w:rPr>
          <w:b w:val="0"/>
          <w:i/>
          <w:szCs w:val="24"/>
        </w:rPr>
        <w:t>in vitro</w:t>
      </w:r>
      <w:r w:rsidRPr="00073963">
        <w:rPr>
          <w:b w:val="0"/>
          <w:szCs w:val="24"/>
        </w:rPr>
        <w:t xml:space="preserve"> con una mezcla de  oligogalacturónidos</w:t>
      </w:r>
    </w:p>
    <w:p w:rsidR="00073963" w:rsidRPr="00C64852" w:rsidRDefault="00073963" w:rsidP="00073963">
      <w:pPr>
        <w:pStyle w:val="BodyText"/>
        <w:spacing w:line="276" w:lineRule="auto"/>
        <w:rPr>
          <w:szCs w:val="24"/>
        </w:rPr>
      </w:pPr>
    </w:p>
    <w:p w:rsidR="00073963" w:rsidRDefault="00073963" w:rsidP="00073963">
      <w:pPr>
        <w:spacing w:line="276" w:lineRule="auto"/>
        <w:ind w:left="1036" w:hanging="1036"/>
        <w:jc w:val="both"/>
        <w:rPr>
          <w:sz w:val="24"/>
          <w:szCs w:val="24"/>
          <w:lang w:val="es-MX"/>
        </w:rPr>
      </w:pPr>
      <w:r w:rsidRPr="00073963">
        <w:rPr>
          <w:sz w:val="24"/>
          <w:szCs w:val="24"/>
          <w:lang w:val="es-MX"/>
        </w:rPr>
        <w:t>Autores:</w:t>
      </w:r>
      <w:r w:rsidRPr="00C64852">
        <w:rPr>
          <w:b/>
          <w:sz w:val="24"/>
          <w:szCs w:val="24"/>
          <w:lang w:val="es-MX"/>
        </w:rPr>
        <w:t xml:space="preserve"> </w:t>
      </w:r>
      <w:r w:rsidRPr="00C64852">
        <w:rPr>
          <w:sz w:val="24"/>
          <w:szCs w:val="24"/>
          <w:lang w:val="es-MX"/>
        </w:rPr>
        <w:t>Humberto Izquierdo Oviedo</w:t>
      </w:r>
      <w:r w:rsidRPr="00C64852">
        <w:rPr>
          <w:sz w:val="24"/>
          <w:szCs w:val="24"/>
          <w:vertAlign w:val="superscript"/>
          <w:lang w:val="es-MX"/>
        </w:rPr>
        <w:t>1, 2</w:t>
      </w:r>
      <w:r w:rsidR="00D91FC1">
        <w:rPr>
          <w:sz w:val="24"/>
          <w:szCs w:val="24"/>
          <w:vertAlign w:val="superscript"/>
          <w:lang w:val="es-MX"/>
        </w:rPr>
        <w:t>*</w:t>
      </w:r>
      <w:r w:rsidRPr="00C64852">
        <w:rPr>
          <w:sz w:val="24"/>
          <w:szCs w:val="24"/>
          <w:lang w:val="es-MX"/>
        </w:rPr>
        <w:t>, Lilia Alcaraz Meléndez</w:t>
      </w:r>
      <w:r w:rsidRPr="00C64852">
        <w:rPr>
          <w:sz w:val="24"/>
          <w:szCs w:val="24"/>
          <w:vertAlign w:val="superscript"/>
          <w:lang w:val="es-MX"/>
        </w:rPr>
        <w:t>2</w:t>
      </w:r>
      <w:r w:rsidRPr="00C64852">
        <w:rPr>
          <w:sz w:val="24"/>
          <w:szCs w:val="24"/>
          <w:lang w:val="es-MX"/>
        </w:rPr>
        <w:t>, Rosalina Disotuar Cobas</w:t>
      </w:r>
      <w:r w:rsidRPr="00C64852">
        <w:rPr>
          <w:sz w:val="24"/>
          <w:szCs w:val="24"/>
          <w:vertAlign w:val="superscript"/>
          <w:lang w:val="es-MX"/>
        </w:rPr>
        <w:t>3</w:t>
      </w:r>
      <w:r w:rsidRPr="00C64852">
        <w:rPr>
          <w:sz w:val="24"/>
          <w:szCs w:val="24"/>
          <w:lang w:val="es-MX"/>
        </w:rPr>
        <w:t>, María C. González Cepero</w:t>
      </w:r>
      <w:r w:rsidRPr="00C64852">
        <w:rPr>
          <w:sz w:val="24"/>
          <w:szCs w:val="24"/>
          <w:vertAlign w:val="superscript"/>
          <w:lang w:val="es-MX"/>
        </w:rPr>
        <w:t>1</w:t>
      </w:r>
      <w:r w:rsidRPr="00C64852">
        <w:rPr>
          <w:sz w:val="24"/>
          <w:szCs w:val="24"/>
          <w:lang w:val="es-MX"/>
        </w:rPr>
        <w:t>, Juan C. Cabrera Pino</w:t>
      </w:r>
      <w:r>
        <w:rPr>
          <w:sz w:val="24"/>
          <w:szCs w:val="24"/>
          <w:vertAlign w:val="superscript"/>
          <w:lang w:val="es-MX"/>
        </w:rPr>
        <w:t>4</w:t>
      </w:r>
      <w:r w:rsidRPr="00C64852">
        <w:rPr>
          <w:sz w:val="24"/>
          <w:szCs w:val="24"/>
          <w:lang w:val="es-MX"/>
        </w:rPr>
        <w:t xml:space="preserve"> </w:t>
      </w:r>
    </w:p>
    <w:p w:rsidR="00073963" w:rsidRPr="00C64852" w:rsidRDefault="00073963" w:rsidP="00073963">
      <w:pPr>
        <w:spacing w:line="276" w:lineRule="auto"/>
        <w:ind w:left="1036" w:hanging="1036"/>
        <w:jc w:val="both"/>
        <w:rPr>
          <w:sz w:val="24"/>
          <w:szCs w:val="24"/>
          <w:lang w:val="es-MX"/>
        </w:rPr>
      </w:pPr>
    </w:p>
    <w:p w:rsidR="00073963" w:rsidRPr="00C64852" w:rsidRDefault="00073963" w:rsidP="00073963">
      <w:pPr>
        <w:spacing w:line="276" w:lineRule="auto"/>
        <w:ind w:left="154" w:hanging="154"/>
        <w:jc w:val="both"/>
        <w:rPr>
          <w:sz w:val="24"/>
          <w:szCs w:val="24"/>
          <w:lang w:val="es-MX"/>
        </w:rPr>
      </w:pPr>
      <w:r w:rsidRPr="00C64852">
        <w:rPr>
          <w:sz w:val="24"/>
          <w:szCs w:val="24"/>
          <w:vertAlign w:val="superscript"/>
          <w:lang w:val="es-MX"/>
        </w:rPr>
        <w:t>1</w:t>
      </w:r>
      <w:r w:rsidRPr="00C64852">
        <w:rPr>
          <w:sz w:val="24"/>
          <w:szCs w:val="24"/>
          <w:lang w:val="es-MX"/>
        </w:rPr>
        <w:t xml:space="preserve"> Instituto Nacional de Ciencias Agrícolas. Carretera a Tapaste Km. 3 ½ San José de las Lajas. Mayabeque. Cuba. C.P. 32700. </w:t>
      </w:r>
      <w:r w:rsidRPr="00C64852">
        <w:rPr>
          <w:sz w:val="24"/>
          <w:szCs w:val="24"/>
          <w:vertAlign w:val="superscript"/>
          <w:lang w:val="es-MX"/>
        </w:rPr>
        <w:t>*</w:t>
      </w:r>
      <w:r w:rsidRPr="00C64852">
        <w:rPr>
          <w:sz w:val="24"/>
          <w:szCs w:val="24"/>
          <w:lang w:val="es-MX"/>
        </w:rPr>
        <w:t xml:space="preserve">Autor para la correspondencia: </w:t>
      </w:r>
      <w:r>
        <w:rPr>
          <w:sz w:val="24"/>
          <w:szCs w:val="24"/>
          <w:lang w:val="es-MX"/>
        </w:rPr>
        <w:t>hioviedo@inca.edu.cu</w:t>
      </w:r>
    </w:p>
    <w:p w:rsidR="00D91FC1" w:rsidRDefault="00073963" w:rsidP="00073963">
      <w:pPr>
        <w:spacing w:line="276" w:lineRule="auto"/>
        <w:ind w:left="154" w:hanging="154"/>
        <w:jc w:val="both"/>
        <w:rPr>
          <w:sz w:val="24"/>
          <w:szCs w:val="24"/>
          <w:lang w:val="es-MX"/>
        </w:rPr>
      </w:pPr>
      <w:r w:rsidRPr="00C64852">
        <w:rPr>
          <w:sz w:val="24"/>
          <w:szCs w:val="24"/>
          <w:vertAlign w:val="superscript"/>
          <w:lang w:val="es-MX"/>
        </w:rPr>
        <w:t xml:space="preserve">2 </w:t>
      </w:r>
      <w:r w:rsidRPr="00C64852">
        <w:rPr>
          <w:sz w:val="24"/>
          <w:szCs w:val="24"/>
          <w:lang w:val="es-MX"/>
        </w:rPr>
        <w:t xml:space="preserve">Centro de Investigaciones Biológicas del Noroeste, S. C. Instituto Politécnico Nacional # 195, Playa Palo de Santa Rita Sur, La Paz, B. C. S., México, C.P. 23096. </w:t>
      </w:r>
    </w:p>
    <w:p w:rsidR="00073963" w:rsidRPr="00073963" w:rsidRDefault="00073963" w:rsidP="00073963">
      <w:pPr>
        <w:spacing w:line="276" w:lineRule="auto"/>
        <w:ind w:left="154" w:hanging="154"/>
        <w:jc w:val="both"/>
        <w:rPr>
          <w:rStyle w:val="st1"/>
          <w:rFonts w:eastAsiaTheme="minorEastAsia"/>
          <w:sz w:val="24"/>
          <w:szCs w:val="24"/>
          <w:lang w:val="es-ES"/>
        </w:rPr>
      </w:pPr>
      <w:r w:rsidRPr="00C64852">
        <w:rPr>
          <w:sz w:val="24"/>
          <w:szCs w:val="24"/>
          <w:vertAlign w:val="superscript"/>
          <w:lang w:val="es-MX"/>
        </w:rPr>
        <w:t xml:space="preserve">3 </w:t>
      </w:r>
      <w:r w:rsidRPr="00C64852">
        <w:rPr>
          <w:sz w:val="24"/>
          <w:szCs w:val="24"/>
          <w:lang w:val="es-MX"/>
        </w:rPr>
        <w:t xml:space="preserve">Instituto Finlay. </w:t>
      </w:r>
      <w:r w:rsidRPr="00073963">
        <w:rPr>
          <w:rStyle w:val="st1"/>
          <w:rFonts w:eastAsiaTheme="minorEastAsia"/>
          <w:sz w:val="24"/>
          <w:szCs w:val="24"/>
          <w:lang w:val="es-ES"/>
        </w:rPr>
        <w:t xml:space="preserve">Ave. 27 No. 19805, La Coronela, La Lisa, La </w:t>
      </w:r>
      <w:r w:rsidRPr="00073963">
        <w:rPr>
          <w:rStyle w:val="Emphasis"/>
          <w:rFonts w:eastAsiaTheme="majorEastAsia"/>
          <w:b w:val="0"/>
          <w:sz w:val="24"/>
          <w:szCs w:val="24"/>
          <w:lang w:val="es-ES"/>
        </w:rPr>
        <w:t>Habana</w:t>
      </w:r>
      <w:r w:rsidRPr="00073963">
        <w:rPr>
          <w:rStyle w:val="st1"/>
          <w:rFonts w:eastAsiaTheme="minorEastAsia"/>
          <w:b/>
          <w:sz w:val="24"/>
          <w:szCs w:val="24"/>
          <w:lang w:val="es-ES"/>
        </w:rPr>
        <w:t xml:space="preserve">, </w:t>
      </w:r>
      <w:r w:rsidRPr="00073963">
        <w:rPr>
          <w:rStyle w:val="Emphasis"/>
          <w:rFonts w:eastAsiaTheme="majorEastAsia"/>
          <w:b w:val="0"/>
          <w:sz w:val="24"/>
          <w:szCs w:val="24"/>
          <w:lang w:val="es-ES"/>
        </w:rPr>
        <w:t>Cuba</w:t>
      </w:r>
      <w:r w:rsidRPr="00073963">
        <w:rPr>
          <w:rStyle w:val="st1"/>
          <w:rFonts w:eastAsiaTheme="minorEastAsia"/>
          <w:sz w:val="24"/>
          <w:szCs w:val="24"/>
          <w:lang w:val="es-ES"/>
        </w:rPr>
        <w:t xml:space="preserve">. C.P. 16017. </w:t>
      </w:r>
    </w:p>
    <w:p w:rsidR="00073963" w:rsidRPr="00C64852" w:rsidRDefault="00073963" w:rsidP="00073963">
      <w:pPr>
        <w:spacing w:line="276" w:lineRule="auto"/>
        <w:jc w:val="both"/>
        <w:rPr>
          <w:sz w:val="24"/>
          <w:szCs w:val="24"/>
          <w:lang w:val="es-MX"/>
        </w:rPr>
      </w:pPr>
      <w:r>
        <w:rPr>
          <w:sz w:val="24"/>
          <w:szCs w:val="24"/>
          <w:vertAlign w:val="superscript"/>
          <w:lang w:val="es-MX"/>
        </w:rPr>
        <w:t>4</w:t>
      </w:r>
      <w:r w:rsidRPr="00C64852">
        <w:rPr>
          <w:sz w:val="24"/>
          <w:szCs w:val="24"/>
          <w:lang w:val="es-MX"/>
        </w:rPr>
        <w:t xml:space="preserve"> </w:t>
      </w:r>
      <w:r w:rsidRPr="00073963">
        <w:rPr>
          <w:sz w:val="24"/>
          <w:szCs w:val="24"/>
          <w:lang w:val="es-ES"/>
        </w:rPr>
        <w:t xml:space="preserve">Unidad  de  Biotecnología  de  Materia  Nova. </w:t>
      </w:r>
      <w:r w:rsidRPr="007714D3">
        <w:rPr>
          <w:sz w:val="24"/>
          <w:szCs w:val="24"/>
          <w:lang w:val="es-PR"/>
        </w:rPr>
        <w:t>Rue des Foudriers, 1, 7822  Ghistenghien,  Bélgica</w:t>
      </w:r>
      <w:r w:rsidRPr="00C64852">
        <w:rPr>
          <w:sz w:val="24"/>
          <w:szCs w:val="24"/>
          <w:lang w:val="es-MX"/>
        </w:rPr>
        <w:t>.</w:t>
      </w:r>
    </w:p>
    <w:p w:rsidR="00073963" w:rsidRDefault="00073963" w:rsidP="004663FD">
      <w:pPr>
        <w:pStyle w:val="BodyText"/>
        <w:spacing w:line="360" w:lineRule="auto"/>
        <w:jc w:val="center"/>
        <w:rPr>
          <w:rFonts w:ascii="Palatino Linotype" w:hAnsi="Palatino Linotype"/>
          <w:szCs w:val="24"/>
        </w:rPr>
      </w:pPr>
    </w:p>
    <w:p w:rsidR="004663FD" w:rsidRPr="005B425B" w:rsidRDefault="004663FD" w:rsidP="004663FD">
      <w:pPr>
        <w:pStyle w:val="BodyText"/>
        <w:spacing w:line="360" w:lineRule="auto"/>
        <w:jc w:val="center"/>
        <w:rPr>
          <w:rFonts w:ascii="Palatino Linotype" w:hAnsi="Palatino Linotype"/>
          <w:szCs w:val="24"/>
        </w:rPr>
      </w:pPr>
      <w:r w:rsidRPr="005B425B">
        <w:rPr>
          <w:rFonts w:ascii="Palatino Linotype" w:hAnsi="Palatino Linotype"/>
          <w:szCs w:val="24"/>
        </w:rPr>
        <w:t>RESUMEN</w:t>
      </w:r>
    </w:p>
    <w:p w:rsidR="003961C0" w:rsidRPr="005B425B" w:rsidRDefault="004663FD" w:rsidP="002C6A14">
      <w:pPr>
        <w:pStyle w:val="BodyText"/>
        <w:spacing w:line="360" w:lineRule="auto"/>
        <w:rPr>
          <w:rFonts w:ascii="Palatino Linotype" w:eastAsia="Palatino Linotype" w:hAnsi="Palatino Linotype" w:cs="Palatino Linotype"/>
          <w:szCs w:val="24"/>
        </w:rPr>
      </w:pPr>
      <w:r w:rsidRPr="005B425B">
        <w:rPr>
          <w:rFonts w:ascii="Palatino Linotype" w:hAnsi="Palatino Linotype"/>
          <w:b w:val="0"/>
          <w:szCs w:val="24"/>
        </w:rPr>
        <w:t>El aj</w:t>
      </w:r>
      <w:bookmarkStart w:id="0" w:name="_GoBack"/>
      <w:bookmarkEnd w:id="0"/>
      <w:r w:rsidRPr="005B425B">
        <w:rPr>
          <w:rFonts w:ascii="Palatino Linotype" w:hAnsi="Palatino Linotype"/>
          <w:b w:val="0"/>
          <w:szCs w:val="24"/>
        </w:rPr>
        <w:t>o (</w:t>
      </w:r>
      <w:r w:rsidRPr="005B425B">
        <w:rPr>
          <w:rFonts w:ascii="Palatino Linotype" w:hAnsi="Palatino Linotype"/>
          <w:b w:val="0"/>
          <w:i/>
          <w:szCs w:val="24"/>
        </w:rPr>
        <w:t>Allium sativum</w:t>
      </w:r>
      <w:r w:rsidRPr="005B425B">
        <w:rPr>
          <w:rFonts w:ascii="Palatino Linotype" w:hAnsi="Palatino Linotype"/>
          <w:b w:val="0"/>
          <w:szCs w:val="24"/>
        </w:rPr>
        <w:t xml:space="preserve"> L.), es una especie hortícola de gran importancia en Cuba  y en otros países del mundo por su alta demanda por la población tanto con fines culinarios como medicinales. Sin embargo, por ser una especie estrictamente agámica es afectada por diferentes enfermedades fitopatógenas, que contribuyen a la disminución de su rendimiento y hay que acudir a las técnicas biotecnológicas para su saneamiento y posterior micropropagación. Este trabajo se desarrolló con el objetivo de detectar variabilidad o estabilidad genética mediante la técnica de Aplicación de los fragmentos polimórficos amplificados al azar (AFLP) en las plantas de ajo del clon ‘Criollo-9’ micropropagadas con Pectimorf (mezcla de oligogalacturónidos.- mOLG). Se seleccionaron dientes de ajo que no presentaban signos aparentes de enfermedades y en condiciones de asepsia se extrajeron los ápices caulinares entre 5-10 mm y se evaluó el crecimiento y desarrollo tanto </w:t>
      </w:r>
      <w:r w:rsidRPr="005B425B">
        <w:rPr>
          <w:rFonts w:ascii="Palatino Linotype" w:hAnsi="Palatino Linotype"/>
          <w:i/>
          <w:szCs w:val="24"/>
        </w:rPr>
        <w:t>in vitro</w:t>
      </w:r>
      <w:r w:rsidRPr="005B425B">
        <w:rPr>
          <w:rFonts w:ascii="Palatino Linotype" w:hAnsi="Palatino Linotype"/>
          <w:b w:val="0"/>
          <w:szCs w:val="24"/>
        </w:rPr>
        <w:t xml:space="preserve"> como </w:t>
      </w:r>
      <w:r w:rsidRPr="005B425B">
        <w:rPr>
          <w:rFonts w:ascii="Palatino Linotype" w:hAnsi="Palatino Linotype"/>
          <w:i/>
          <w:szCs w:val="24"/>
        </w:rPr>
        <w:t xml:space="preserve">ex vitro </w:t>
      </w:r>
      <w:r w:rsidRPr="005B425B">
        <w:rPr>
          <w:rFonts w:ascii="Palatino Linotype" w:hAnsi="Palatino Linotype"/>
          <w:b w:val="0"/>
          <w:szCs w:val="24"/>
        </w:rPr>
        <w:t>de los mismos. Se obtuvo como resultados que con el empleo de la mOLG los ápices caulinares alcanzaron un mayor porcentaje de establecimiento, en un menor tiempo; en la fase de multiplicación la mOLG (10 mg.L</w:t>
      </w:r>
      <w:r w:rsidRPr="005B425B">
        <w:rPr>
          <w:rFonts w:ascii="Palatino Linotype" w:hAnsi="Palatino Linotype"/>
          <w:b w:val="0"/>
          <w:szCs w:val="24"/>
          <w:vertAlign w:val="superscript"/>
        </w:rPr>
        <w:t>-1</w:t>
      </w:r>
      <w:r w:rsidRPr="005B425B">
        <w:rPr>
          <w:rFonts w:ascii="Palatino Linotype" w:hAnsi="Palatino Linotype"/>
          <w:b w:val="0"/>
          <w:szCs w:val="24"/>
        </w:rPr>
        <w:t>) como sustituta del 2-isopenteniladenina (2-iP) y combinada con el AIA (0.5 mg.L</w:t>
      </w:r>
      <w:r w:rsidRPr="005B425B">
        <w:rPr>
          <w:rFonts w:ascii="Palatino Linotype" w:hAnsi="Palatino Linotype"/>
          <w:b w:val="0"/>
          <w:szCs w:val="24"/>
          <w:vertAlign w:val="superscript"/>
        </w:rPr>
        <w:t>-1</w:t>
      </w:r>
      <w:r w:rsidRPr="005B425B">
        <w:rPr>
          <w:rFonts w:ascii="Palatino Linotype" w:hAnsi="Palatino Linotype"/>
          <w:b w:val="0"/>
          <w:szCs w:val="24"/>
        </w:rPr>
        <w:t>) favoreció el número de brotes por explantes en los tres subcultivos que se realizaron. Las plántulas, que crecieron en los sustratos en que se empleó la mOLG a diferentes concentraciones, la supervivencia fue más alta que en las plántulas del tratamiento control. Se comprobó mediante la técnica de AFLP la estabilidad de los regenerantes del clon de ajo que se obtuvieron.</w:t>
      </w:r>
    </w:p>
    <w:sectPr w:rsidR="003961C0" w:rsidRPr="005B425B" w:rsidSect="00655957">
      <w:pgSz w:w="12260" w:h="15860"/>
      <w:pgMar w:top="1480" w:right="960" w:bottom="280" w:left="9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198" w:rsidRDefault="00243198" w:rsidP="00243198">
      <w:r>
        <w:separator/>
      </w:r>
    </w:p>
  </w:endnote>
  <w:endnote w:type="continuationSeparator" w:id="0">
    <w:p w:rsidR="00243198" w:rsidRDefault="00243198" w:rsidP="00243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198" w:rsidRDefault="00243198" w:rsidP="00243198">
      <w:r>
        <w:separator/>
      </w:r>
    </w:p>
  </w:footnote>
  <w:footnote w:type="continuationSeparator" w:id="0">
    <w:p w:rsidR="00243198" w:rsidRDefault="00243198" w:rsidP="002431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FB5365"/>
    <w:multiLevelType w:val="multilevel"/>
    <w:tmpl w:val="FDE24C5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30131"/>
    <w:rsid w:val="000255FE"/>
    <w:rsid w:val="00073963"/>
    <w:rsid w:val="00243198"/>
    <w:rsid w:val="00247B85"/>
    <w:rsid w:val="002C6A14"/>
    <w:rsid w:val="003961C0"/>
    <w:rsid w:val="003F7657"/>
    <w:rsid w:val="004663FD"/>
    <w:rsid w:val="005B425B"/>
    <w:rsid w:val="00655957"/>
    <w:rsid w:val="00730131"/>
    <w:rsid w:val="007714D3"/>
    <w:rsid w:val="00D91FC1"/>
    <w:rsid w:val="00D963D2"/>
    <w:rsid w:val="00F413C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74F862-BEAB-4649-B5D4-DE5ECA2F2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243198"/>
    <w:pPr>
      <w:tabs>
        <w:tab w:val="center" w:pos="4252"/>
        <w:tab w:val="right" w:pos="8504"/>
      </w:tabs>
    </w:pPr>
  </w:style>
  <w:style w:type="character" w:customStyle="1" w:styleId="HeaderChar">
    <w:name w:val="Header Char"/>
    <w:basedOn w:val="DefaultParagraphFont"/>
    <w:link w:val="Header"/>
    <w:uiPriority w:val="99"/>
    <w:rsid w:val="00243198"/>
  </w:style>
  <w:style w:type="paragraph" w:styleId="Footer">
    <w:name w:val="footer"/>
    <w:basedOn w:val="Normal"/>
    <w:link w:val="FooterChar"/>
    <w:uiPriority w:val="99"/>
    <w:unhideWhenUsed/>
    <w:rsid w:val="00243198"/>
    <w:pPr>
      <w:tabs>
        <w:tab w:val="center" w:pos="4252"/>
        <w:tab w:val="right" w:pos="8504"/>
      </w:tabs>
    </w:pPr>
  </w:style>
  <w:style w:type="character" w:customStyle="1" w:styleId="FooterChar">
    <w:name w:val="Footer Char"/>
    <w:basedOn w:val="DefaultParagraphFont"/>
    <w:link w:val="Footer"/>
    <w:uiPriority w:val="99"/>
    <w:rsid w:val="00243198"/>
  </w:style>
  <w:style w:type="paragraph" w:styleId="BodyText">
    <w:name w:val="Body Text"/>
    <w:basedOn w:val="Normal"/>
    <w:link w:val="BodyTextChar"/>
    <w:rsid w:val="003961C0"/>
    <w:pPr>
      <w:jc w:val="both"/>
    </w:pPr>
    <w:rPr>
      <w:b/>
      <w:sz w:val="24"/>
      <w:lang w:val="es-MX" w:eastAsia="es-ES"/>
    </w:rPr>
  </w:style>
  <w:style w:type="character" w:customStyle="1" w:styleId="BodyTextChar">
    <w:name w:val="Body Text Char"/>
    <w:basedOn w:val="DefaultParagraphFont"/>
    <w:link w:val="BodyText"/>
    <w:rsid w:val="003961C0"/>
    <w:rPr>
      <w:b/>
      <w:sz w:val="24"/>
      <w:lang w:val="es-MX" w:eastAsia="es-ES"/>
    </w:rPr>
  </w:style>
  <w:style w:type="character" w:styleId="Emphasis">
    <w:name w:val="Emphasis"/>
    <w:uiPriority w:val="20"/>
    <w:qFormat/>
    <w:rsid w:val="003961C0"/>
    <w:rPr>
      <w:b/>
      <w:bCs/>
      <w:i w:val="0"/>
      <w:iCs w:val="0"/>
    </w:rPr>
  </w:style>
  <w:style w:type="character" w:customStyle="1" w:styleId="st1">
    <w:name w:val="st1"/>
    <w:rsid w:val="00396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380</Words>
  <Characters>2172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 Cartaya Rubio</dc:creator>
  <cp:lastModifiedBy>Humberto</cp:lastModifiedBy>
  <cp:revision>5</cp:revision>
  <dcterms:created xsi:type="dcterms:W3CDTF">2016-05-23T14:56:00Z</dcterms:created>
  <dcterms:modified xsi:type="dcterms:W3CDTF">2016-06-01T05:55:00Z</dcterms:modified>
</cp:coreProperties>
</file>