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C9" w:rsidRPr="004927DE" w:rsidRDefault="00653EC9" w:rsidP="00653EC9">
      <w:pPr>
        <w:tabs>
          <w:tab w:val="left" w:pos="360"/>
        </w:tabs>
        <w:spacing w:after="120"/>
        <w:rPr>
          <w:b/>
          <w:sz w:val="28"/>
          <w:szCs w:val="28"/>
        </w:rPr>
      </w:pPr>
      <w:r w:rsidRPr="004927DE">
        <w:rPr>
          <w:b/>
          <w:sz w:val="28"/>
          <w:szCs w:val="28"/>
        </w:rPr>
        <w:t xml:space="preserve">Efecto de diferentes formas de aplicación del </w:t>
      </w:r>
      <w:proofErr w:type="spellStart"/>
      <w:r w:rsidRPr="004927DE">
        <w:rPr>
          <w:b/>
          <w:sz w:val="28"/>
          <w:szCs w:val="28"/>
        </w:rPr>
        <w:t>QuitoMax</w:t>
      </w:r>
      <w:proofErr w:type="spellEnd"/>
      <w:r w:rsidRPr="004927DE">
        <w:rPr>
          <w:rFonts w:cs="Calibri"/>
          <w:b/>
          <w:sz w:val="28"/>
          <w:szCs w:val="28"/>
        </w:rPr>
        <w:t>®</w:t>
      </w:r>
      <w:r w:rsidRPr="004927DE">
        <w:rPr>
          <w:b/>
          <w:sz w:val="28"/>
          <w:szCs w:val="28"/>
        </w:rPr>
        <w:t xml:space="preserve"> en la </w:t>
      </w:r>
      <w:proofErr w:type="spellStart"/>
      <w:r w:rsidRPr="004927DE">
        <w:rPr>
          <w:b/>
          <w:sz w:val="28"/>
          <w:szCs w:val="28"/>
        </w:rPr>
        <w:t>nodulación</w:t>
      </w:r>
      <w:proofErr w:type="spellEnd"/>
      <w:r w:rsidRPr="004927DE">
        <w:rPr>
          <w:b/>
          <w:sz w:val="28"/>
          <w:szCs w:val="28"/>
        </w:rPr>
        <w:t xml:space="preserve">, el crecimiento y el rendimiento de soya </w:t>
      </w:r>
      <w:r w:rsidRPr="004927DE">
        <w:rPr>
          <w:rFonts w:cs="Calibri"/>
          <w:b/>
          <w:sz w:val="28"/>
          <w:szCs w:val="28"/>
        </w:rPr>
        <w:t>[</w:t>
      </w:r>
      <w:proofErr w:type="spellStart"/>
      <w:r w:rsidRPr="004927DE">
        <w:rPr>
          <w:b/>
          <w:i/>
          <w:sz w:val="28"/>
          <w:szCs w:val="28"/>
        </w:rPr>
        <w:t>Glycine</w:t>
      </w:r>
      <w:proofErr w:type="spellEnd"/>
      <w:r w:rsidR="0087461D">
        <w:rPr>
          <w:b/>
          <w:i/>
          <w:sz w:val="28"/>
          <w:szCs w:val="28"/>
        </w:rPr>
        <w:t xml:space="preserve"> </w:t>
      </w:r>
      <w:proofErr w:type="spellStart"/>
      <w:r w:rsidRPr="004927DE">
        <w:rPr>
          <w:b/>
          <w:i/>
          <w:sz w:val="28"/>
          <w:szCs w:val="28"/>
        </w:rPr>
        <w:t>max</w:t>
      </w:r>
      <w:proofErr w:type="spellEnd"/>
      <w:r w:rsidRPr="004927DE">
        <w:rPr>
          <w:b/>
          <w:sz w:val="28"/>
          <w:szCs w:val="28"/>
        </w:rPr>
        <w:t xml:space="preserve"> (L.) Merrill</w:t>
      </w:r>
      <w:r w:rsidRPr="004927DE">
        <w:rPr>
          <w:rFonts w:cs="Calibri"/>
          <w:b/>
          <w:sz w:val="28"/>
          <w:szCs w:val="28"/>
        </w:rPr>
        <w:t xml:space="preserve">] inoculada con </w:t>
      </w:r>
      <w:proofErr w:type="spellStart"/>
      <w:r w:rsidRPr="004927DE">
        <w:rPr>
          <w:rFonts w:cs="Calibri"/>
          <w:b/>
          <w:sz w:val="28"/>
          <w:szCs w:val="28"/>
        </w:rPr>
        <w:t>Azofert</w:t>
      </w:r>
      <w:proofErr w:type="spellEnd"/>
      <w:r w:rsidRPr="004927DE">
        <w:rPr>
          <w:rFonts w:cs="Calibri"/>
          <w:b/>
          <w:sz w:val="28"/>
          <w:szCs w:val="28"/>
        </w:rPr>
        <w:t>®</w:t>
      </w:r>
      <w:r>
        <w:rPr>
          <w:rFonts w:cs="Calibri"/>
          <w:b/>
          <w:sz w:val="28"/>
          <w:szCs w:val="28"/>
        </w:rPr>
        <w:t xml:space="preserve"> a escala de campo</w:t>
      </w:r>
    </w:p>
    <w:p w:rsidR="00653EC9" w:rsidRDefault="00653EC9" w:rsidP="00653EC9">
      <w:pPr>
        <w:tabs>
          <w:tab w:val="left" w:pos="360"/>
        </w:tabs>
        <w:spacing w:after="120"/>
        <w:rPr>
          <w:sz w:val="24"/>
          <w:szCs w:val="24"/>
        </w:rPr>
      </w:pPr>
      <w:r w:rsidRPr="001E1F24">
        <w:rPr>
          <w:b/>
          <w:sz w:val="24"/>
          <w:szCs w:val="24"/>
        </w:rPr>
        <w:t xml:space="preserve">Autores: </w:t>
      </w:r>
      <w:proofErr w:type="spellStart"/>
      <w:r w:rsidRPr="001E1F24">
        <w:rPr>
          <w:sz w:val="24"/>
          <w:szCs w:val="24"/>
        </w:rPr>
        <w:t>Daimy</w:t>
      </w:r>
      <w:proofErr w:type="spellEnd"/>
      <w:r w:rsidRPr="001E1F24">
        <w:rPr>
          <w:sz w:val="24"/>
          <w:szCs w:val="24"/>
        </w:rPr>
        <w:t xml:space="preserve"> Costales, </w:t>
      </w:r>
      <w:proofErr w:type="spellStart"/>
      <w:r w:rsidRPr="001E1F24">
        <w:rPr>
          <w:sz w:val="24"/>
          <w:szCs w:val="24"/>
        </w:rPr>
        <w:t>Lisbel</w:t>
      </w:r>
      <w:proofErr w:type="spellEnd"/>
      <w:r w:rsidRPr="001E1F24">
        <w:rPr>
          <w:sz w:val="24"/>
          <w:szCs w:val="24"/>
        </w:rPr>
        <w:t xml:space="preserve"> Travieso</w:t>
      </w:r>
      <w:r>
        <w:rPr>
          <w:sz w:val="24"/>
          <w:szCs w:val="24"/>
        </w:rPr>
        <w:t>, Mario Varela</w:t>
      </w:r>
      <w:r w:rsidR="008746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 w:rsidRPr="001E1F24">
        <w:rPr>
          <w:sz w:val="24"/>
          <w:szCs w:val="24"/>
        </w:rPr>
        <w:t>Alejandro Falcón</w:t>
      </w:r>
    </w:p>
    <w:p w:rsidR="00653EC9" w:rsidRPr="0088128E" w:rsidRDefault="0087461D" w:rsidP="00653EC9">
      <w:pPr>
        <w:tabs>
          <w:tab w:val="left" w:pos="360"/>
        </w:tabs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Resumen</w:t>
      </w:r>
    </w:p>
    <w:p w:rsidR="00653EC9" w:rsidRDefault="00653EC9" w:rsidP="00653EC9">
      <w:pPr>
        <w:pStyle w:val="Prrafodelista"/>
        <w:tabs>
          <w:tab w:val="left" w:pos="0"/>
          <w:tab w:val="left" w:pos="360"/>
          <w:tab w:val="left" w:pos="540"/>
        </w:tabs>
        <w:spacing w:after="120"/>
        <w:ind w:left="0"/>
        <w:rPr>
          <w:sz w:val="24"/>
          <w:szCs w:val="24"/>
        </w:rPr>
      </w:pPr>
      <w:r w:rsidRPr="00391D94">
        <w:rPr>
          <w:rFonts w:cs="Calibri"/>
          <w:sz w:val="24"/>
          <w:szCs w:val="24"/>
        </w:rPr>
        <w:t xml:space="preserve">El uso de </w:t>
      </w:r>
      <w:r>
        <w:rPr>
          <w:rFonts w:cs="Calibri"/>
          <w:sz w:val="24"/>
          <w:szCs w:val="24"/>
        </w:rPr>
        <w:t xml:space="preserve">productos </w:t>
      </w:r>
      <w:proofErr w:type="spellStart"/>
      <w:r>
        <w:rPr>
          <w:rFonts w:cs="Calibri"/>
          <w:sz w:val="24"/>
          <w:szCs w:val="24"/>
        </w:rPr>
        <w:t>bioactivos</w:t>
      </w:r>
      <w:proofErr w:type="spellEnd"/>
      <w:r>
        <w:rPr>
          <w:rFonts w:cs="Calibri"/>
          <w:sz w:val="24"/>
          <w:szCs w:val="24"/>
        </w:rPr>
        <w:t xml:space="preserve"> en la agricultura </w:t>
      </w:r>
      <w:r w:rsidRPr="00391D94">
        <w:rPr>
          <w:rFonts w:cs="Calibri"/>
          <w:sz w:val="24"/>
          <w:szCs w:val="24"/>
        </w:rPr>
        <w:t>resulta importante desde el punto de vista ecológico y económico</w:t>
      </w:r>
      <w:r>
        <w:rPr>
          <w:rFonts w:cs="Calibri"/>
          <w:sz w:val="24"/>
          <w:szCs w:val="24"/>
        </w:rPr>
        <w:t xml:space="preserve">. Los </w:t>
      </w:r>
      <w:proofErr w:type="spellStart"/>
      <w:r w:rsidRPr="00391D94">
        <w:rPr>
          <w:rFonts w:cs="Calibri"/>
          <w:sz w:val="24"/>
          <w:szCs w:val="24"/>
        </w:rPr>
        <w:t>biofertilizantes</w:t>
      </w:r>
      <w:r>
        <w:rPr>
          <w:rFonts w:cs="Calibri"/>
          <w:sz w:val="24"/>
          <w:szCs w:val="24"/>
        </w:rPr>
        <w:t>a</w:t>
      </w:r>
      <w:proofErr w:type="spellEnd"/>
      <w:r>
        <w:rPr>
          <w:rFonts w:cs="Calibri"/>
          <w:sz w:val="24"/>
          <w:szCs w:val="24"/>
        </w:rPr>
        <w:t xml:space="preserve"> base de </w:t>
      </w:r>
      <w:proofErr w:type="spellStart"/>
      <w:r>
        <w:rPr>
          <w:rFonts w:cs="Calibri"/>
          <w:sz w:val="24"/>
          <w:szCs w:val="24"/>
        </w:rPr>
        <w:t>rizobios</w:t>
      </w:r>
      <w:r w:rsidRPr="00391D94">
        <w:rPr>
          <w:rFonts w:cs="Calibri"/>
          <w:sz w:val="24"/>
          <w:szCs w:val="24"/>
        </w:rPr>
        <w:t>reduce</w:t>
      </w:r>
      <w:r>
        <w:rPr>
          <w:rFonts w:cs="Calibri"/>
          <w:sz w:val="24"/>
          <w:szCs w:val="24"/>
        </w:rPr>
        <w:t>n</w:t>
      </w:r>
      <w:proofErr w:type="spellEnd"/>
      <w:r w:rsidRPr="00391D94">
        <w:rPr>
          <w:rFonts w:cs="Calibri"/>
          <w:sz w:val="24"/>
          <w:szCs w:val="24"/>
        </w:rPr>
        <w:t xml:space="preserve"> la necesidad de fertilizantes inorgánicos</w:t>
      </w:r>
      <w:r>
        <w:rPr>
          <w:rFonts w:cs="Calibri"/>
          <w:sz w:val="24"/>
          <w:szCs w:val="24"/>
        </w:rPr>
        <w:t xml:space="preserve"> y los productos de </w:t>
      </w:r>
      <w:proofErr w:type="spellStart"/>
      <w:r>
        <w:rPr>
          <w:rFonts w:cs="Calibri"/>
          <w:sz w:val="24"/>
          <w:szCs w:val="24"/>
        </w:rPr>
        <w:t>oligosacarinas</w:t>
      </w:r>
      <w:proofErr w:type="spellEnd"/>
      <w:r>
        <w:rPr>
          <w:rFonts w:cs="Calibri"/>
          <w:sz w:val="24"/>
          <w:szCs w:val="24"/>
        </w:rPr>
        <w:t xml:space="preserve">, como el </w:t>
      </w:r>
      <w:proofErr w:type="spellStart"/>
      <w:r>
        <w:rPr>
          <w:rFonts w:cs="Calibri"/>
          <w:sz w:val="24"/>
          <w:szCs w:val="24"/>
        </w:rPr>
        <w:t>QuitoMax</w:t>
      </w:r>
      <w:proofErr w:type="spellEnd"/>
      <w:r>
        <w:rPr>
          <w:rFonts w:cs="Calibri"/>
          <w:sz w:val="24"/>
          <w:szCs w:val="24"/>
        </w:rPr>
        <w:t xml:space="preserve">, actúan como </w:t>
      </w:r>
      <w:proofErr w:type="spellStart"/>
      <w:r>
        <w:rPr>
          <w:rFonts w:cs="Calibri"/>
          <w:sz w:val="24"/>
          <w:szCs w:val="24"/>
        </w:rPr>
        <w:t>bioestimulantes</w:t>
      </w:r>
      <w:proofErr w:type="spellEnd"/>
      <w:r>
        <w:rPr>
          <w:rFonts w:cs="Calibri"/>
          <w:sz w:val="24"/>
          <w:szCs w:val="24"/>
        </w:rPr>
        <w:t xml:space="preserve"> del</w:t>
      </w:r>
      <w:r w:rsidRPr="00391D94">
        <w:rPr>
          <w:rFonts w:cs="Calibri"/>
          <w:sz w:val="24"/>
          <w:szCs w:val="24"/>
        </w:rPr>
        <w:t xml:space="preserve"> crecimiento y desarrollo de las plantas</w:t>
      </w:r>
      <w:r>
        <w:rPr>
          <w:rFonts w:cs="Calibri"/>
          <w:sz w:val="24"/>
          <w:szCs w:val="24"/>
        </w:rPr>
        <w:t>.Tomando e</w:t>
      </w:r>
      <w:r w:rsidRPr="00391D94">
        <w:rPr>
          <w:rFonts w:cs="Calibri"/>
          <w:iCs/>
          <w:color w:val="000000"/>
          <w:sz w:val="24"/>
          <w:szCs w:val="24"/>
          <w:lang w:val="es-ES_tradnl"/>
        </w:rPr>
        <w:t xml:space="preserve">n cuenta </w:t>
      </w:r>
      <w:r>
        <w:rPr>
          <w:rFonts w:cs="Calibri"/>
          <w:iCs/>
          <w:color w:val="000000"/>
          <w:sz w:val="24"/>
          <w:szCs w:val="24"/>
          <w:lang w:val="es-ES_tradnl"/>
        </w:rPr>
        <w:t xml:space="preserve">las potencialidades de ambos </w:t>
      </w:r>
      <w:proofErr w:type="spellStart"/>
      <w:r>
        <w:rPr>
          <w:rFonts w:cs="Calibri"/>
          <w:iCs/>
          <w:color w:val="000000"/>
          <w:sz w:val="24"/>
          <w:szCs w:val="24"/>
          <w:lang w:val="es-ES_tradnl"/>
        </w:rPr>
        <w:t>bioproductos</w:t>
      </w:r>
      <w:proofErr w:type="spellEnd"/>
      <w:r>
        <w:rPr>
          <w:rFonts w:cs="Calibri"/>
          <w:iCs/>
          <w:color w:val="000000"/>
          <w:sz w:val="24"/>
          <w:szCs w:val="24"/>
          <w:lang w:val="es-ES_tradnl"/>
        </w:rPr>
        <w:t xml:space="preserve">, </w:t>
      </w:r>
      <w:r w:rsidRPr="00391D94">
        <w:rPr>
          <w:rFonts w:cs="Calibri"/>
          <w:iCs/>
          <w:color w:val="000000"/>
          <w:sz w:val="24"/>
          <w:szCs w:val="24"/>
          <w:lang w:val="es-ES_tradnl"/>
        </w:rPr>
        <w:t>pudiera</w:t>
      </w:r>
      <w:r>
        <w:rPr>
          <w:rFonts w:cs="Calibri"/>
          <w:iCs/>
          <w:color w:val="000000"/>
          <w:sz w:val="24"/>
          <w:szCs w:val="24"/>
          <w:lang w:val="es-ES_tradnl"/>
        </w:rPr>
        <w:t>n</w:t>
      </w:r>
      <w:r w:rsidRPr="00391D94">
        <w:rPr>
          <w:rFonts w:cs="Calibri"/>
          <w:iCs/>
          <w:color w:val="000000"/>
          <w:sz w:val="24"/>
          <w:szCs w:val="24"/>
          <w:lang w:val="es-ES_tradnl"/>
        </w:rPr>
        <w:t xml:space="preserve"> ser </w:t>
      </w:r>
      <w:proofErr w:type="spellStart"/>
      <w:r w:rsidRPr="00391D94">
        <w:rPr>
          <w:rFonts w:cs="Calibri"/>
          <w:iCs/>
          <w:color w:val="000000"/>
          <w:sz w:val="24"/>
          <w:szCs w:val="24"/>
          <w:lang w:val="es-ES_tradnl"/>
        </w:rPr>
        <w:t>utilizad</w:t>
      </w:r>
      <w:r>
        <w:rPr>
          <w:rFonts w:cs="Calibri"/>
          <w:iCs/>
          <w:color w:val="000000"/>
          <w:sz w:val="24"/>
          <w:szCs w:val="24"/>
          <w:lang w:val="es-ES_tradnl"/>
        </w:rPr>
        <w:t>osde</w:t>
      </w:r>
      <w:proofErr w:type="spellEnd"/>
      <w:r>
        <w:rPr>
          <w:rFonts w:cs="Calibri"/>
          <w:iCs/>
          <w:color w:val="000000"/>
          <w:sz w:val="24"/>
          <w:szCs w:val="24"/>
          <w:lang w:val="es-ES_tradnl"/>
        </w:rPr>
        <w:t xml:space="preserve"> forma combinada, </w:t>
      </w:r>
      <w:r w:rsidRPr="00391D94">
        <w:rPr>
          <w:rFonts w:cs="Calibri"/>
          <w:iCs/>
          <w:color w:val="000000"/>
          <w:sz w:val="24"/>
          <w:szCs w:val="24"/>
          <w:lang w:val="es-ES_tradnl"/>
        </w:rPr>
        <w:t xml:space="preserve">para incrementar el aporte de nitrógeno por la bacteria y estimular el desarrollo de </w:t>
      </w:r>
      <w:r>
        <w:rPr>
          <w:rFonts w:cs="Calibri"/>
          <w:iCs/>
          <w:color w:val="000000"/>
          <w:sz w:val="24"/>
          <w:szCs w:val="24"/>
          <w:lang w:val="es-ES_tradnl"/>
        </w:rPr>
        <w:t xml:space="preserve">plantas de </w:t>
      </w:r>
      <w:r w:rsidRPr="00391D94">
        <w:rPr>
          <w:rFonts w:cs="Calibri"/>
          <w:iCs/>
          <w:color w:val="000000"/>
          <w:sz w:val="24"/>
          <w:szCs w:val="24"/>
          <w:lang w:val="es-ES_tradnl"/>
        </w:rPr>
        <w:t xml:space="preserve">soya. </w:t>
      </w:r>
      <w:r w:rsidRPr="00391D94">
        <w:rPr>
          <w:rFonts w:cs="Calibri"/>
          <w:sz w:val="24"/>
          <w:szCs w:val="24"/>
          <w:lang w:val="es-ES_tradnl"/>
        </w:rPr>
        <w:t xml:space="preserve">En este trabajo, </w:t>
      </w:r>
      <w:r>
        <w:rPr>
          <w:rFonts w:cs="Calibri"/>
          <w:sz w:val="24"/>
          <w:szCs w:val="24"/>
          <w:lang w:val="es-ES_tradnl"/>
        </w:rPr>
        <w:t>s</w:t>
      </w:r>
      <w:r>
        <w:rPr>
          <w:sz w:val="24"/>
          <w:szCs w:val="24"/>
        </w:rPr>
        <w:t xml:space="preserve">e realizaron tres </w:t>
      </w:r>
      <w:proofErr w:type="spellStart"/>
      <w:r w:rsidRPr="0088128E">
        <w:rPr>
          <w:sz w:val="24"/>
          <w:szCs w:val="24"/>
        </w:rPr>
        <w:t>experimento</w:t>
      </w:r>
      <w:r>
        <w:rPr>
          <w:sz w:val="24"/>
          <w:szCs w:val="24"/>
        </w:rPr>
        <w:t>sde</w:t>
      </w:r>
      <w:proofErr w:type="spellEnd"/>
      <w:r>
        <w:rPr>
          <w:sz w:val="24"/>
          <w:szCs w:val="24"/>
        </w:rPr>
        <w:t xml:space="preserve"> campo con el objetivo de conocer el efecto de diferentes formas y dosis de aplicación del </w:t>
      </w:r>
      <w:proofErr w:type="spellStart"/>
      <w:r>
        <w:rPr>
          <w:sz w:val="24"/>
          <w:szCs w:val="24"/>
        </w:rPr>
        <w:t>QuitoMax</w:t>
      </w:r>
      <w:r w:rsidRPr="0088128E">
        <w:rPr>
          <w:sz w:val="24"/>
          <w:szCs w:val="24"/>
        </w:rPr>
        <w:t>conjuntamente</w:t>
      </w:r>
      <w:proofErr w:type="spellEnd"/>
      <w:r w:rsidRPr="0088128E">
        <w:rPr>
          <w:sz w:val="24"/>
          <w:szCs w:val="24"/>
        </w:rPr>
        <w:t xml:space="preserve"> con el inoculante </w:t>
      </w:r>
      <w:proofErr w:type="spellStart"/>
      <w:r>
        <w:rPr>
          <w:sz w:val="24"/>
          <w:szCs w:val="24"/>
        </w:rPr>
        <w:t>Azofert</w:t>
      </w:r>
      <w:proofErr w:type="spellEnd"/>
      <w:r>
        <w:rPr>
          <w:sz w:val="24"/>
          <w:szCs w:val="24"/>
        </w:rPr>
        <w:t xml:space="preserve">, al ser aplicado sobre </w:t>
      </w:r>
      <w:r w:rsidRPr="0088128E">
        <w:rPr>
          <w:sz w:val="24"/>
          <w:szCs w:val="24"/>
        </w:rPr>
        <w:t>semillas y</w:t>
      </w:r>
      <w:r>
        <w:rPr>
          <w:sz w:val="24"/>
          <w:szCs w:val="24"/>
        </w:rPr>
        <w:t xml:space="preserve"> combinado o no con la aspersión foliar, en la </w:t>
      </w:r>
      <w:proofErr w:type="spellStart"/>
      <w:r>
        <w:rPr>
          <w:sz w:val="24"/>
          <w:szCs w:val="24"/>
        </w:rPr>
        <w:t>nodulación</w:t>
      </w:r>
      <w:proofErr w:type="spellEnd"/>
      <w:r>
        <w:rPr>
          <w:sz w:val="24"/>
          <w:szCs w:val="24"/>
        </w:rPr>
        <w:t xml:space="preserve">, el crecimiento y los rendimientos del cultivar de soyaINCAsoy-27. </w:t>
      </w:r>
      <w:r>
        <w:rPr>
          <w:rFonts w:cs="Calibri"/>
          <w:sz w:val="24"/>
          <w:szCs w:val="24"/>
        </w:rPr>
        <w:t>El primer experimento (1) se realizó en el período de invierno</w:t>
      </w:r>
      <w:r>
        <w:rPr>
          <w:sz w:val="24"/>
          <w:szCs w:val="24"/>
        </w:rPr>
        <w:t xml:space="preserve"> (enero- abril), mientras que los experimentos 2 y 3 fueron ejecutados en el período de primavera (mayo- julio). Las distintas formas de aplicación del </w:t>
      </w:r>
      <w:proofErr w:type="spellStart"/>
      <w:r>
        <w:rPr>
          <w:sz w:val="24"/>
          <w:szCs w:val="24"/>
        </w:rPr>
        <w:t>QuitoMax</w:t>
      </w:r>
      <w:proofErr w:type="spellEnd"/>
      <w:r>
        <w:rPr>
          <w:sz w:val="24"/>
          <w:szCs w:val="24"/>
        </w:rPr>
        <w:t xml:space="preserve"> beneficiaron el desarrollo de las plantas que dependió de la dosis empleada del </w:t>
      </w:r>
      <w:proofErr w:type="spellStart"/>
      <w:r>
        <w:rPr>
          <w:sz w:val="24"/>
          <w:szCs w:val="24"/>
        </w:rPr>
        <w:t>bioproducto</w:t>
      </w:r>
      <w:proofErr w:type="spellEnd"/>
      <w:r>
        <w:rPr>
          <w:sz w:val="24"/>
          <w:szCs w:val="24"/>
        </w:rPr>
        <w:t xml:space="preserve">. Los mayores rendimientos se obtuvieron cuando cada forma de aplicación del </w:t>
      </w:r>
      <w:proofErr w:type="spellStart"/>
      <w:r>
        <w:rPr>
          <w:sz w:val="24"/>
          <w:szCs w:val="24"/>
        </w:rPr>
        <w:t>QuitoMax</w:t>
      </w:r>
      <w:proofErr w:type="spellEnd"/>
      <w:r>
        <w:rPr>
          <w:sz w:val="24"/>
          <w:szCs w:val="24"/>
        </w:rPr>
        <w:t xml:space="preserve"> se aplicó por separado, destacándose 0.1 g.ha</w:t>
      </w:r>
      <w:r w:rsidRPr="006F791E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a las semillas y 20 g.ha</w:t>
      </w:r>
      <w:r w:rsidRPr="006F791E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por aspersión foliar en el período de primavera (época óptima del cultivar empleado).  </w:t>
      </w:r>
    </w:p>
    <w:p w:rsidR="002A658E" w:rsidRDefault="0087461D">
      <w:bookmarkStart w:id="0" w:name="_GoBack"/>
      <w:bookmarkEnd w:id="0"/>
    </w:p>
    <w:sectPr w:rsidR="002A658E" w:rsidSect="004C30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3EC9"/>
    <w:rsid w:val="004C3033"/>
    <w:rsid w:val="00653EC9"/>
    <w:rsid w:val="0087461D"/>
    <w:rsid w:val="00C33E52"/>
    <w:rsid w:val="00ED5105"/>
    <w:rsid w:val="00F45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EC9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53E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EC9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53E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Daimy Costales Menéndez</dc:creator>
  <cp:lastModifiedBy>hioviedo</cp:lastModifiedBy>
  <cp:revision>3</cp:revision>
  <dcterms:created xsi:type="dcterms:W3CDTF">2016-06-01T16:00:00Z</dcterms:created>
  <dcterms:modified xsi:type="dcterms:W3CDTF">2016-06-01T16:01:00Z</dcterms:modified>
</cp:coreProperties>
</file>