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4C" w:rsidRPr="00D1323F" w:rsidRDefault="0038314C" w:rsidP="00560B68">
      <w:pPr>
        <w:ind w:left="100" w:right="114"/>
        <w:jc w:val="both"/>
        <w:rPr>
          <w:rFonts w:eastAsia="Palatino Linotype"/>
          <w:b/>
          <w:sz w:val="28"/>
          <w:szCs w:val="24"/>
          <w:lang w:val="es-ES"/>
        </w:rPr>
      </w:pPr>
      <w:r w:rsidRPr="00D1323F">
        <w:rPr>
          <w:rFonts w:eastAsia="Palatino Linotype"/>
          <w:b/>
          <w:sz w:val="28"/>
          <w:szCs w:val="24"/>
          <w:lang w:val="es-ES"/>
        </w:rPr>
        <w:t xml:space="preserve">Determinación del punto de equilibrio para la producción de </w:t>
      </w:r>
      <w:proofErr w:type="spellStart"/>
      <w:r w:rsidRPr="00D1323F">
        <w:rPr>
          <w:rFonts w:eastAsia="Palatino Linotype"/>
          <w:b/>
          <w:sz w:val="28"/>
          <w:szCs w:val="24"/>
          <w:lang w:val="es-ES"/>
        </w:rPr>
        <w:t>Quitomax</w:t>
      </w:r>
      <w:proofErr w:type="spellEnd"/>
      <w:r w:rsidRPr="00D1323F">
        <w:rPr>
          <w:rFonts w:eastAsia="Palatino Linotype"/>
          <w:b/>
          <w:sz w:val="28"/>
          <w:szCs w:val="24"/>
          <w:lang w:val="es-ES"/>
        </w:rPr>
        <w:t xml:space="preserve">® y </w:t>
      </w:r>
      <w:proofErr w:type="spellStart"/>
      <w:r w:rsidRPr="00D1323F">
        <w:rPr>
          <w:rFonts w:eastAsia="Palatino Linotype"/>
          <w:b/>
          <w:sz w:val="28"/>
          <w:szCs w:val="24"/>
          <w:lang w:val="es-ES"/>
        </w:rPr>
        <w:t>Pectimorf</w:t>
      </w:r>
      <w:proofErr w:type="spellEnd"/>
      <w:r w:rsidRPr="00D1323F">
        <w:rPr>
          <w:rFonts w:eastAsia="Palatino Linotype"/>
          <w:b/>
          <w:sz w:val="28"/>
          <w:szCs w:val="24"/>
          <w:lang w:val="es-ES"/>
        </w:rPr>
        <w:t>®.</w:t>
      </w:r>
    </w:p>
    <w:p w:rsidR="0038314C" w:rsidRPr="00A218DD" w:rsidRDefault="0038314C" w:rsidP="00560B68">
      <w:pPr>
        <w:ind w:left="100" w:right="114"/>
        <w:jc w:val="both"/>
        <w:rPr>
          <w:rFonts w:eastAsia="Palatino Linotype"/>
          <w:sz w:val="24"/>
          <w:szCs w:val="24"/>
          <w:lang w:val="es-ES"/>
        </w:rPr>
      </w:pPr>
    </w:p>
    <w:p w:rsidR="0038314C" w:rsidRDefault="0038314C" w:rsidP="00560B68">
      <w:pPr>
        <w:ind w:left="100" w:right="-1"/>
        <w:jc w:val="both"/>
        <w:rPr>
          <w:rFonts w:eastAsia="Palatino Linotype"/>
          <w:b/>
          <w:sz w:val="24"/>
          <w:szCs w:val="24"/>
          <w:lang w:val="es-ES"/>
        </w:rPr>
      </w:pPr>
      <w:r>
        <w:rPr>
          <w:rFonts w:eastAsia="Palatino Linotype"/>
          <w:b/>
          <w:sz w:val="24"/>
          <w:szCs w:val="24"/>
          <w:lang w:val="es-ES"/>
        </w:rPr>
        <w:t xml:space="preserve">Autores: </w:t>
      </w:r>
      <w:r w:rsidRPr="0038314C">
        <w:rPr>
          <w:rFonts w:eastAsia="Palatino Linotype"/>
          <w:sz w:val="24"/>
          <w:szCs w:val="24"/>
          <w:lang w:val="es-ES"/>
        </w:rPr>
        <w:t xml:space="preserve">Ana Ma. Moreno, O. Cartaya, J.H. Hernández y </w:t>
      </w:r>
      <w:proofErr w:type="spellStart"/>
      <w:r w:rsidRPr="0038314C">
        <w:rPr>
          <w:rFonts w:eastAsia="Palatino Linotype"/>
          <w:sz w:val="24"/>
          <w:szCs w:val="24"/>
          <w:lang w:val="es-ES"/>
        </w:rPr>
        <w:t>Lisbel</w:t>
      </w:r>
      <w:proofErr w:type="spellEnd"/>
      <w:r w:rsidRPr="0038314C">
        <w:rPr>
          <w:rFonts w:eastAsia="Palatino Linotype"/>
          <w:sz w:val="24"/>
          <w:szCs w:val="24"/>
          <w:lang w:val="es-ES"/>
        </w:rPr>
        <w:t xml:space="preserve"> Travieso</w:t>
      </w:r>
    </w:p>
    <w:p w:rsidR="0038314C" w:rsidRPr="00D1323F" w:rsidRDefault="0038314C" w:rsidP="00560B68">
      <w:pPr>
        <w:ind w:left="100" w:right="-1"/>
        <w:jc w:val="both"/>
        <w:rPr>
          <w:rFonts w:eastAsia="Palatino Linotype"/>
          <w:i/>
          <w:sz w:val="22"/>
          <w:szCs w:val="24"/>
          <w:lang w:val="es-ES"/>
        </w:rPr>
      </w:pPr>
      <w:r w:rsidRPr="00D1323F">
        <w:rPr>
          <w:rFonts w:eastAsia="Palatino Linotype"/>
          <w:i/>
          <w:sz w:val="22"/>
          <w:szCs w:val="24"/>
          <w:lang w:val="es-ES"/>
        </w:rPr>
        <w:t>Instituto Nacional de Ciencias Agrícolas</w:t>
      </w:r>
      <w:bookmarkStart w:id="0" w:name="_GoBack"/>
      <w:bookmarkEnd w:id="0"/>
    </w:p>
    <w:p w:rsidR="0038314C" w:rsidRDefault="0038314C" w:rsidP="00560B68">
      <w:pPr>
        <w:ind w:left="100" w:right="-1"/>
        <w:jc w:val="both"/>
        <w:rPr>
          <w:rFonts w:eastAsia="Palatino Linotype"/>
          <w:b/>
          <w:sz w:val="24"/>
          <w:szCs w:val="24"/>
          <w:lang w:val="es-ES"/>
        </w:rPr>
      </w:pPr>
    </w:p>
    <w:p w:rsidR="0038314C" w:rsidRDefault="0038314C" w:rsidP="00560B68">
      <w:pPr>
        <w:ind w:left="100" w:right="-1"/>
        <w:jc w:val="both"/>
        <w:rPr>
          <w:rFonts w:eastAsia="Palatino Linotype"/>
          <w:b/>
          <w:sz w:val="24"/>
          <w:szCs w:val="24"/>
          <w:lang w:val="es-ES"/>
        </w:rPr>
      </w:pPr>
      <w:r>
        <w:rPr>
          <w:rFonts w:eastAsia="Palatino Linotype"/>
          <w:b/>
          <w:sz w:val="24"/>
          <w:szCs w:val="24"/>
          <w:lang w:val="es-ES"/>
        </w:rPr>
        <w:t>Resumen</w:t>
      </w:r>
    </w:p>
    <w:p w:rsidR="0038314C" w:rsidRPr="00D11E34" w:rsidRDefault="00D75057" w:rsidP="00560B68">
      <w:pPr>
        <w:ind w:left="100" w:right="-1"/>
        <w:jc w:val="both"/>
        <w:rPr>
          <w:rFonts w:eastAsia="Palatino Linotype"/>
          <w:sz w:val="24"/>
          <w:szCs w:val="24"/>
          <w:lang w:val="es-ES"/>
        </w:rPr>
      </w:pPr>
      <w:r w:rsidRPr="00D11E34">
        <w:rPr>
          <w:sz w:val="24"/>
          <w:szCs w:val="24"/>
          <w:lang w:val="es-ES"/>
        </w:rPr>
        <w:t xml:space="preserve">El análisis de punto de equilibrio es una herramienta sencilla, que permite visualizar </w:t>
      </w:r>
      <w:r w:rsidR="00D1323F">
        <w:rPr>
          <w:sz w:val="24"/>
          <w:szCs w:val="24"/>
          <w:lang w:val="es-ES"/>
        </w:rPr>
        <w:t>el nivel mínimo de ventas  que un negocio</w:t>
      </w:r>
      <w:r w:rsidRPr="00D11E34">
        <w:rPr>
          <w:sz w:val="24"/>
          <w:szCs w:val="24"/>
          <w:lang w:val="es-ES"/>
        </w:rPr>
        <w:t xml:space="preserve"> requiere para cubrir sus costos totales. El análisis permite proyectar las utilidades (o pérdidas) ante cambios en precios de venta, nivel y estructura de costos, y volúmenes de venta.</w:t>
      </w:r>
      <w:r w:rsidR="00D1323F">
        <w:rPr>
          <w:sz w:val="24"/>
          <w:szCs w:val="24"/>
          <w:lang w:val="es-ES"/>
        </w:rPr>
        <w:t xml:space="preserve"> También </w:t>
      </w:r>
      <w:r w:rsidRPr="00D11E34">
        <w:rPr>
          <w:sz w:val="24"/>
          <w:szCs w:val="24"/>
          <w:lang w:val="es-ES"/>
        </w:rPr>
        <w:t xml:space="preserve">permite dimensionar el nivel  de seguridad operativa o ventas en el que  estamos o planeamos estar para no caer  en pérdidas.En nuestro trabajo </w:t>
      </w:r>
      <w:r w:rsidR="00D1323F">
        <w:rPr>
          <w:sz w:val="24"/>
          <w:szCs w:val="24"/>
          <w:lang w:val="es-ES"/>
        </w:rPr>
        <w:t>se</w:t>
      </w:r>
      <w:r w:rsidRPr="00D11E34">
        <w:rPr>
          <w:sz w:val="24"/>
          <w:szCs w:val="24"/>
          <w:lang w:val="es-ES"/>
        </w:rPr>
        <w:t xml:space="preserve"> determin</w:t>
      </w:r>
      <w:r w:rsidR="00D1323F">
        <w:rPr>
          <w:sz w:val="24"/>
          <w:szCs w:val="24"/>
          <w:lang w:val="es-ES"/>
        </w:rPr>
        <w:t>ó</w:t>
      </w:r>
      <w:r w:rsidRPr="00D11E34">
        <w:rPr>
          <w:sz w:val="24"/>
          <w:szCs w:val="24"/>
          <w:lang w:val="es-ES"/>
        </w:rPr>
        <w:t xml:space="preserve"> el punto de equilibrio de cada producto </w:t>
      </w:r>
      <w:r w:rsidR="00D1323F">
        <w:rPr>
          <w:sz w:val="24"/>
          <w:szCs w:val="24"/>
          <w:lang w:val="es-ES"/>
        </w:rPr>
        <w:t>tomando</w:t>
      </w:r>
      <w:r w:rsidRPr="00D11E34">
        <w:rPr>
          <w:sz w:val="24"/>
          <w:szCs w:val="24"/>
          <w:lang w:val="es-ES"/>
        </w:rPr>
        <w:t xml:space="preserve"> como base de cálculo un lote de producción, en caso de </w:t>
      </w:r>
      <w:proofErr w:type="spellStart"/>
      <w:r w:rsidRPr="00D11E34">
        <w:rPr>
          <w:sz w:val="24"/>
          <w:szCs w:val="24"/>
          <w:lang w:val="es-ES"/>
        </w:rPr>
        <w:t>Quitomax</w:t>
      </w:r>
      <w:proofErr w:type="spellEnd"/>
      <w:r w:rsidRPr="00D11E34">
        <w:rPr>
          <w:sz w:val="24"/>
          <w:szCs w:val="24"/>
          <w:lang w:val="es-ES"/>
        </w:rPr>
        <w:t xml:space="preserve">® 75 frascos y para el </w:t>
      </w:r>
      <w:proofErr w:type="spellStart"/>
      <w:r w:rsidRPr="00D11E34">
        <w:rPr>
          <w:sz w:val="24"/>
          <w:szCs w:val="24"/>
          <w:lang w:val="es-ES"/>
        </w:rPr>
        <w:t>Pectimorf</w:t>
      </w:r>
      <w:proofErr w:type="spellEnd"/>
      <w:r w:rsidRPr="00D11E34">
        <w:rPr>
          <w:sz w:val="24"/>
          <w:szCs w:val="24"/>
          <w:lang w:val="es-ES"/>
        </w:rPr>
        <w:t xml:space="preserve">® 100 frascos. </w:t>
      </w:r>
      <w:r w:rsidR="00D1323F">
        <w:rPr>
          <w:sz w:val="24"/>
          <w:szCs w:val="24"/>
          <w:lang w:val="es-ES"/>
        </w:rPr>
        <w:t>Se consideró</w:t>
      </w:r>
      <w:r w:rsidRPr="00D11E34">
        <w:rPr>
          <w:sz w:val="24"/>
          <w:szCs w:val="24"/>
          <w:lang w:val="es-ES"/>
        </w:rPr>
        <w:t xml:space="preserve"> como gastos fijos los </w:t>
      </w:r>
      <w:r w:rsidR="00D1323F">
        <w:rPr>
          <w:sz w:val="24"/>
          <w:szCs w:val="24"/>
          <w:lang w:val="es-ES"/>
        </w:rPr>
        <w:t>referidos a la administración</w:t>
      </w:r>
      <w:r w:rsidRPr="00D11E34">
        <w:rPr>
          <w:sz w:val="24"/>
          <w:szCs w:val="24"/>
          <w:lang w:val="es-ES"/>
        </w:rPr>
        <w:t xml:space="preserve">, </w:t>
      </w:r>
      <w:r w:rsidR="00723A8C">
        <w:rPr>
          <w:sz w:val="24"/>
          <w:szCs w:val="24"/>
          <w:lang w:val="es-ES"/>
        </w:rPr>
        <w:t>mano de obra indirecta</w:t>
      </w:r>
      <w:r w:rsidRPr="00D11E34">
        <w:rPr>
          <w:sz w:val="24"/>
          <w:szCs w:val="24"/>
          <w:lang w:val="es-ES"/>
        </w:rPr>
        <w:t xml:space="preserve">, </w:t>
      </w:r>
      <w:r w:rsidR="00723A8C">
        <w:rPr>
          <w:sz w:val="24"/>
          <w:szCs w:val="24"/>
          <w:lang w:val="es-ES"/>
        </w:rPr>
        <w:t>amortización</w:t>
      </w:r>
      <w:r w:rsidRPr="00D11E34">
        <w:rPr>
          <w:sz w:val="24"/>
          <w:szCs w:val="24"/>
          <w:lang w:val="es-ES"/>
        </w:rPr>
        <w:t xml:space="preserve">, energía y agua mientras que como gastos variables se </w:t>
      </w:r>
      <w:r w:rsidR="00D1323F">
        <w:rPr>
          <w:sz w:val="24"/>
          <w:szCs w:val="24"/>
          <w:lang w:val="es-ES"/>
        </w:rPr>
        <w:t>tuvier</w:t>
      </w:r>
      <w:r w:rsidRPr="00D11E34">
        <w:rPr>
          <w:sz w:val="24"/>
          <w:szCs w:val="24"/>
          <w:lang w:val="es-ES"/>
        </w:rPr>
        <w:t>on</w:t>
      </w:r>
      <w:r w:rsidR="00D1323F">
        <w:rPr>
          <w:sz w:val="24"/>
          <w:szCs w:val="24"/>
          <w:lang w:val="es-ES"/>
        </w:rPr>
        <w:t xml:space="preserve"> en cuenta</w:t>
      </w:r>
      <w:r w:rsidRPr="00D11E34">
        <w:rPr>
          <w:sz w:val="24"/>
          <w:szCs w:val="24"/>
          <w:lang w:val="es-ES"/>
        </w:rPr>
        <w:t xml:space="preserve"> las materias primas y materiales,  mano de obra</w:t>
      </w:r>
      <w:r w:rsidR="00723A8C">
        <w:rPr>
          <w:sz w:val="24"/>
          <w:szCs w:val="24"/>
          <w:lang w:val="es-ES"/>
        </w:rPr>
        <w:t xml:space="preserve"> directa</w:t>
      </w:r>
      <w:r w:rsidRPr="00D11E34">
        <w:rPr>
          <w:sz w:val="24"/>
          <w:szCs w:val="24"/>
          <w:lang w:val="es-ES"/>
        </w:rPr>
        <w:t xml:space="preserve">, gastos de distribución e indirectos. Como resultado </w:t>
      </w:r>
      <w:r w:rsidR="006C16FB">
        <w:rPr>
          <w:sz w:val="24"/>
          <w:szCs w:val="24"/>
          <w:lang w:val="es-ES"/>
        </w:rPr>
        <w:t xml:space="preserve">se obtuvo </w:t>
      </w:r>
      <w:r w:rsidR="00D11E34" w:rsidRPr="00D11E34">
        <w:rPr>
          <w:sz w:val="24"/>
          <w:szCs w:val="24"/>
          <w:lang w:val="es-ES"/>
        </w:rPr>
        <w:t xml:space="preserve">para el </w:t>
      </w:r>
      <w:proofErr w:type="spellStart"/>
      <w:r w:rsidR="00D11E34" w:rsidRPr="00D11E34">
        <w:rPr>
          <w:sz w:val="24"/>
          <w:szCs w:val="24"/>
          <w:lang w:val="es-ES"/>
        </w:rPr>
        <w:t>Quitomax</w:t>
      </w:r>
      <w:proofErr w:type="spellEnd"/>
      <w:r w:rsidR="00D11E34" w:rsidRPr="00D11E34">
        <w:rPr>
          <w:sz w:val="24"/>
          <w:szCs w:val="24"/>
          <w:lang w:val="es-ES"/>
        </w:rPr>
        <w:t>®</w:t>
      </w:r>
      <w:r w:rsidR="006C16FB">
        <w:rPr>
          <w:sz w:val="24"/>
          <w:szCs w:val="24"/>
          <w:lang w:val="es-ES"/>
        </w:rPr>
        <w:t>,</w:t>
      </w:r>
      <w:r w:rsidR="00D11E34" w:rsidRPr="00D11E34">
        <w:rPr>
          <w:sz w:val="24"/>
          <w:szCs w:val="24"/>
          <w:lang w:val="es-ES"/>
        </w:rPr>
        <w:t xml:space="preserve"> 25 unidades productivas y </w:t>
      </w:r>
      <w:r w:rsidR="00D11E34" w:rsidRPr="00D11E34">
        <w:rPr>
          <w:rFonts w:eastAsia="Palatino Linotype"/>
          <w:sz w:val="24"/>
          <w:szCs w:val="24"/>
          <w:lang w:val="es-ES"/>
        </w:rPr>
        <w:t>$</w:t>
      </w:r>
      <w:r w:rsidR="00D11E34">
        <w:rPr>
          <w:rFonts w:eastAsia="Palatino Linotype"/>
          <w:sz w:val="24"/>
          <w:szCs w:val="24"/>
          <w:lang w:val="es-ES"/>
        </w:rPr>
        <w:t xml:space="preserve"> 2.435, 04 MU y en el caso de Pectimorf®</w:t>
      </w:r>
      <w:r w:rsidR="006C16FB">
        <w:rPr>
          <w:rFonts w:eastAsia="Palatino Linotype"/>
          <w:sz w:val="24"/>
          <w:szCs w:val="24"/>
          <w:lang w:val="es-ES"/>
        </w:rPr>
        <w:t>,</w:t>
      </w:r>
      <w:r w:rsidR="00264826" w:rsidRPr="00264826">
        <w:rPr>
          <w:color w:val="000000" w:themeColor="text1"/>
          <w:sz w:val="24"/>
          <w:szCs w:val="24"/>
          <w:lang w:val="es-ES"/>
        </w:rPr>
        <w:t>46</w:t>
      </w:r>
      <w:r w:rsidR="00D11E34" w:rsidRPr="00D11E34">
        <w:rPr>
          <w:sz w:val="24"/>
          <w:szCs w:val="24"/>
          <w:lang w:val="es-ES"/>
        </w:rPr>
        <w:t xml:space="preserve"> unidades productivas y </w:t>
      </w:r>
      <w:r w:rsidR="00D11E34" w:rsidRPr="00D11E34">
        <w:rPr>
          <w:rFonts w:eastAsia="Palatino Linotype"/>
          <w:sz w:val="24"/>
          <w:szCs w:val="24"/>
          <w:lang w:val="es-ES"/>
        </w:rPr>
        <w:t>$</w:t>
      </w:r>
      <w:r w:rsidR="00264826">
        <w:rPr>
          <w:rFonts w:eastAsia="Palatino Linotype"/>
          <w:sz w:val="24"/>
          <w:szCs w:val="24"/>
          <w:lang w:val="es-ES"/>
        </w:rPr>
        <w:t>920,00</w:t>
      </w:r>
      <w:r w:rsidR="00D11E34">
        <w:rPr>
          <w:rFonts w:eastAsia="Palatino Linotype"/>
          <w:sz w:val="24"/>
          <w:szCs w:val="24"/>
          <w:lang w:val="es-ES"/>
        </w:rPr>
        <w:t>MU</w:t>
      </w:r>
      <w:r w:rsidR="006C16FB">
        <w:rPr>
          <w:rFonts w:eastAsia="Palatino Linotype"/>
          <w:sz w:val="24"/>
          <w:szCs w:val="24"/>
          <w:lang w:val="es-ES"/>
        </w:rPr>
        <w:t xml:space="preserve"> demostrándose</w:t>
      </w:r>
      <w:r w:rsidR="006C16FB" w:rsidRPr="00D11E34">
        <w:rPr>
          <w:sz w:val="24"/>
          <w:szCs w:val="24"/>
          <w:lang w:val="es-ES"/>
        </w:rPr>
        <w:t>que se recupera la inversión</w:t>
      </w:r>
      <w:r w:rsidR="006C16FB">
        <w:rPr>
          <w:sz w:val="24"/>
          <w:szCs w:val="24"/>
          <w:lang w:val="es-ES"/>
        </w:rPr>
        <w:t xml:space="preserve"> rápidamente y </w:t>
      </w:r>
      <w:r w:rsidR="006C16FB">
        <w:rPr>
          <w:rFonts w:eastAsia="Palatino Linotype"/>
          <w:sz w:val="24"/>
          <w:szCs w:val="24"/>
          <w:lang w:val="es-ES"/>
        </w:rPr>
        <w:t>la viabilidad del proceso.</w:t>
      </w:r>
    </w:p>
    <w:p w:rsidR="00615EF8" w:rsidRPr="00D11E34" w:rsidRDefault="00615EF8" w:rsidP="00560B68">
      <w:pPr>
        <w:rPr>
          <w:sz w:val="24"/>
          <w:szCs w:val="24"/>
          <w:lang w:val="es-ES"/>
        </w:rPr>
      </w:pPr>
    </w:p>
    <w:sectPr w:rsidR="00615EF8" w:rsidRPr="00D11E34" w:rsidSect="0015653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314C"/>
    <w:rsid w:val="00156532"/>
    <w:rsid w:val="00264826"/>
    <w:rsid w:val="0038314C"/>
    <w:rsid w:val="00560B68"/>
    <w:rsid w:val="00615EF8"/>
    <w:rsid w:val="006C16FB"/>
    <w:rsid w:val="00723A8C"/>
    <w:rsid w:val="00B66670"/>
    <w:rsid w:val="00D11E34"/>
    <w:rsid w:val="00D1323F"/>
    <w:rsid w:val="00D75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75057"/>
    <w:pPr>
      <w:spacing w:before="100" w:beforeAutospacing="1" w:after="100" w:afterAutospacing="1"/>
    </w:pPr>
    <w:rPr>
      <w:sz w:val="24"/>
      <w:szCs w:val="24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Cartaya Rubio</dc:creator>
  <cp:lastModifiedBy>hioviedo</cp:lastModifiedBy>
  <cp:revision>2</cp:revision>
  <dcterms:created xsi:type="dcterms:W3CDTF">2016-05-23T17:02:00Z</dcterms:created>
  <dcterms:modified xsi:type="dcterms:W3CDTF">2016-05-23T17:02:00Z</dcterms:modified>
</cp:coreProperties>
</file>