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spacing w:after="120" w:line="360" w:lineRule="auto"/>
        <w:contextualSpacing w:val="0"/>
        <w:rPr>
          <w:b w:val="1"/>
        </w:rPr>
      </w:pPr>
      <w:r w:rsidDel="00000000" w:rsidR="00000000" w:rsidRPr="00000000">
        <w:rPr>
          <w:b w:val="1"/>
          <w:rtl w:val="0"/>
        </w:rPr>
        <w:t xml:space="preserve"> </w:t>
      </w:r>
    </w:p>
    <w:p w:rsidR="00000000" w:rsidDel="00000000" w:rsidP="00000000" w:rsidRDefault="00000000" w:rsidRPr="00000000" w14:paraId="00000001">
      <w:pPr>
        <w:spacing w:after="120" w:line="360" w:lineRule="auto"/>
        <w:contextualSpacing w:val="0"/>
        <w:jc w:val="center"/>
        <w:rPr>
          <w:b w:val="1"/>
        </w:rPr>
      </w:pPr>
      <w:r w:rsidDel="00000000" w:rsidR="00000000" w:rsidRPr="00000000">
        <w:rPr>
          <w:b w:val="1"/>
          <w:rtl w:val="0"/>
        </w:rPr>
        <w:t xml:space="preserve">PROPUESTA DE PLAN DE MAESTRÍA</w:t>
      </w:r>
    </w:p>
    <w:p w:rsidR="00000000" w:rsidDel="00000000" w:rsidP="00000000" w:rsidRDefault="00000000" w:rsidRPr="00000000" w14:paraId="00000002">
      <w:pPr>
        <w:spacing w:after="120" w:line="360" w:lineRule="auto"/>
        <w:contextualSpacing w:val="0"/>
        <w:jc w:val="both"/>
        <w:rPr>
          <w:highlight w:val="yellow"/>
        </w:rPr>
      </w:pPr>
      <w:r w:rsidDel="00000000" w:rsidR="00000000" w:rsidRPr="00000000">
        <w:rPr>
          <w:b w:val="1"/>
          <w:rtl w:val="0"/>
        </w:rPr>
        <w:t xml:space="preserve">Maestría:</w:t>
      </w:r>
      <w:r w:rsidDel="00000000" w:rsidR="00000000" w:rsidRPr="00000000">
        <w:rPr>
          <w:rtl w:val="0"/>
        </w:rPr>
        <w:t xml:space="preserve"> Nutrición de las plantas y biofertilización.</w:t>
      </w:r>
      <w:r w:rsidDel="00000000" w:rsidR="00000000" w:rsidRPr="00000000">
        <w:rPr>
          <w:rtl w:val="0"/>
        </w:rPr>
      </w:r>
    </w:p>
    <w:p w:rsidR="00000000" w:rsidDel="00000000" w:rsidP="00000000" w:rsidRDefault="00000000" w:rsidRPr="00000000" w14:paraId="00000003">
      <w:pPr>
        <w:spacing w:after="120" w:line="360" w:lineRule="auto"/>
        <w:contextualSpacing w:val="0"/>
        <w:jc w:val="both"/>
        <w:rPr/>
      </w:pPr>
      <w:r w:rsidDel="00000000" w:rsidR="00000000" w:rsidRPr="00000000">
        <w:rPr>
          <w:b w:val="1"/>
          <w:rtl w:val="0"/>
        </w:rPr>
        <w:t xml:space="preserve">Institución: </w:t>
      </w:r>
      <w:r w:rsidDel="00000000" w:rsidR="00000000" w:rsidRPr="00000000">
        <w:rPr>
          <w:rtl w:val="0"/>
        </w:rPr>
        <w:t xml:space="preserve">Instituto Nacional de Ciencias Agrícolas (INCA). Ministerio de Educación Superior (MES).</w:t>
      </w:r>
    </w:p>
    <w:p w:rsidR="00000000" w:rsidDel="00000000" w:rsidP="00000000" w:rsidRDefault="00000000" w:rsidRPr="00000000" w14:paraId="00000004">
      <w:pPr>
        <w:spacing w:after="120" w:line="360" w:lineRule="auto"/>
        <w:contextualSpacing w:val="0"/>
        <w:jc w:val="both"/>
        <w:rPr/>
      </w:pPr>
      <w:r w:rsidDel="00000000" w:rsidR="00000000" w:rsidRPr="00000000">
        <w:rPr>
          <w:b w:val="1"/>
          <w:rtl w:val="0"/>
        </w:rPr>
        <w:t xml:space="preserve">Aspirante: </w:t>
      </w:r>
      <w:r w:rsidDel="00000000" w:rsidR="00000000" w:rsidRPr="00000000">
        <w:rPr>
          <w:rtl w:val="0"/>
        </w:rPr>
        <w:t xml:space="preserve">Ing. Anaysa Gutierrez Almeida</w:t>
      </w:r>
    </w:p>
    <w:p w:rsidR="00000000" w:rsidDel="00000000" w:rsidP="00000000" w:rsidRDefault="00000000" w:rsidRPr="00000000" w14:paraId="00000005">
      <w:pPr>
        <w:spacing w:after="120" w:line="360" w:lineRule="auto"/>
        <w:contextualSpacing w:val="0"/>
        <w:jc w:val="both"/>
        <w:rPr/>
      </w:pPr>
      <w:r w:rsidDel="00000000" w:rsidR="00000000" w:rsidRPr="00000000">
        <w:rPr>
          <w:b w:val="1"/>
          <w:rtl w:val="0"/>
        </w:rPr>
        <w:t xml:space="preserve">Tutores: </w:t>
      </w:r>
      <w:r w:rsidDel="00000000" w:rsidR="00000000" w:rsidRPr="00000000">
        <w:rPr>
          <w:rtl w:val="0"/>
        </w:rPr>
        <w:t xml:space="preserve">Dr. C. Miriam de la C. Núñez Vázquez</w:t>
      </w:r>
    </w:p>
    <w:p w:rsidR="00000000" w:rsidDel="00000000" w:rsidP="00000000" w:rsidRDefault="00000000" w:rsidRPr="00000000" w14:paraId="00000006">
      <w:pPr>
        <w:spacing w:after="120" w:line="360" w:lineRule="auto"/>
        <w:contextualSpacing w:val="0"/>
        <w:jc w:val="both"/>
        <w:rPr/>
      </w:pPr>
      <w:r w:rsidDel="00000000" w:rsidR="00000000" w:rsidRPr="00000000">
        <w:rPr>
          <w:rtl w:val="0"/>
        </w:rPr>
        <w:t xml:space="preserve">                Dr. C. Yanelis Reyes Guerrero</w:t>
      </w:r>
    </w:p>
    <w:p w:rsidR="00000000" w:rsidDel="00000000" w:rsidP="00000000" w:rsidRDefault="00000000" w:rsidRPr="00000000" w14:paraId="00000007">
      <w:pPr>
        <w:spacing w:after="120" w:line="360" w:lineRule="auto"/>
        <w:contextualSpacing w:val="0"/>
        <w:jc w:val="both"/>
        <w:rPr>
          <w:b w:val="1"/>
        </w:rPr>
      </w:pPr>
      <w:r w:rsidDel="00000000" w:rsidR="00000000" w:rsidRPr="00000000">
        <w:rPr>
          <w:b w:val="1"/>
          <w:rtl w:val="0"/>
        </w:rPr>
        <w:t xml:space="preserve">Proyecto al que tributa: </w:t>
      </w:r>
      <w:r w:rsidDel="00000000" w:rsidR="00000000" w:rsidRPr="00000000">
        <w:rPr>
          <w:rtl w:val="0"/>
        </w:rPr>
        <w:t xml:space="preserve">Bioestimulantes a base de extractos de algas para el aumento de los rendimientos y la calidad de cultivos de importancia económica</w:t>
      </w:r>
      <w:r w:rsidDel="00000000" w:rsidR="00000000" w:rsidRPr="00000000">
        <w:rPr>
          <w:b w:val="1"/>
          <w:rtl w:val="0"/>
        </w:rPr>
        <w:t xml:space="preserve">.</w:t>
      </w:r>
    </w:p>
    <w:p w:rsidR="00000000" w:rsidDel="00000000" w:rsidP="00000000" w:rsidRDefault="00000000" w:rsidRPr="00000000" w14:paraId="00000008">
      <w:pPr>
        <w:spacing w:line="324" w:lineRule="auto"/>
        <w:contextualSpacing w:val="0"/>
        <w:jc w:val="both"/>
        <w:rPr>
          <w:rFonts w:ascii="Calibri" w:cs="Calibri" w:eastAsia="Calibri" w:hAnsi="Calibri"/>
          <w:highlight w:val="yellow"/>
        </w:rPr>
      </w:pPr>
      <w:r w:rsidDel="00000000" w:rsidR="00000000" w:rsidRPr="00000000">
        <w:rPr>
          <w:b w:val="1"/>
          <w:rtl w:val="0"/>
        </w:rPr>
        <w:t xml:space="preserve">Título:</w:t>
      </w:r>
      <w:r w:rsidDel="00000000" w:rsidR="00000000" w:rsidRPr="00000000">
        <w:rPr>
          <w:color w:val="ff0000"/>
          <w:rtl w:val="0"/>
        </w:rPr>
        <w:t xml:space="preserve"> </w:t>
      </w:r>
      <w:r w:rsidDel="00000000" w:rsidR="00000000" w:rsidRPr="00000000">
        <w:rPr>
          <w:rtl w:val="0"/>
        </w:rPr>
        <w:t xml:space="preserve">Obtención, caracterización química y actividad biológica de extractos de Spirulina y Sargazo.</w:t>
      </w:r>
      <w:r w:rsidDel="00000000" w:rsidR="00000000" w:rsidRPr="00000000">
        <w:rPr>
          <w:rtl w:val="0"/>
        </w:rPr>
      </w:r>
    </w:p>
    <w:p w:rsidR="00000000" w:rsidDel="00000000" w:rsidP="00000000" w:rsidRDefault="00000000" w:rsidRPr="00000000" w14:paraId="00000009">
      <w:pPr>
        <w:spacing w:before="240" w:line="360" w:lineRule="auto"/>
        <w:contextualSpacing w:val="0"/>
        <w:jc w:val="both"/>
        <w:rPr>
          <w:b w:val="1"/>
        </w:rPr>
      </w:pPr>
      <w:r w:rsidDel="00000000" w:rsidR="00000000" w:rsidRPr="00000000">
        <w:rPr>
          <w:b w:val="1"/>
          <w:rtl w:val="0"/>
        </w:rPr>
        <w:t xml:space="preserve">Introducción</w:t>
      </w:r>
    </w:p>
    <w:p w:rsidR="00000000" w:rsidDel="00000000" w:rsidP="00000000" w:rsidRDefault="00000000" w:rsidRPr="00000000" w14:paraId="0000000A">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Con el propósito de conservar el agroecosistema y teniendo en cuenta la creciente demanda de alimentos, es necesario buscar nuevas alternativas para incrementar la producción y calidad de los cultivos, así como ofrecer productos libres de residuos tóxicos a los consumidores (Hamed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et al</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2018; Ronga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et al.</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2019; Das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et al.</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2019).</w:t>
      </w:r>
    </w:p>
    <w:p w:rsidR="00000000" w:rsidDel="00000000" w:rsidP="00000000" w:rsidRDefault="00000000" w:rsidRPr="00000000" w14:paraId="0000000B">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En años recientes, los productos naturales a base de algas y cianobacterias se están utilizando como sustitutos de agroquímicos y han adquirido gran importancia por los beneficios que estos tienen en los cultivos y por el reducido impacto que causan al medio ambiente. Se ha comprobado que su aplicación aumenta determinadas expresiones metabólicas y fisiológicas en las plantas</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(Hamed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et al</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2018; Ansari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et al</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2019). </w:t>
      </w:r>
    </w:p>
    <w:p w:rsidR="00000000" w:rsidDel="00000000" w:rsidP="00000000" w:rsidRDefault="00000000" w:rsidRPr="00000000" w14:paraId="0000000C">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Algunos autores han demostrado que las cianobacterias en condiciones adecuadas podrían ser útiles como fuente de nitrógeno en la producción de los cultivos. Dentro de ellas se encuentra la Spirulina, cianobacteria autótrofa, que contiene entre 46-71 % de proteínas, 8-16 % de carbohidratos y 4-9 % de lípidos en su masa seca. Además, contiene minerales, aminoácidos esenciales como la leucina, isoleucina y valina; una concentración relativamente alta de provitamina A, vitamina B</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bscript"/>
          <w:rtl w:val="0"/>
        </w:rPr>
        <w:t xml:space="preserve">12</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vitamina K y β-caroteno, sus ácidos grasos contienen ácido linolénico y γ-linolénico y los ácidos grasos poliinsaturados ω-3 y ω-6. Esta composición de la Spirulina ha posibilitado su empleo como estimulador del crecimiento y el desarrollo de las plantas, como sustituto parcial de fertilizantes químicos, así como agente de biofortificación (Anita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et al</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2016).</w:t>
      </w:r>
    </w:p>
    <w:p w:rsidR="00000000" w:rsidDel="00000000" w:rsidP="00000000" w:rsidRDefault="00000000" w:rsidRPr="00000000" w14:paraId="0000000D">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Por otro lado, las macroalgas pardas y particularmente, las del género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Sargassum</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son empleadas también con estos fines y se distribuyen a lo largo de zonas tropicales y templadas. Poseen una gran capacidad de crecimiento y reproducción debida, entre otros factores, a su reproducción de forma vegetativa. La mayoría de las especies de este género registradas para las costas cubanas, tienen forma de vida bentónica, excepto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Sargassum fluitans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y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Sargassum natans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que son pelágicas. Estas dos especies flotan en grandes aglomerados, son características del mar de los Sargazos, principalmente en el Atlántico Norte y llegan a las costas caribeñas formando pequeñas o grandes arribazones generando un impacto ecológico y económico en las zonas que invaden. Ecológicamente pueden entrar en competencia con las especies residentes, ocasionando su desplazamiento debido a la capacidad del sargazo de incrementar rápidamente su biomasa. Esto ha tenido una repercusión económica negativa en las zonas turísticas, ya que el arribo anormal de sargazo ha propiciado “afloramientos de algas nocivas” que pueden provocar la muerte de peces, ensuciamiento de las playas e incluso zonas costeras muertas (Novillo, 2019; Arencibia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et al</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2020). </w:t>
      </w:r>
    </w:p>
    <w:p w:rsidR="00000000" w:rsidDel="00000000" w:rsidP="00000000" w:rsidRDefault="00000000" w:rsidRPr="00000000" w14:paraId="0000000E">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En su composición, los sargazos poseen una amplia variedad de antioxidantes, promotores del crecimiento de las plantas, minerales y otras biomoléculas únicas. Además, estimulan los mecanismos de defensas de las plantas a través de polisacáridos y oligosacáridos y actúan como bioestimulantes (Pahalvi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et. al.</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2021).</w:t>
      </w:r>
    </w:p>
    <w:p w:rsidR="00000000" w:rsidDel="00000000" w:rsidP="00000000" w:rsidRDefault="00000000" w:rsidRPr="00000000" w14:paraId="0000000F">
      <w:pPr>
        <w:spacing w:line="360" w:lineRule="auto"/>
        <w:contextualSpacing w:val="0"/>
        <w:jc w:val="both"/>
        <w:rPr>
          <w:color w:val="000000"/>
        </w:rPr>
      </w:pPr>
      <w:r w:rsidDel="00000000" w:rsidR="00000000" w:rsidRPr="00000000">
        <w:rPr>
          <w:rtl w:val="0"/>
        </w:rPr>
        <w:t xml:space="preserve">Los efectos que la aplicación de Sargazo y Spirulina han provocado en diferentes especies vegetales, han sido informados por diversos autores. En la especie </w:t>
      </w:r>
      <w:r w:rsidDel="00000000" w:rsidR="00000000" w:rsidRPr="00000000">
        <w:rPr>
          <w:i w:val="1"/>
          <w:rtl w:val="0"/>
        </w:rPr>
        <w:t xml:space="preserve">Solanum melongena</w:t>
      </w:r>
      <w:r w:rsidDel="00000000" w:rsidR="00000000" w:rsidRPr="00000000">
        <w:rPr>
          <w:rtl w:val="0"/>
        </w:rPr>
        <w:t xml:space="preserve"> L. la aplicación de un fertilizante comercial a base de Spirulina incrementó el rendimiento de las plantas sin afectar los niveles foliares de N, P, K y Na ni los indicadores de calidad del mismo (Dias </w:t>
      </w:r>
      <w:r w:rsidDel="00000000" w:rsidR="00000000" w:rsidRPr="00000000">
        <w:rPr>
          <w:i w:val="1"/>
          <w:rtl w:val="0"/>
        </w:rPr>
        <w:t xml:space="preserve">et al</w:t>
      </w:r>
      <w:r w:rsidDel="00000000" w:rsidR="00000000" w:rsidRPr="00000000">
        <w:rPr>
          <w:rtl w:val="0"/>
        </w:rPr>
        <w:t xml:space="preserve">., 2016). Además, se comprobó que el extracto de </w:t>
      </w:r>
      <w:r w:rsidDel="00000000" w:rsidR="00000000" w:rsidRPr="00000000">
        <w:rPr>
          <w:i w:val="1"/>
          <w:rtl w:val="0"/>
        </w:rPr>
        <w:t xml:space="preserve">Spirulina platensis</w:t>
      </w:r>
      <w:r w:rsidDel="00000000" w:rsidR="00000000" w:rsidRPr="00000000">
        <w:rPr>
          <w:rtl w:val="0"/>
        </w:rPr>
        <w:t xml:space="preserve"> tiene efectos positivos en la germinación de semillas de trigo y cebada, así como en las longitudes de raíces y tallos (Akgül, 2019). En habichuela, la aplicación foliar de un extracto acuoso de Spirulina estimuló el crecimiento, las concentraciones de clorofilas, nitrógeno, fósforo y potasio; así como la cantidad y calidad de las semillas (Seif </w:t>
      </w:r>
      <w:r w:rsidDel="00000000" w:rsidR="00000000" w:rsidRPr="00000000">
        <w:rPr>
          <w:i w:val="1"/>
          <w:rtl w:val="0"/>
        </w:rPr>
        <w:t xml:space="preserve">et al</w:t>
      </w:r>
      <w:r w:rsidDel="00000000" w:rsidR="00000000" w:rsidRPr="00000000">
        <w:rPr>
          <w:rtl w:val="0"/>
        </w:rPr>
        <w:t xml:space="preserve">., 2016). También se ha informado el uso de extractos de Sargazo como estimuladores del rendimiento en cultivos tales como: arroz (Kaladharan </w:t>
      </w:r>
      <w:r w:rsidDel="00000000" w:rsidR="00000000" w:rsidRPr="00000000">
        <w:rPr>
          <w:i w:val="1"/>
          <w:rtl w:val="0"/>
        </w:rPr>
        <w:t xml:space="preserve">et al</w:t>
      </w:r>
      <w:r w:rsidDel="00000000" w:rsidR="00000000" w:rsidRPr="00000000">
        <w:rPr>
          <w:rtl w:val="0"/>
        </w:rPr>
        <w:t xml:space="preserve">. 2021; Sunarpi </w:t>
      </w:r>
      <w:r w:rsidDel="00000000" w:rsidR="00000000" w:rsidRPr="00000000">
        <w:rPr>
          <w:i w:val="1"/>
          <w:rtl w:val="0"/>
        </w:rPr>
        <w:t xml:space="preserve">et al</w:t>
      </w:r>
      <w:r w:rsidDel="00000000" w:rsidR="00000000" w:rsidRPr="00000000">
        <w:rPr>
          <w:rtl w:val="0"/>
        </w:rPr>
        <w:t xml:space="preserve">., 2020)</w:t>
      </w:r>
      <w:r w:rsidDel="00000000" w:rsidR="00000000" w:rsidRPr="00000000">
        <w:rPr>
          <w:color w:val="000000"/>
          <w:rtl w:val="0"/>
        </w:rPr>
        <w:t xml:space="preserve">, caupí (</w:t>
      </w:r>
      <w:r w:rsidDel="00000000" w:rsidR="00000000" w:rsidRPr="00000000">
        <w:rPr>
          <w:rtl w:val="0"/>
        </w:rPr>
        <w:t xml:space="preserve">Radjassegarin &amp; Perumal, 2021</w:t>
      </w:r>
      <w:r w:rsidDel="00000000" w:rsidR="00000000" w:rsidRPr="00000000">
        <w:rPr>
          <w:color w:val="000000"/>
          <w:rtl w:val="0"/>
        </w:rPr>
        <w:t xml:space="preserve">), rábano (</w:t>
      </w:r>
      <w:r w:rsidDel="00000000" w:rsidR="00000000" w:rsidRPr="00000000">
        <w:rPr>
          <w:rtl w:val="0"/>
        </w:rPr>
        <w:t xml:space="preserve">Mahmoud </w:t>
      </w:r>
      <w:r w:rsidDel="00000000" w:rsidR="00000000" w:rsidRPr="00000000">
        <w:rPr>
          <w:i w:val="1"/>
          <w:rtl w:val="0"/>
        </w:rPr>
        <w:t xml:space="preserve">et al</w:t>
      </w:r>
      <w:r w:rsidDel="00000000" w:rsidR="00000000" w:rsidRPr="00000000">
        <w:rPr>
          <w:rtl w:val="0"/>
        </w:rPr>
        <w:t xml:space="preserve">., 2019</w:t>
      </w:r>
      <w:r w:rsidDel="00000000" w:rsidR="00000000" w:rsidRPr="00000000">
        <w:rPr>
          <w:color w:val="000000"/>
          <w:rtl w:val="0"/>
        </w:rPr>
        <w:t xml:space="preserve">) y tomate (</w:t>
      </w:r>
      <w:r w:rsidDel="00000000" w:rsidR="00000000" w:rsidRPr="00000000">
        <w:rPr>
          <w:rtl w:val="0"/>
        </w:rPr>
        <w:t xml:space="preserve">Yao </w:t>
      </w:r>
      <w:r w:rsidDel="00000000" w:rsidR="00000000" w:rsidRPr="00000000">
        <w:rPr>
          <w:i w:val="1"/>
          <w:rtl w:val="0"/>
        </w:rPr>
        <w:t xml:space="preserve">et al</w:t>
      </w:r>
      <w:r w:rsidDel="00000000" w:rsidR="00000000" w:rsidRPr="00000000">
        <w:rPr>
          <w:rtl w:val="0"/>
        </w:rPr>
        <w:t xml:space="preserve">., 2020</w:t>
      </w:r>
      <w:r w:rsidDel="00000000" w:rsidR="00000000" w:rsidRPr="00000000">
        <w:rPr>
          <w:color w:val="000000"/>
          <w:rtl w:val="0"/>
        </w:rPr>
        <w:t xml:space="preserve">), además se ha comprobado que su aplicación como sustrato al suelo conjuntamente con otros abonos orgánicos aumenta</w:t>
      </w:r>
      <w:r w:rsidDel="00000000" w:rsidR="00000000" w:rsidRPr="00000000">
        <w:rPr>
          <w:rtl w:val="0"/>
        </w:rPr>
        <w:t xml:space="preserve"> los rendimientos en cultivos como la lechuga y ayuda al mejoramiento de los suelos (Dieguez, 2016)</w:t>
      </w:r>
      <w:r w:rsidDel="00000000" w:rsidR="00000000" w:rsidRPr="00000000">
        <w:rPr>
          <w:color w:val="000000"/>
          <w:rtl w:val="0"/>
        </w:rPr>
        <w:t xml:space="preserve">. </w:t>
      </w:r>
    </w:p>
    <w:p w:rsidR="00000000" w:rsidDel="00000000" w:rsidP="00000000" w:rsidRDefault="00000000" w:rsidRPr="00000000" w14:paraId="00000010">
      <w:pPr>
        <w:spacing w:line="360" w:lineRule="auto"/>
        <w:contextualSpacing w:val="0"/>
        <w:jc w:val="both"/>
        <w:rPr>
          <w:color w:val="000000"/>
        </w:rPr>
      </w:pPr>
      <w:r w:rsidDel="00000000" w:rsidR="00000000" w:rsidRPr="00000000">
        <w:rPr>
          <w:color w:val="000000"/>
          <w:rtl w:val="0"/>
        </w:rPr>
        <w:t xml:space="preserve">A pesar del creciente empleo de extractos de Sargazo y Spirulina en la agricultura, a nivel internacional, en Cuba, no se ha informado, hasta la fecha, la preparación de extractos con estos fines, aunque hace más de tres décadas se produce Spirulina y han existido arribazones de Sargazos en las costas cubanas en los últimos años. </w:t>
      </w:r>
      <w:r w:rsidDel="00000000" w:rsidR="00000000" w:rsidRPr="00000000">
        <w:rPr>
          <w:rtl w:val="0"/>
        </w:rPr>
        <w:t xml:space="preserve">Se conoce sobre algunas investigaciones puntuales realizadas con algunos biofertilizantes a base de Spirulina como por ejemplo, el CBFERT (fertilizante líquido enriquecido con cianobacterias) (Hurtado </w:t>
      </w:r>
      <w:r w:rsidDel="00000000" w:rsidR="00000000" w:rsidRPr="00000000">
        <w:rPr>
          <w:i w:val="1"/>
          <w:rtl w:val="0"/>
        </w:rPr>
        <w:t xml:space="preserve">et al.</w:t>
      </w:r>
      <w:r w:rsidDel="00000000" w:rsidR="00000000" w:rsidRPr="00000000">
        <w:rPr>
          <w:rtl w:val="0"/>
        </w:rPr>
        <w:t xml:space="preserve">, 2002), así como un bioestimulante más reciente a base de Spirulina y Vinaza (Spirufert), </w:t>
      </w:r>
      <w:r w:rsidDel="00000000" w:rsidR="00000000" w:rsidRPr="00000000">
        <w:rPr>
          <w:color w:val="000000"/>
          <w:rtl w:val="0"/>
        </w:rPr>
        <w:t xml:space="preserve">que consiste en una suspensión acuosa de jalea de Spirulina (64 %) y vinaza (36 %) (López </w:t>
      </w:r>
      <w:r w:rsidDel="00000000" w:rsidR="00000000" w:rsidRPr="00000000">
        <w:rPr>
          <w:i w:val="1"/>
          <w:color w:val="000000"/>
          <w:rtl w:val="0"/>
        </w:rPr>
        <w:t xml:space="preserve">et al</w:t>
      </w:r>
      <w:r w:rsidDel="00000000" w:rsidR="00000000" w:rsidRPr="00000000">
        <w:rPr>
          <w:color w:val="000000"/>
          <w:rtl w:val="0"/>
        </w:rPr>
        <w:t xml:space="preserve">., 2021).</w:t>
      </w:r>
    </w:p>
    <w:p w:rsidR="00000000" w:rsidDel="00000000" w:rsidP="00000000" w:rsidRDefault="00000000" w:rsidRPr="00000000" w14:paraId="00000011">
      <w:pPr>
        <w:keepNext w:val="0"/>
        <w:keepLines w:val="0"/>
        <w:widowControl w:val="1"/>
        <w:pBdr>
          <w:top w:space="0" w:sz="0" w:val="nil"/>
          <w:left w:space="0" w:sz="0" w:val="nil"/>
          <w:bottom w:space="0" w:sz="0" w:val="nil"/>
          <w:right w:space="0" w:sz="0" w:val="nil"/>
          <w:between w:space="0" w:sz="0" w:val="nil"/>
        </w:pBdr>
        <w:shd w:fill="auto" w:val="clear"/>
        <w:spacing w:after="0" w:before="240" w:line="360" w:lineRule="auto"/>
        <w:ind w:left="0" w:right="0" w:firstLine="0"/>
        <w:contextualSpacing w:val="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Problema científico:</w:t>
      </w:r>
    </w:p>
    <w:p w:rsidR="00000000" w:rsidDel="00000000" w:rsidP="00000000" w:rsidRDefault="00000000" w:rsidRPr="00000000" w14:paraId="00000012">
      <w:pPr>
        <w:spacing w:line="360" w:lineRule="auto"/>
        <w:contextualSpacing w:val="0"/>
        <w:jc w:val="both"/>
        <w:rPr/>
      </w:pPr>
      <w:r w:rsidDel="00000000" w:rsidR="00000000" w:rsidRPr="00000000">
        <w:rPr>
          <w:rtl w:val="0"/>
        </w:rPr>
        <w:t xml:space="preserve">¿Es posible la obtención de extractos nacionales de Sargazo y Spirulina con actividad biológica en plantas?</w:t>
      </w:r>
    </w:p>
    <w:p w:rsidR="00000000" w:rsidDel="00000000" w:rsidP="00000000" w:rsidRDefault="00000000" w:rsidRPr="00000000" w14:paraId="00000013">
      <w:pPr>
        <w:spacing w:before="240" w:line="360" w:lineRule="auto"/>
        <w:contextualSpacing w:val="0"/>
        <w:jc w:val="both"/>
        <w:rPr>
          <w:b w:val="1"/>
        </w:rPr>
      </w:pPr>
      <w:r w:rsidDel="00000000" w:rsidR="00000000" w:rsidRPr="00000000">
        <w:rPr>
          <w:b w:val="1"/>
          <w:rtl w:val="0"/>
        </w:rPr>
        <w:t xml:space="preserve">Hipótesis:</w:t>
      </w:r>
    </w:p>
    <w:p w:rsidR="00000000" w:rsidDel="00000000" w:rsidP="00000000" w:rsidRDefault="00000000" w:rsidRPr="00000000" w14:paraId="00000014">
      <w:pPr>
        <w:spacing w:after="240" w:line="360" w:lineRule="auto"/>
        <w:contextualSpacing w:val="0"/>
        <w:jc w:val="both"/>
        <w:rPr/>
      </w:pPr>
      <w:r w:rsidDel="00000000" w:rsidR="00000000" w:rsidRPr="00000000">
        <w:rPr>
          <w:rtl w:val="0"/>
        </w:rPr>
        <w:t xml:space="preserve">La aplicación de extractos de Sargazo y Spirulina, obtenidos en Cuba, estimulan la germinación y el crecimiento de plantas de tomate.</w:t>
      </w:r>
    </w:p>
    <w:p w:rsidR="00000000" w:rsidDel="00000000" w:rsidP="00000000" w:rsidRDefault="00000000" w:rsidRPr="00000000" w14:paraId="00000015">
      <w:pPr>
        <w:spacing w:line="360" w:lineRule="auto"/>
        <w:contextualSpacing w:val="0"/>
        <w:jc w:val="both"/>
        <w:rPr>
          <w:b w:val="1"/>
        </w:rPr>
      </w:pPr>
      <w:r w:rsidDel="00000000" w:rsidR="00000000" w:rsidRPr="00000000">
        <w:rPr>
          <w:b w:val="1"/>
          <w:rtl w:val="0"/>
        </w:rPr>
        <w:t xml:space="preserve">Objetivo general: </w:t>
      </w:r>
    </w:p>
    <w:p w:rsidR="00000000" w:rsidDel="00000000" w:rsidP="00000000" w:rsidRDefault="00000000" w:rsidRPr="00000000" w14:paraId="00000016">
      <w:pPr>
        <w:spacing w:line="360" w:lineRule="auto"/>
        <w:contextualSpacing w:val="0"/>
        <w:jc w:val="both"/>
        <w:rPr/>
      </w:pPr>
      <w:r w:rsidDel="00000000" w:rsidR="00000000" w:rsidRPr="00000000">
        <w:rPr>
          <w:rtl w:val="0"/>
        </w:rPr>
        <w:t xml:space="preserve">Obtener extractos de Sargazo y Spirulina capaces de estimular la germinación y el crecimiento de plantas de tomate.</w:t>
      </w:r>
    </w:p>
    <w:p w:rsidR="00000000" w:rsidDel="00000000" w:rsidP="00000000" w:rsidRDefault="00000000" w:rsidRPr="00000000" w14:paraId="00000017">
      <w:pPr>
        <w:spacing w:before="240" w:line="360" w:lineRule="auto"/>
        <w:contextualSpacing w:val="0"/>
        <w:jc w:val="both"/>
        <w:rPr>
          <w:b w:val="1"/>
        </w:rPr>
      </w:pPr>
      <w:r w:rsidDel="00000000" w:rsidR="00000000" w:rsidRPr="00000000">
        <w:rPr>
          <w:b w:val="1"/>
          <w:rtl w:val="0"/>
        </w:rPr>
        <w:t xml:space="preserve">Objetivos específicos</w:t>
      </w:r>
    </w:p>
    <w:p w:rsidR="00000000" w:rsidDel="00000000" w:rsidP="00000000" w:rsidRDefault="00000000" w:rsidRPr="00000000" w14:paraId="00000018">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502" w:right="0" w:hanging="360"/>
        <w:contextualSpacing w:val="1"/>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Desarrollar metodologías para la obtención de extractos de Spirulina y Sargazo.</w:t>
      </w:r>
    </w:p>
    <w:p w:rsidR="00000000" w:rsidDel="00000000" w:rsidP="00000000" w:rsidRDefault="00000000" w:rsidRPr="00000000" w14:paraId="00000019">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502" w:right="0" w:hanging="360"/>
        <w:contextualSpacing w:val="1"/>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Caracterizar químicamente los extractos de Sargazo y Spirulina obtenidos.</w:t>
      </w:r>
    </w:p>
    <w:p w:rsidR="00000000" w:rsidDel="00000000" w:rsidP="00000000" w:rsidRDefault="00000000" w:rsidRPr="00000000" w14:paraId="0000001A">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502" w:right="0" w:hanging="360"/>
        <w:contextualSpacing w:val="1"/>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Evaluar la actividad biológica de los extractos obtenidos mediante ensayos de germinación de semillas de tomate.</w:t>
      </w:r>
    </w:p>
    <w:p w:rsidR="00000000" w:rsidDel="00000000" w:rsidP="00000000" w:rsidRDefault="00000000" w:rsidRPr="00000000" w14:paraId="0000001B">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502" w:right="0" w:hanging="360"/>
        <w:contextualSpacing w:val="0"/>
        <w:jc w:val="left"/>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Determinar el efecto que las aplicaciones de extractos de Sargazo y Spirulina ejercen sobre el crecimiento y la nutrición de posturas de tomate cultivadas en cepellones</w:t>
      </w:r>
    </w:p>
    <w:p w:rsidR="00000000" w:rsidDel="00000000" w:rsidP="00000000" w:rsidRDefault="00000000" w:rsidRPr="00000000" w14:paraId="0000001C">
      <w:pPr>
        <w:spacing w:before="240" w:line="360" w:lineRule="auto"/>
        <w:contextualSpacing w:val="0"/>
        <w:jc w:val="both"/>
        <w:rPr>
          <w:b w:val="1"/>
        </w:rPr>
      </w:pPr>
      <w:r w:rsidDel="00000000" w:rsidR="00000000" w:rsidRPr="00000000">
        <w:rPr>
          <w:b w:val="1"/>
          <w:rtl w:val="0"/>
        </w:rPr>
        <w:t xml:space="preserve">Novedad científica</w:t>
      </w:r>
    </w:p>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 informará, por primera vez en el país, las metodologías para la obtención de un extracto de Spirulina y de Sargazo con fines agrícolas, su caracterización química y su actividad biológica, a través de la estimulación de la germinación y el crecimiento de posturas de tomate, todo lo cual servirá de base científica para la elaboración de bioestimulantes a base de extractos de algas.</w:t>
      </w:r>
    </w:p>
    <w:p w:rsidR="00000000" w:rsidDel="00000000" w:rsidP="00000000" w:rsidRDefault="00000000" w:rsidRPr="00000000" w14:paraId="0000001E">
      <w:pPr>
        <w:spacing w:before="240" w:line="360" w:lineRule="auto"/>
        <w:contextualSpacing w:val="0"/>
        <w:jc w:val="both"/>
        <w:rPr>
          <w:highlight w:val="yellow"/>
          <w:u w:val="single"/>
        </w:rPr>
      </w:pPr>
      <w:r w:rsidDel="00000000" w:rsidR="00000000" w:rsidRPr="00000000">
        <w:rPr>
          <w:rtl w:val="0"/>
        </w:rPr>
        <w:t xml:space="preserve"> </w:t>
      </w:r>
      <w:r w:rsidDel="00000000" w:rsidR="00000000" w:rsidRPr="00000000">
        <w:rPr>
          <w:b w:val="1"/>
          <w:u w:val="single"/>
          <w:rtl w:val="0"/>
        </w:rPr>
        <w:t xml:space="preserve">Desarrollo experimental</w:t>
      </w:r>
      <w:r w:rsidDel="00000000" w:rsidR="00000000" w:rsidRPr="00000000">
        <w:rPr>
          <w:rtl w:val="0"/>
        </w:rPr>
      </w:r>
    </w:p>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Objetivo 1-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Desarrollar metodologías para la obtención de extractos de Spirulina y Sargazo.</w:t>
      </w:r>
    </w:p>
    <w:p w:rsidR="00000000" w:rsidDel="00000000" w:rsidP="00000000" w:rsidRDefault="00000000" w:rsidRPr="00000000" w14:paraId="00000020">
      <w:pPr>
        <w:spacing w:line="324" w:lineRule="auto"/>
        <w:contextualSpacing w:val="0"/>
        <w:jc w:val="both"/>
        <w:rPr>
          <w:u w:val="single"/>
        </w:rPr>
      </w:pPr>
      <w:r w:rsidDel="00000000" w:rsidR="00000000" w:rsidRPr="00000000">
        <w:rPr>
          <w:u w:val="single"/>
          <w:rtl w:val="0"/>
        </w:rPr>
        <w:t xml:space="preserve">Obtención de extractos de Sargazo</w:t>
      </w:r>
    </w:p>
    <w:p w:rsidR="00000000" w:rsidDel="00000000" w:rsidP="00000000" w:rsidRDefault="00000000" w:rsidRPr="00000000" w14:paraId="00000021">
      <w:pPr>
        <w:spacing w:line="360" w:lineRule="auto"/>
        <w:contextualSpacing w:val="0"/>
        <w:jc w:val="both"/>
        <w:rPr/>
      </w:pPr>
      <w:r w:rsidDel="00000000" w:rsidR="00000000" w:rsidRPr="00000000">
        <w:rPr>
          <w:rtl w:val="0"/>
        </w:rPr>
        <w:t xml:space="preserve">Para la elaboración de los extractos será recolectado el material algal (mezcla de </w:t>
      </w:r>
      <w:r w:rsidDel="00000000" w:rsidR="00000000" w:rsidRPr="00000000">
        <w:rPr>
          <w:i w:val="1"/>
          <w:rtl w:val="0"/>
        </w:rPr>
        <w:t xml:space="preserve">Sargassum fluitans</w:t>
      </w:r>
      <w:r w:rsidDel="00000000" w:rsidR="00000000" w:rsidRPr="00000000">
        <w:rPr>
          <w:rtl w:val="0"/>
        </w:rPr>
        <w:t xml:space="preserve"> y </w:t>
      </w:r>
      <w:r w:rsidDel="00000000" w:rsidR="00000000" w:rsidRPr="00000000">
        <w:rPr>
          <w:i w:val="1"/>
          <w:rtl w:val="0"/>
        </w:rPr>
        <w:t xml:space="preserve">Sargassum natans</w:t>
      </w:r>
      <w:r w:rsidDel="00000000" w:rsidR="00000000" w:rsidRPr="00000000">
        <w:rPr>
          <w:rtl w:val="0"/>
        </w:rPr>
        <w:t xml:space="preserve">) en las costas de Guanabo (playa del este de La Habana) y se lavará varias veces con agua corriente. Se estudiarán dos formas de preparación de los extractos: a partir del material fresco y a partir del material seco y molido. Además, en el primer caso se utilizará agua como solvente, mientras que en el segundo caso se emplearán como solventes agua y una solución hidroalcohólica.</w:t>
      </w:r>
    </w:p>
    <w:p w:rsidR="00000000" w:rsidDel="00000000" w:rsidP="00000000" w:rsidRDefault="00000000" w:rsidRPr="00000000" w14:paraId="00000022">
      <w:pPr>
        <w:spacing w:line="360" w:lineRule="auto"/>
        <w:contextualSpacing w:val="0"/>
        <w:jc w:val="both"/>
        <w:rPr/>
      </w:pPr>
      <w:r w:rsidDel="00000000" w:rsidR="00000000" w:rsidRPr="00000000">
        <w:rPr>
          <w:rtl w:val="0"/>
        </w:rPr>
        <w:t xml:space="preserve">Los extractos a obtener serán los siguientes:</w:t>
      </w:r>
    </w:p>
    <w:p w:rsidR="00000000" w:rsidDel="00000000" w:rsidP="00000000" w:rsidRDefault="00000000" w:rsidRPr="00000000" w14:paraId="00000023">
      <w:pPr>
        <w:numPr>
          <w:ilvl w:val="0"/>
          <w:numId w:val="3"/>
        </w:numPr>
        <w:spacing w:line="360" w:lineRule="auto"/>
        <w:ind w:left="0" w:firstLine="0"/>
        <w:contextualSpacing w:val="0"/>
        <w:jc w:val="both"/>
        <w:rPr/>
      </w:pPr>
      <w:r w:rsidDel="00000000" w:rsidR="00000000" w:rsidRPr="00000000">
        <w:rPr>
          <w:rtl w:val="0"/>
        </w:rPr>
        <w:t xml:space="preserve">Extracto acuoso a partir de material fresco en maceración a temperatura ambiente durante tres meses.</w:t>
      </w:r>
    </w:p>
    <w:p w:rsidR="00000000" w:rsidDel="00000000" w:rsidP="00000000" w:rsidRDefault="00000000" w:rsidRPr="00000000" w14:paraId="00000024">
      <w:pPr>
        <w:numPr>
          <w:ilvl w:val="0"/>
          <w:numId w:val="3"/>
        </w:numPr>
        <w:spacing w:line="360" w:lineRule="auto"/>
        <w:ind w:left="0" w:firstLine="0"/>
        <w:contextualSpacing w:val="0"/>
        <w:jc w:val="both"/>
        <w:rPr/>
      </w:pPr>
      <w:r w:rsidDel="00000000" w:rsidR="00000000" w:rsidRPr="00000000">
        <w:rPr>
          <w:rtl w:val="0"/>
        </w:rPr>
        <w:t xml:space="preserve">Extracto acuoso obtenido a partir de material seco y molido por calentamiento durante 2 h.</w:t>
      </w:r>
    </w:p>
    <w:p w:rsidR="00000000" w:rsidDel="00000000" w:rsidP="00000000" w:rsidRDefault="00000000" w:rsidRPr="00000000" w14:paraId="00000025">
      <w:pPr>
        <w:numPr>
          <w:ilvl w:val="0"/>
          <w:numId w:val="3"/>
        </w:numPr>
        <w:spacing w:line="360" w:lineRule="auto"/>
        <w:ind w:left="0" w:firstLine="0"/>
        <w:contextualSpacing w:val="0"/>
        <w:jc w:val="both"/>
        <w:rPr/>
      </w:pPr>
      <w:r w:rsidDel="00000000" w:rsidR="00000000" w:rsidRPr="00000000">
        <w:rPr>
          <w:rtl w:val="0"/>
        </w:rPr>
        <w:t xml:space="preserve">Extracto hidroalcohólico de sargazo obtenido a partir de material seco y molido por calentamiento durante 15 min.</w:t>
      </w:r>
    </w:p>
    <w:p w:rsidR="00000000" w:rsidDel="00000000" w:rsidP="00000000" w:rsidRDefault="00000000" w:rsidRPr="00000000" w14:paraId="00000026">
      <w:pPr>
        <w:spacing w:line="360" w:lineRule="auto"/>
        <w:contextualSpacing w:val="0"/>
        <w:jc w:val="both"/>
        <w:rPr>
          <w:u w:val="single"/>
        </w:rPr>
      </w:pPr>
      <w:r w:rsidDel="00000000" w:rsidR="00000000" w:rsidRPr="00000000">
        <w:rPr>
          <w:u w:val="single"/>
          <w:rtl w:val="0"/>
        </w:rPr>
        <w:t xml:space="preserve">Obtención de extractos de Spirulina</w:t>
      </w:r>
    </w:p>
    <w:p w:rsidR="00000000" w:rsidDel="00000000" w:rsidP="00000000" w:rsidRDefault="00000000" w:rsidRPr="00000000" w14:paraId="00000027">
      <w:pPr>
        <w:spacing w:after="160" w:line="360" w:lineRule="auto"/>
        <w:contextualSpacing w:val="0"/>
        <w:jc w:val="both"/>
        <w:rPr/>
      </w:pPr>
      <w:r w:rsidDel="00000000" w:rsidR="00000000" w:rsidRPr="00000000">
        <w:rPr>
          <w:rtl w:val="0"/>
        </w:rPr>
        <w:t xml:space="preserve">Los extractos se prepararán a partir del polvo seco de Spirulina proveniente de la Empresa Génix de LABIOFAM, S.A. y se estudiarán dos concentraciones de etanol, dos proporciones diferentes masa:solvente y dos tiempos de maceración. Los extractos a preparar son los siguientes:</w:t>
      </w:r>
    </w:p>
    <w:p w:rsidR="00000000" w:rsidDel="00000000" w:rsidP="00000000" w:rsidRDefault="00000000" w:rsidRPr="00000000" w14:paraId="00000028">
      <w:pPr>
        <w:spacing w:after="160" w:line="360" w:lineRule="auto"/>
        <w:contextualSpacing w:val="0"/>
        <w:jc w:val="both"/>
        <w:rPr/>
      </w:pPr>
      <w:r w:rsidDel="00000000" w:rsidR="00000000" w:rsidRPr="00000000">
        <w:rPr>
          <w:rtl w:val="0"/>
        </w:rPr>
        <w:t xml:space="preserve">1- 10 g de polvo en 100 mL de EtOH 90 % en maceración durante 21 días</w:t>
      </w:r>
    </w:p>
    <w:p w:rsidR="00000000" w:rsidDel="00000000" w:rsidP="00000000" w:rsidRDefault="00000000" w:rsidRPr="00000000" w14:paraId="00000029">
      <w:pPr>
        <w:spacing w:after="160" w:line="360" w:lineRule="auto"/>
        <w:contextualSpacing w:val="0"/>
        <w:jc w:val="both"/>
        <w:rPr/>
      </w:pPr>
      <w:r w:rsidDel="00000000" w:rsidR="00000000" w:rsidRPr="00000000">
        <w:rPr>
          <w:rtl w:val="0"/>
        </w:rPr>
        <w:t xml:space="preserve">2- 10 g de polvo en 100 mL de EtOH 90 % en maceración durante 10 días</w:t>
      </w:r>
    </w:p>
    <w:p w:rsidR="00000000" w:rsidDel="00000000" w:rsidP="00000000" w:rsidRDefault="00000000" w:rsidRPr="00000000" w14:paraId="0000002A">
      <w:pPr>
        <w:spacing w:after="160" w:line="360" w:lineRule="auto"/>
        <w:contextualSpacing w:val="0"/>
        <w:jc w:val="both"/>
        <w:rPr/>
      </w:pPr>
      <w:r w:rsidDel="00000000" w:rsidR="00000000" w:rsidRPr="00000000">
        <w:rPr>
          <w:rtl w:val="0"/>
        </w:rPr>
        <w:t xml:space="preserve">3- 10 g de polvo en 100 mL de EtOH 70 % en maceración durante 21 días </w:t>
      </w:r>
    </w:p>
    <w:p w:rsidR="00000000" w:rsidDel="00000000" w:rsidP="00000000" w:rsidRDefault="00000000" w:rsidRPr="00000000" w14:paraId="0000002B">
      <w:pPr>
        <w:spacing w:after="160" w:line="360" w:lineRule="auto"/>
        <w:contextualSpacing w:val="0"/>
        <w:jc w:val="both"/>
        <w:rPr/>
      </w:pPr>
      <w:r w:rsidDel="00000000" w:rsidR="00000000" w:rsidRPr="00000000">
        <w:rPr>
          <w:rtl w:val="0"/>
        </w:rPr>
        <w:t xml:space="preserve">4- 10 g de polvo en 100 mL de EtOH 70 % en maceración durante 10 días</w:t>
      </w:r>
    </w:p>
    <w:p w:rsidR="00000000" w:rsidDel="00000000" w:rsidP="00000000" w:rsidRDefault="00000000" w:rsidRPr="00000000" w14:paraId="0000002C">
      <w:pPr>
        <w:spacing w:after="160" w:line="360" w:lineRule="auto"/>
        <w:contextualSpacing w:val="0"/>
        <w:jc w:val="both"/>
        <w:rPr/>
      </w:pPr>
      <w:r w:rsidDel="00000000" w:rsidR="00000000" w:rsidRPr="00000000">
        <w:rPr>
          <w:rtl w:val="0"/>
        </w:rPr>
        <w:t xml:space="preserve">5- 5 g de polvo en 100 mL de EtOH 90 % en maceración durante 21 días </w:t>
      </w:r>
    </w:p>
    <w:p w:rsidR="00000000" w:rsidDel="00000000" w:rsidP="00000000" w:rsidRDefault="00000000" w:rsidRPr="00000000" w14:paraId="0000002D">
      <w:pPr>
        <w:spacing w:after="160" w:line="360" w:lineRule="auto"/>
        <w:contextualSpacing w:val="0"/>
        <w:jc w:val="both"/>
        <w:rPr/>
      </w:pPr>
      <w:r w:rsidDel="00000000" w:rsidR="00000000" w:rsidRPr="00000000">
        <w:rPr>
          <w:rtl w:val="0"/>
        </w:rPr>
        <w:t xml:space="preserve">6- 5 g de polvo en 100 mL de EtOH 90 % en maceración durante 10 días</w:t>
      </w:r>
    </w:p>
    <w:p w:rsidR="00000000" w:rsidDel="00000000" w:rsidP="00000000" w:rsidRDefault="00000000" w:rsidRPr="00000000" w14:paraId="0000002E">
      <w:pPr>
        <w:spacing w:after="160" w:line="360" w:lineRule="auto"/>
        <w:contextualSpacing w:val="0"/>
        <w:jc w:val="both"/>
        <w:rPr/>
      </w:pPr>
      <w:r w:rsidDel="00000000" w:rsidR="00000000" w:rsidRPr="00000000">
        <w:rPr>
          <w:rtl w:val="0"/>
        </w:rPr>
        <w:t xml:space="preserve">7- 5 g de polvo en 100 mL de EtOH 70 % en maceración durante 21 días </w:t>
      </w:r>
    </w:p>
    <w:p w:rsidR="00000000" w:rsidDel="00000000" w:rsidP="00000000" w:rsidRDefault="00000000" w:rsidRPr="00000000" w14:paraId="0000002F">
      <w:pPr>
        <w:spacing w:after="160" w:line="360" w:lineRule="auto"/>
        <w:contextualSpacing w:val="0"/>
        <w:jc w:val="both"/>
        <w:rPr/>
      </w:pPr>
      <w:r w:rsidDel="00000000" w:rsidR="00000000" w:rsidRPr="00000000">
        <w:rPr>
          <w:rtl w:val="0"/>
        </w:rPr>
        <w:t xml:space="preserve">8- 5 g de polvo en 100 mL de EtOH 70 % en maceración durante 10 días</w:t>
      </w:r>
    </w:p>
    <w:p w:rsidR="00000000" w:rsidDel="00000000" w:rsidP="00000000" w:rsidRDefault="00000000" w:rsidRPr="00000000" w14:paraId="00000030">
      <w:pPr>
        <w:spacing w:before="240" w:line="360" w:lineRule="auto"/>
        <w:contextualSpacing w:val="0"/>
        <w:jc w:val="both"/>
        <w:rPr/>
      </w:pPr>
      <w:r w:rsidDel="00000000" w:rsidR="00000000" w:rsidRPr="00000000">
        <w:rPr>
          <w:b w:val="1"/>
          <w:rtl w:val="0"/>
        </w:rPr>
        <w:t xml:space="preserve">Objetivo 2 - </w:t>
      </w:r>
      <w:r w:rsidDel="00000000" w:rsidR="00000000" w:rsidRPr="00000000">
        <w:rPr>
          <w:rtl w:val="0"/>
        </w:rPr>
        <w:t xml:space="preserve">Caracterizar químicamente los extractos de Sargazo y Spirulina obtenidos.</w:t>
      </w:r>
    </w:p>
    <w:p w:rsidR="00000000" w:rsidDel="00000000" w:rsidP="00000000" w:rsidRDefault="00000000" w:rsidRPr="00000000" w14:paraId="00000031">
      <w:pPr>
        <w:spacing w:line="360" w:lineRule="auto"/>
        <w:contextualSpacing w:val="0"/>
        <w:jc w:val="both"/>
        <w:rPr>
          <w:u w:val="single"/>
        </w:rPr>
      </w:pPr>
      <w:r w:rsidDel="00000000" w:rsidR="00000000" w:rsidRPr="00000000">
        <w:rPr>
          <w:u w:val="single"/>
          <w:rtl w:val="0"/>
        </w:rPr>
        <w:t xml:space="preserve">Caracterización química de los extractos de Sargazo</w:t>
      </w:r>
    </w:p>
    <w:p w:rsidR="00000000" w:rsidDel="00000000" w:rsidP="00000000" w:rsidRDefault="00000000" w:rsidRPr="00000000" w14:paraId="00000032">
      <w:pPr>
        <w:spacing w:after="60" w:line="360" w:lineRule="auto"/>
        <w:contextualSpacing w:val="0"/>
        <w:jc w:val="both"/>
        <w:rPr/>
      </w:pPr>
      <w:r w:rsidDel="00000000" w:rsidR="00000000" w:rsidRPr="00000000">
        <w:rPr>
          <w:rtl w:val="0"/>
        </w:rPr>
        <w:t xml:space="preserve">La caracterización química de los extractos se realizará a través de la determinación de los sólidos totales, el pH, el contenido de fenoles totales, flavonoides totales, proteínas solubles totales, carbohidratos solubles totales, β-caroteno, clorofilas a y b, fucoxantina, así como el contenido de minerales presentes en los extractos.</w:t>
      </w:r>
    </w:p>
    <w:p w:rsidR="00000000" w:rsidDel="00000000" w:rsidP="00000000" w:rsidRDefault="00000000" w:rsidRPr="00000000" w14:paraId="00000033">
      <w:pPr>
        <w:spacing w:after="60" w:line="360" w:lineRule="auto"/>
        <w:contextualSpacing w:val="0"/>
        <w:jc w:val="both"/>
        <w:rPr/>
      </w:pPr>
      <w:r w:rsidDel="00000000" w:rsidR="00000000" w:rsidRPr="00000000">
        <w:rPr>
          <w:rtl w:val="0"/>
        </w:rPr>
        <w:t xml:space="preserve">Las metodologías a emplear serán las siguientes:</w:t>
      </w:r>
    </w:p>
    <w:p w:rsidR="00000000" w:rsidDel="00000000" w:rsidP="00000000" w:rsidRDefault="00000000" w:rsidRPr="00000000" w14:paraId="00000034">
      <w:pPr>
        <w:numPr>
          <w:ilvl w:val="0"/>
          <w:numId w:val="4"/>
        </w:numPr>
        <w:spacing w:after="40" w:line="360" w:lineRule="auto"/>
        <w:ind w:left="720" w:right="425" w:hanging="360"/>
        <w:contextualSpacing w:val="0"/>
        <w:jc w:val="both"/>
        <w:rPr>
          <w:color w:val="000000"/>
        </w:rPr>
      </w:pPr>
      <w:r w:rsidDel="00000000" w:rsidR="00000000" w:rsidRPr="00000000">
        <w:rPr>
          <w:rtl w:val="0"/>
        </w:rPr>
        <w:t xml:space="preserve">Sólidos totales (método gravimétrico)</w:t>
      </w:r>
      <w:r w:rsidDel="00000000" w:rsidR="00000000" w:rsidRPr="00000000">
        <w:rPr>
          <w:rtl w:val="0"/>
        </w:rPr>
      </w:r>
    </w:p>
    <w:p w:rsidR="00000000" w:rsidDel="00000000" w:rsidP="00000000" w:rsidRDefault="00000000" w:rsidRPr="00000000" w14:paraId="00000035">
      <w:pPr>
        <w:numPr>
          <w:ilvl w:val="0"/>
          <w:numId w:val="4"/>
        </w:numPr>
        <w:spacing w:after="40" w:line="360" w:lineRule="auto"/>
        <w:ind w:left="720" w:right="425" w:hanging="360"/>
        <w:contextualSpacing w:val="0"/>
        <w:jc w:val="both"/>
        <w:rPr>
          <w:color w:val="000000"/>
        </w:rPr>
      </w:pPr>
      <w:r w:rsidDel="00000000" w:rsidR="00000000" w:rsidRPr="00000000">
        <w:rPr>
          <w:color w:val="000000"/>
          <w:rtl w:val="0"/>
        </w:rPr>
        <w:t xml:space="preserve">pH (pHmetro/conductímetro)</w:t>
      </w:r>
    </w:p>
    <w:p w:rsidR="00000000" w:rsidDel="00000000" w:rsidP="00000000" w:rsidRDefault="00000000" w:rsidRPr="00000000" w14:paraId="00000036">
      <w:pPr>
        <w:numPr>
          <w:ilvl w:val="0"/>
          <w:numId w:val="4"/>
        </w:numPr>
        <w:spacing w:after="40" w:line="360" w:lineRule="auto"/>
        <w:ind w:left="720" w:right="425" w:hanging="360"/>
        <w:contextualSpacing w:val="0"/>
        <w:jc w:val="both"/>
        <w:rPr>
          <w:color w:val="000000"/>
        </w:rPr>
      </w:pPr>
      <w:r w:rsidDel="00000000" w:rsidR="00000000" w:rsidRPr="00000000">
        <w:rPr>
          <w:color w:val="000000"/>
          <w:rtl w:val="0"/>
        </w:rPr>
        <w:t xml:space="preserve">Fenoles totales (método de Folin-Ciocalteu)</w:t>
      </w:r>
    </w:p>
    <w:p w:rsidR="00000000" w:rsidDel="00000000" w:rsidP="00000000" w:rsidRDefault="00000000" w:rsidRPr="00000000" w14:paraId="00000037">
      <w:pPr>
        <w:numPr>
          <w:ilvl w:val="0"/>
          <w:numId w:val="4"/>
        </w:numPr>
        <w:spacing w:after="40" w:line="360" w:lineRule="auto"/>
        <w:ind w:left="720" w:right="425" w:hanging="360"/>
        <w:contextualSpacing w:val="0"/>
        <w:jc w:val="both"/>
        <w:rPr>
          <w:color w:val="000000"/>
        </w:rPr>
      </w:pPr>
      <w:r w:rsidDel="00000000" w:rsidR="00000000" w:rsidRPr="00000000">
        <w:rPr>
          <w:color w:val="000000"/>
          <w:rtl w:val="0"/>
        </w:rPr>
        <w:t xml:space="preserve">Flavonoides totales (Chang et al., 2002 y Pourmorad </w:t>
      </w:r>
      <w:r w:rsidDel="00000000" w:rsidR="00000000" w:rsidRPr="00000000">
        <w:rPr>
          <w:i w:val="1"/>
          <w:color w:val="000000"/>
          <w:rtl w:val="0"/>
        </w:rPr>
        <w:t xml:space="preserve">et al.</w:t>
      </w:r>
      <w:r w:rsidDel="00000000" w:rsidR="00000000" w:rsidRPr="00000000">
        <w:rPr>
          <w:color w:val="000000"/>
          <w:rtl w:val="0"/>
        </w:rPr>
        <w:t xml:space="preserve">, 2006 modificados)</w:t>
      </w:r>
    </w:p>
    <w:p w:rsidR="00000000" w:rsidDel="00000000" w:rsidP="00000000" w:rsidRDefault="00000000" w:rsidRPr="00000000" w14:paraId="00000038">
      <w:pPr>
        <w:numPr>
          <w:ilvl w:val="0"/>
          <w:numId w:val="4"/>
        </w:numPr>
        <w:spacing w:after="40" w:line="360" w:lineRule="auto"/>
        <w:ind w:left="720" w:right="425" w:hanging="360"/>
        <w:contextualSpacing w:val="0"/>
        <w:jc w:val="both"/>
        <w:rPr>
          <w:color w:val="000000"/>
        </w:rPr>
      </w:pPr>
      <w:r w:rsidDel="00000000" w:rsidR="00000000" w:rsidRPr="00000000">
        <w:rPr>
          <w:color w:val="000000"/>
          <w:rtl w:val="0"/>
        </w:rPr>
        <w:t xml:space="preserve">Proteínas solubles totales (método de Bradford, 1976)</w:t>
      </w:r>
    </w:p>
    <w:p w:rsidR="00000000" w:rsidDel="00000000" w:rsidP="00000000" w:rsidRDefault="00000000" w:rsidRPr="00000000" w14:paraId="00000039">
      <w:pPr>
        <w:numPr>
          <w:ilvl w:val="0"/>
          <w:numId w:val="1"/>
        </w:numPr>
        <w:spacing w:after="40" w:line="360" w:lineRule="auto"/>
        <w:ind w:left="720" w:right="51" w:hanging="360"/>
        <w:contextualSpacing w:val="0"/>
        <w:jc w:val="both"/>
        <w:rPr>
          <w:b w:val="1"/>
        </w:rPr>
      </w:pPr>
      <w:r w:rsidDel="00000000" w:rsidR="00000000" w:rsidRPr="00000000">
        <w:rPr>
          <w:rtl w:val="0"/>
        </w:rPr>
        <w:t xml:space="preserve">Carbohidratos solubles totales (método fenol-sulfúrico, Dubois </w:t>
      </w:r>
      <w:r w:rsidDel="00000000" w:rsidR="00000000" w:rsidRPr="00000000">
        <w:rPr>
          <w:i w:val="1"/>
          <w:rtl w:val="0"/>
        </w:rPr>
        <w:t xml:space="preserve">et al.</w:t>
      </w:r>
      <w:r w:rsidDel="00000000" w:rsidR="00000000" w:rsidRPr="00000000">
        <w:rPr>
          <w:rtl w:val="0"/>
        </w:rPr>
        <w:t xml:space="preserve">, 1956)</w:t>
      </w:r>
      <w:r w:rsidDel="00000000" w:rsidR="00000000" w:rsidRPr="00000000">
        <w:rPr>
          <w:rtl w:val="0"/>
        </w:rPr>
      </w:r>
    </w:p>
    <w:p w:rsidR="00000000" w:rsidDel="00000000" w:rsidP="00000000" w:rsidRDefault="00000000" w:rsidRPr="00000000" w14:paraId="0000003A">
      <w:pPr>
        <w:numPr>
          <w:ilvl w:val="0"/>
          <w:numId w:val="1"/>
        </w:numPr>
        <w:spacing w:after="40" w:line="360" w:lineRule="auto"/>
        <w:ind w:left="720" w:right="51" w:hanging="360"/>
        <w:contextualSpacing w:val="0"/>
        <w:jc w:val="both"/>
        <w:rPr/>
      </w:pPr>
      <w:r w:rsidDel="00000000" w:rsidR="00000000" w:rsidRPr="00000000">
        <w:rPr>
          <w:rtl w:val="0"/>
        </w:rPr>
        <w:t xml:space="preserve">β-caroteno (método de Nagata &amp; Yamashita (1992))</w:t>
      </w:r>
    </w:p>
    <w:p w:rsidR="00000000" w:rsidDel="00000000" w:rsidP="00000000" w:rsidRDefault="00000000" w:rsidRPr="00000000" w14:paraId="0000003B">
      <w:pPr>
        <w:numPr>
          <w:ilvl w:val="0"/>
          <w:numId w:val="1"/>
        </w:numPr>
        <w:spacing w:after="40" w:line="360" w:lineRule="auto"/>
        <w:ind w:left="720" w:right="51" w:hanging="360"/>
        <w:contextualSpacing w:val="0"/>
        <w:jc w:val="both"/>
        <w:rPr/>
      </w:pPr>
      <w:r w:rsidDel="00000000" w:rsidR="00000000" w:rsidRPr="00000000">
        <w:rPr>
          <w:rtl w:val="0"/>
        </w:rPr>
        <w:t xml:space="preserve">Clorofilas a y b (Waterhouse </w:t>
      </w:r>
      <w:r w:rsidDel="00000000" w:rsidR="00000000" w:rsidRPr="00000000">
        <w:rPr>
          <w:i w:val="1"/>
          <w:rtl w:val="0"/>
        </w:rPr>
        <w:t xml:space="preserve">et al</w:t>
      </w:r>
      <w:r w:rsidDel="00000000" w:rsidR="00000000" w:rsidRPr="00000000">
        <w:rPr>
          <w:rtl w:val="0"/>
        </w:rPr>
        <w:t xml:space="preserve">. 2005)</w:t>
      </w:r>
    </w:p>
    <w:p w:rsidR="00000000" w:rsidDel="00000000" w:rsidP="00000000" w:rsidRDefault="00000000" w:rsidRPr="00000000" w14:paraId="0000003C">
      <w:pPr>
        <w:numPr>
          <w:ilvl w:val="0"/>
          <w:numId w:val="1"/>
        </w:numPr>
        <w:spacing w:after="40" w:line="360" w:lineRule="auto"/>
        <w:ind w:left="720" w:right="51" w:hanging="360"/>
        <w:contextualSpacing w:val="0"/>
        <w:jc w:val="both"/>
        <w:rPr/>
      </w:pPr>
      <w:r w:rsidDel="00000000" w:rsidR="00000000" w:rsidRPr="00000000">
        <w:rPr>
          <w:rtl w:val="0"/>
        </w:rPr>
        <w:t xml:space="preserve">Fucoxantina (método propuesto por Seely et al. (1972))</w:t>
      </w:r>
    </w:p>
    <w:p w:rsidR="00000000" w:rsidDel="00000000" w:rsidP="00000000" w:rsidRDefault="00000000" w:rsidRPr="00000000" w14:paraId="0000003D">
      <w:pPr>
        <w:numPr>
          <w:ilvl w:val="0"/>
          <w:numId w:val="1"/>
        </w:numPr>
        <w:spacing w:after="40" w:line="360" w:lineRule="auto"/>
        <w:ind w:left="720" w:right="51" w:hanging="360"/>
        <w:contextualSpacing w:val="0"/>
        <w:jc w:val="both"/>
        <w:rPr/>
      </w:pPr>
      <w:r w:rsidDel="00000000" w:rsidR="00000000" w:rsidRPr="00000000">
        <w:rPr>
          <w:rtl w:val="0"/>
        </w:rPr>
        <w:t xml:space="preserve">Contenido de minerales (Estos análisis se realizarán en el laboratorio de luces de la Universidad de La Habana).</w:t>
      </w:r>
    </w:p>
    <w:p w:rsidR="00000000" w:rsidDel="00000000" w:rsidP="00000000" w:rsidRDefault="00000000" w:rsidRPr="00000000" w14:paraId="0000003E">
      <w:pPr>
        <w:spacing w:line="324" w:lineRule="auto"/>
        <w:contextualSpacing w:val="0"/>
        <w:jc w:val="both"/>
        <w:rPr>
          <w:u w:val="single"/>
        </w:rPr>
      </w:pPr>
      <w:r w:rsidDel="00000000" w:rsidR="00000000" w:rsidRPr="00000000">
        <w:rPr>
          <w:u w:val="single"/>
          <w:rtl w:val="0"/>
        </w:rPr>
        <w:t xml:space="preserve">Caracterización química de los extractos de Spirulina</w:t>
      </w:r>
    </w:p>
    <w:p w:rsidR="00000000" w:rsidDel="00000000" w:rsidP="00000000" w:rsidRDefault="00000000" w:rsidRPr="00000000" w14:paraId="0000003F">
      <w:pPr>
        <w:spacing w:line="360" w:lineRule="auto"/>
        <w:contextualSpacing w:val="0"/>
        <w:jc w:val="both"/>
        <w:rPr>
          <w:b w:val="1"/>
        </w:rPr>
      </w:pPr>
      <w:r w:rsidDel="00000000" w:rsidR="00000000" w:rsidRPr="00000000">
        <w:rPr>
          <w:rtl w:val="0"/>
        </w:rPr>
        <w:t xml:space="preserve">La caracterización química de los extractos fue realizada mediante métodos de análisis bioquímicos con determinaciones espectrofotométricas de proteínas, flavonoides y fenoles a partir de la representación de la curva patrón correspondiente a cada técnica con la medición de cuatro repeticiones de absorbancias de cada patrón. Fueron obtenidas tres curvas de calibración, donde se graficaron los valores de absorbancia de cada patrón en función de la concentración.</w:t>
      </w:r>
      <w:r w:rsidDel="00000000" w:rsidR="00000000" w:rsidRPr="00000000">
        <w:rPr>
          <w:b w:val="1"/>
          <w:rtl w:val="0"/>
        </w:rPr>
        <w:t xml:space="preserve"> </w:t>
      </w:r>
      <w:r w:rsidDel="00000000" w:rsidR="00000000" w:rsidRPr="00000000">
        <w:rPr>
          <w:rtl w:val="0"/>
        </w:rPr>
        <w:t xml:space="preserve">La cuantificación de proteínas de los extractos fue realizada mediante el método de Micro-Lowry</w:t>
      </w:r>
      <w:r w:rsidDel="00000000" w:rsidR="00000000" w:rsidRPr="00000000">
        <w:rPr>
          <w:vertAlign w:val="superscript"/>
          <w:rtl w:val="0"/>
        </w:rPr>
        <w:t xml:space="preserve"> </w:t>
      </w:r>
      <w:r w:rsidDel="00000000" w:rsidR="00000000" w:rsidRPr="00000000">
        <w:rPr>
          <w:rtl w:val="0"/>
        </w:rPr>
        <w:t xml:space="preserve">(Waterborg, 2009), el contenido de fenoles según el método de Folin-Ciocalteau (Singlenton and Rossi, 1965) y los flavonoides se determinaron utilizando un método espectrofotométrico (Quettier </w:t>
      </w:r>
      <w:r w:rsidDel="00000000" w:rsidR="00000000" w:rsidRPr="00000000">
        <w:rPr>
          <w:i w:val="1"/>
          <w:rtl w:val="0"/>
        </w:rPr>
        <w:t xml:space="preserve">et al.</w:t>
      </w:r>
      <w:r w:rsidDel="00000000" w:rsidR="00000000" w:rsidRPr="00000000">
        <w:rPr>
          <w:rtl w:val="0"/>
        </w:rPr>
        <w:t xml:space="preserve">, 2000). </w:t>
      </w:r>
      <w:r w:rsidDel="00000000" w:rsidR="00000000" w:rsidRPr="00000000">
        <w:rPr>
          <w:rtl w:val="0"/>
        </w:rPr>
      </w:r>
    </w:p>
    <w:p w:rsidR="00000000" w:rsidDel="00000000" w:rsidP="00000000" w:rsidRDefault="00000000" w:rsidRPr="00000000" w14:paraId="00000040">
      <w:pPr>
        <w:spacing w:line="360" w:lineRule="auto"/>
        <w:contextualSpacing w:val="0"/>
        <w:jc w:val="both"/>
        <w:rPr/>
      </w:pPr>
      <w:r w:rsidDel="00000000" w:rsidR="00000000" w:rsidRPr="00000000">
        <w:rPr>
          <w:rtl w:val="0"/>
        </w:rPr>
      </w:r>
    </w:p>
    <w:p w:rsidR="00000000" w:rsidDel="00000000" w:rsidP="00000000" w:rsidRDefault="00000000" w:rsidRPr="00000000" w14:paraId="00000041">
      <w:pPr>
        <w:keepNext w:val="0"/>
        <w:keepLines w:val="0"/>
        <w:widowControl w:val="1"/>
        <w:pBdr>
          <w:top w:space="0" w:sz="0" w:val="nil"/>
          <w:left w:space="0" w:sz="0" w:val="nil"/>
          <w:bottom w:space="0" w:sz="0" w:val="nil"/>
          <w:right w:space="0" w:sz="0" w:val="nil"/>
          <w:between w:space="0" w:sz="0" w:val="nil"/>
        </w:pBdr>
        <w:shd w:fill="auto" w:val="clear"/>
        <w:spacing w:after="240" w:before="0" w:line="360" w:lineRule="auto"/>
        <w:ind w:left="0" w:right="0" w:firstLine="0"/>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bookmarkStart w:colFirst="0" w:colLast="0" w:name="_gjdgxs" w:id="0"/>
      <w:bookmarkEnd w:id="0"/>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Objetivo 3 -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Evaluar la actividad biológica de los extractos obtenidos mediante ensayos de germinación de semillas de tomate.</w:t>
      </w:r>
    </w:p>
    <w:p w:rsidR="00000000" w:rsidDel="00000000" w:rsidP="00000000" w:rsidRDefault="00000000" w:rsidRPr="00000000" w14:paraId="00000042">
      <w:pPr>
        <w:spacing w:line="360" w:lineRule="auto"/>
        <w:contextualSpacing w:val="0"/>
        <w:jc w:val="both"/>
        <w:rPr/>
      </w:pPr>
      <w:r w:rsidDel="00000000" w:rsidR="00000000" w:rsidRPr="00000000">
        <w:rPr>
          <w:rtl w:val="0"/>
        </w:rPr>
        <w:t xml:space="preserve">Para evaluar la actividad biológica se realizarán dos experimentos, uno en el que semillas de tomate cv. Elbita serán embebidas durante dos horas, con diferentes concentraciones de los extractos de Sargazo (0, 1, 2, 5 y 10 %) y otro donde las semillas serán embebidas igualmente dos horas en varias concentraciones del extracto de Spirulina (0, 1, 5 y 10 mg L</w:t>
      </w:r>
      <w:r w:rsidDel="00000000" w:rsidR="00000000" w:rsidRPr="00000000">
        <w:rPr>
          <w:vertAlign w:val="superscript"/>
          <w:rtl w:val="0"/>
        </w:rPr>
        <w:t xml:space="preserve">-1</w:t>
      </w:r>
      <w:r w:rsidDel="00000000" w:rsidR="00000000" w:rsidRPr="00000000">
        <w:rPr>
          <w:rtl w:val="0"/>
        </w:rPr>
        <w:t xml:space="preserve">). Para la germinación, las semillas se colocarán en placas Petri (20 semillas por placa y cuatro placas por tratamiento), a las cuales se les adicionará 15 mL de agua destilada. </w:t>
      </w:r>
    </w:p>
    <w:p w:rsidR="00000000" w:rsidDel="00000000" w:rsidP="00000000" w:rsidRDefault="00000000" w:rsidRPr="00000000" w14:paraId="00000043">
      <w:pPr>
        <w:spacing w:line="360" w:lineRule="auto"/>
        <w:contextualSpacing w:val="0"/>
        <w:jc w:val="both"/>
        <w:rPr/>
      </w:pPr>
      <w:r w:rsidDel="00000000" w:rsidR="00000000" w:rsidRPr="00000000">
        <w:rPr>
          <w:rtl w:val="0"/>
        </w:rPr>
        <w:t xml:space="preserve">Las placas se colocarán en la cámara de germinación a 28 °C por diez días, evaluándose la dinámica de germinación y a los diez días se tomarán las muestras para determinar la masa seca de las radículas (50 radículas por tratamiento). Con los datos obtenidos se calcularán algunos índices de germinación (velocidad de germinación y tiempo medio de germinación), así como, el índice de vigor de las plántulas. </w:t>
      </w:r>
    </w:p>
    <w:p w:rsidR="00000000" w:rsidDel="00000000" w:rsidP="00000000" w:rsidRDefault="00000000" w:rsidRPr="00000000" w14:paraId="00000044">
      <w:pPr>
        <w:spacing w:line="360" w:lineRule="auto"/>
        <w:contextualSpacing w:val="0"/>
        <w:jc w:val="both"/>
        <w:rPr/>
      </w:pPr>
      <w:r w:rsidDel="00000000" w:rsidR="00000000" w:rsidRPr="00000000">
        <w:rPr>
          <w:rtl w:val="0"/>
        </w:rPr>
        <w:t xml:space="preserve">Para el procesamiento de los datos, se calcularán las medias, las desviaciones estándar y los intervalos de confianza a α=0,05, mediante el programa estadístico Excel.</w:t>
      </w:r>
    </w:p>
    <w:p w:rsidR="00000000" w:rsidDel="00000000" w:rsidP="00000000" w:rsidRDefault="00000000" w:rsidRPr="00000000" w14:paraId="00000045">
      <w:pPr>
        <w:spacing w:line="360" w:lineRule="auto"/>
        <w:contextualSpacing w:val="0"/>
        <w:jc w:val="both"/>
        <w:rPr/>
      </w:pPr>
      <w:r w:rsidDel="00000000" w:rsidR="00000000" w:rsidRPr="00000000">
        <w:rPr>
          <w:rtl w:val="0"/>
        </w:rPr>
      </w:r>
    </w:p>
    <w:p w:rsidR="00000000" w:rsidDel="00000000" w:rsidP="00000000" w:rsidRDefault="00000000" w:rsidRPr="00000000" w14:paraId="00000046">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Objetivo 4 -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Determinar el efecto de las aplicaciones de los extractos de Sargazo y Spirulina  sobre el crecimiento y la nutrición de posturas de tomate cultivadas en cepellones.</w:t>
      </w:r>
    </w:p>
    <w:p w:rsidR="00000000" w:rsidDel="00000000" w:rsidP="00000000" w:rsidRDefault="00000000" w:rsidRPr="00000000" w14:paraId="00000047">
      <w:pPr>
        <w:spacing w:before="240" w:line="324" w:lineRule="auto"/>
        <w:contextualSpacing w:val="0"/>
        <w:jc w:val="both"/>
        <w:rPr/>
      </w:pPr>
      <w:r w:rsidDel="00000000" w:rsidR="00000000" w:rsidRPr="00000000">
        <w:rPr>
          <w:rtl w:val="0"/>
        </w:rPr>
        <w:t xml:space="preserve">Se seleccionarán los extractos más promisorios y se pondrán a embeber semillas de tomate cv. Elbita, durante dos horas, en las diferentes concentraciones de los extractos y se pondrán a germinar en la cámara de germinación. A las 72 h las semillas pregerminadas de los distintos tratamientos se colocarán en cepellones con un sustrato compuesto por suelo Ferralítico Rojo Lixiviado típico eútrico (Hernández </w:t>
      </w:r>
      <w:r w:rsidDel="00000000" w:rsidR="00000000" w:rsidRPr="00000000">
        <w:rPr>
          <w:i w:val="1"/>
          <w:rtl w:val="0"/>
        </w:rPr>
        <w:t xml:space="preserve">et al.</w:t>
      </w:r>
      <w:r w:rsidDel="00000000" w:rsidR="00000000" w:rsidRPr="00000000">
        <w:rPr>
          <w:rtl w:val="0"/>
        </w:rPr>
        <w:t xml:space="preserve">, 2015) y estiércol vacuno en proporción 1:1. Las plantas se cultivarán en umbráculo en condiciones semi-controladas. Se realizará una aspersión foliar con las concentraciones correspondientes a cada tratamiento a los 15 días. A los 30 días de sembradas las plantas de tomate se evaluarán las variables morfo-agronómicas a cada planta:</w:t>
      </w:r>
    </w:p>
    <w:p w:rsidR="00000000" w:rsidDel="00000000" w:rsidP="00000000" w:rsidRDefault="00000000" w:rsidRPr="00000000" w14:paraId="00000048">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contextualSpacing w:val="1"/>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Longitud promedio del tallo (cm): Con una regla graduada, determinándola desde el cuello de la base del tallo hasta la yema terminal. (Se realizará cada 7 días)</w:t>
      </w:r>
    </w:p>
    <w:p w:rsidR="00000000" w:rsidDel="00000000" w:rsidP="00000000" w:rsidRDefault="00000000" w:rsidRPr="00000000" w14:paraId="00000049">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contextualSpacing w:val="1"/>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Diámetro del tallo (cm): El diámetro del tallo se determinará con un Pie de Rey. (Se realizará cada 7 días)</w:t>
      </w:r>
    </w:p>
    <w:p w:rsidR="00000000" w:rsidDel="00000000" w:rsidP="00000000" w:rsidRDefault="00000000" w:rsidRPr="00000000" w14:paraId="0000004A">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contextualSpacing w:val="1"/>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Número de hojas por planta: Se contarán las hojas al momento de la evaluación (Se realizará cada 7 días)</w:t>
      </w:r>
    </w:p>
    <w:p w:rsidR="00000000" w:rsidDel="00000000" w:rsidP="00000000" w:rsidRDefault="00000000" w:rsidRPr="00000000" w14:paraId="0000004B">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contextualSpacing w:val="1"/>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Longitud radical (cm): Con una regla graduada, determinándola desde la yema terminal hasta la punta de la raíz. (Se realizará al final del experimento)</w:t>
      </w:r>
    </w:p>
    <w:p w:rsidR="00000000" w:rsidDel="00000000" w:rsidP="00000000" w:rsidRDefault="00000000" w:rsidRPr="00000000" w14:paraId="0000004C">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contextualSpacing w:val="1"/>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Biomasa seca de la parte aérea y raíces (g planta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tl w:val="0"/>
        </w:rPr>
        <w:t xml:space="preserve">-1</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Para determinar la biomasa seca de cada parte de la planta (aérea y raíz), se secarán en la estufa a temperatura de 70 °C durante 72 horas y se pesarán en una balanza analítica, hasta llegar a masa seca constante.</w:t>
      </w:r>
    </w:p>
    <w:p w:rsidR="00000000" w:rsidDel="00000000" w:rsidP="00000000" w:rsidRDefault="00000000" w:rsidRPr="00000000" w14:paraId="0000004D">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contextualSpacing w:val="1"/>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Contenido de nutrientes de la parte aérea: Se determinará el contenido de N, P, K, Ca, Mg y de algunos micronutrientes.</w:t>
      </w:r>
    </w:p>
    <w:p w:rsidR="00000000" w:rsidDel="00000000" w:rsidP="00000000" w:rsidRDefault="00000000" w:rsidRPr="00000000" w14:paraId="0000004E">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contextualSpacing w:val="1"/>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Contenido de proteínas, carbohidratos solubles totales de la parte aérea y los pigmentos en las hojas: Al final del experimento se tomarán tres muestras de 0,25 g por tratamiento para la realización de estas determinaciones.</w:t>
      </w:r>
    </w:p>
    <w:p w:rsidR="00000000" w:rsidDel="00000000" w:rsidP="00000000" w:rsidRDefault="00000000" w:rsidRPr="00000000" w14:paraId="0000004F">
      <w:pPr>
        <w:spacing w:after="240" w:before="240" w:line="324" w:lineRule="auto"/>
        <w:contextualSpacing w:val="0"/>
        <w:jc w:val="both"/>
        <w:rPr>
          <w:b w:val="1"/>
          <w:u w:val="single"/>
        </w:rPr>
      </w:pPr>
      <w:r w:rsidDel="00000000" w:rsidR="00000000" w:rsidRPr="00000000">
        <w:rPr>
          <w:b w:val="1"/>
          <w:u w:val="single"/>
          <w:rtl w:val="0"/>
        </w:rPr>
        <w:t xml:space="preserve">Cronograma de actividades</w:t>
      </w:r>
    </w:p>
    <w:p w:rsidR="00000000" w:rsidDel="00000000" w:rsidP="00000000" w:rsidRDefault="00000000" w:rsidRPr="00000000" w14:paraId="00000050">
      <w:pPr>
        <w:keepNext w:val="1"/>
        <w:keepLines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Tabla 1. Cronograma de actividades para proyecto de tesis de maestría</w:t>
      </w:r>
    </w:p>
    <w:tbl>
      <w:tblPr>
        <w:tblStyle w:val="Table1"/>
        <w:tblW w:w="9620.000000000002"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361"/>
        <w:gridCol w:w="876"/>
        <w:gridCol w:w="877"/>
        <w:gridCol w:w="876"/>
        <w:gridCol w:w="877"/>
        <w:gridCol w:w="876"/>
        <w:gridCol w:w="877"/>
        <w:tblGridChange w:id="0">
          <w:tblGrid>
            <w:gridCol w:w="4361"/>
            <w:gridCol w:w="876"/>
            <w:gridCol w:w="877"/>
            <w:gridCol w:w="876"/>
            <w:gridCol w:w="877"/>
            <w:gridCol w:w="876"/>
            <w:gridCol w:w="877"/>
          </w:tblGrid>
        </w:tblGridChange>
      </w:tblGrid>
      <w:tr>
        <w:trPr>
          <w:trHeight w:val="280" w:hRule="atLeast"/>
        </w:trPr>
        <w:tc>
          <w:tcPr>
            <w:vMerge w:val="restart"/>
          </w:tcPr>
          <w:p w:rsidR="00000000" w:rsidDel="00000000" w:rsidP="00000000" w:rsidRDefault="00000000" w:rsidRPr="00000000" w14:paraId="00000051">
            <w:pPr>
              <w:contextualSpacing w:val="0"/>
              <w:jc w:val="center"/>
              <w:rPr>
                <w:b w:val="1"/>
              </w:rPr>
            </w:pPr>
            <w:r w:rsidDel="00000000" w:rsidR="00000000" w:rsidRPr="00000000">
              <w:rPr>
                <w:rtl w:val="0"/>
              </w:rPr>
            </w:r>
          </w:p>
          <w:p w:rsidR="00000000" w:rsidDel="00000000" w:rsidP="00000000" w:rsidRDefault="00000000" w:rsidRPr="00000000" w14:paraId="00000052">
            <w:pPr>
              <w:contextualSpacing w:val="0"/>
              <w:jc w:val="center"/>
              <w:rPr/>
            </w:pPr>
            <w:r w:rsidDel="00000000" w:rsidR="00000000" w:rsidRPr="00000000">
              <w:rPr>
                <w:b w:val="1"/>
                <w:rtl w:val="0"/>
              </w:rPr>
              <w:t xml:space="preserve">Tareas</w:t>
            </w:r>
            <w:r w:rsidDel="00000000" w:rsidR="00000000" w:rsidRPr="00000000">
              <w:rPr>
                <w:rtl w:val="0"/>
              </w:rPr>
            </w:r>
          </w:p>
        </w:tc>
        <w:tc>
          <w:tcPr>
            <w:gridSpan w:val="2"/>
          </w:tcPr>
          <w:p w:rsidR="00000000" w:rsidDel="00000000" w:rsidP="00000000" w:rsidRDefault="00000000" w:rsidRPr="00000000" w14:paraId="00000053">
            <w:pPr>
              <w:contextualSpacing w:val="0"/>
              <w:jc w:val="center"/>
              <w:rPr/>
            </w:pPr>
            <w:r w:rsidDel="00000000" w:rsidR="00000000" w:rsidRPr="00000000">
              <w:rPr>
                <w:b w:val="1"/>
                <w:rtl w:val="0"/>
              </w:rPr>
              <w:t xml:space="preserve">2024</w:t>
            </w:r>
            <w:r w:rsidDel="00000000" w:rsidR="00000000" w:rsidRPr="00000000">
              <w:rPr>
                <w:rtl w:val="0"/>
              </w:rPr>
            </w:r>
          </w:p>
        </w:tc>
        <w:tc>
          <w:tcPr>
            <w:gridSpan w:val="2"/>
          </w:tcPr>
          <w:p w:rsidR="00000000" w:rsidDel="00000000" w:rsidP="00000000" w:rsidRDefault="00000000" w:rsidRPr="00000000" w14:paraId="00000055">
            <w:pPr>
              <w:contextualSpacing w:val="0"/>
              <w:jc w:val="center"/>
              <w:rPr/>
            </w:pPr>
            <w:r w:rsidDel="00000000" w:rsidR="00000000" w:rsidRPr="00000000">
              <w:rPr>
                <w:b w:val="1"/>
                <w:rtl w:val="0"/>
              </w:rPr>
              <w:t xml:space="preserve">2025</w:t>
            </w:r>
            <w:r w:rsidDel="00000000" w:rsidR="00000000" w:rsidRPr="00000000">
              <w:rPr>
                <w:rtl w:val="0"/>
              </w:rPr>
            </w:r>
          </w:p>
        </w:tc>
        <w:tc>
          <w:tcPr>
            <w:gridSpan w:val="2"/>
          </w:tcPr>
          <w:p w:rsidR="00000000" w:rsidDel="00000000" w:rsidP="00000000" w:rsidRDefault="00000000" w:rsidRPr="00000000" w14:paraId="00000057">
            <w:pPr>
              <w:contextualSpacing w:val="0"/>
              <w:jc w:val="center"/>
              <w:rPr/>
            </w:pPr>
            <w:r w:rsidDel="00000000" w:rsidR="00000000" w:rsidRPr="00000000">
              <w:rPr>
                <w:b w:val="1"/>
                <w:rtl w:val="0"/>
              </w:rPr>
              <w:t xml:space="preserve">2026</w:t>
            </w:r>
            <w:r w:rsidDel="00000000" w:rsidR="00000000" w:rsidRPr="00000000">
              <w:rPr>
                <w:rtl w:val="0"/>
              </w:rPr>
            </w:r>
          </w:p>
        </w:tc>
      </w:tr>
      <w:tr>
        <w:trPr>
          <w:trHeight w:val="280" w:hRule="atLeast"/>
        </w:trPr>
        <w:tc>
          <w:tcPr>
            <w:vMerge w:val="continue"/>
          </w:tcPr>
          <w:p w:rsidR="00000000" w:rsidDel="00000000" w:rsidP="00000000" w:rsidRDefault="00000000" w:rsidRPr="00000000" w14:paraId="00000059">
            <w:pPr>
              <w:contextualSpacing w:val="0"/>
              <w:rPr/>
            </w:pPr>
            <w:r w:rsidDel="00000000" w:rsidR="00000000" w:rsidRPr="00000000">
              <w:rPr>
                <w:rtl w:val="0"/>
              </w:rPr>
            </w:r>
          </w:p>
        </w:tc>
        <w:tc>
          <w:tcPr/>
          <w:p w:rsidR="00000000" w:rsidDel="00000000" w:rsidP="00000000" w:rsidRDefault="00000000" w:rsidRPr="00000000" w14:paraId="0000005A">
            <w:pPr>
              <w:contextualSpacing w:val="0"/>
              <w:jc w:val="center"/>
              <w:rPr/>
            </w:pPr>
            <w:r w:rsidDel="00000000" w:rsidR="00000000" w:rsidRPr="00000000">
              <w:rPr>
                <w:rtl w:val="0"/>
              </w:rPr>
              <w:t xml:space="preserve">1</w:t>
            </w:r>
            <w:r w:rsidDel="00000000" w:rsidR="00000000" w:rsidRPr="00000000">
              <w:rPr>
                <w:vertAlign w:val="superscript"/>
                <w:rtl w:val="0"/>
              </w:rPr>
              <w:t xml:space="preserve">er </w:t>
            </w:r>
            <w:r w:rsidDel="00000000" w:rsidR="00000000" w:rsidRPr="00000000">
              <w:rPr>
                <w:rtl w:val="0"/>
              </w:rPr>
              <w:t xml:space="preserve">Sem.</w:t>
            </w:r>
          </w:p>
        </w:tc>
        <w:tc>
          <w:tcPr/>
          <w:p w:rsidR="00000000" w:rsidDel="00000000" w:rsidP="00000000" w:rsidRDefault="00000000" w:rsidRPr="00000000" w14:paraId="0000005B">
            <w:pPr>
              <w:contextualSpacing w:val="0"/>
              <w:jc w:val="center"/>
              <w:rPr/>
            </w:pPr>
            <w:r w:rsidDel="00000000" w:rsidR="00000000" w:rsidRPr="00000000">
              <w:rPr>
                <w:rtl w:val="0"/>
              </w:rPr>
              <w:t xml:space="preserve">2</w:t>
            </w:r>
            <w:r w:rsidDel="00000000" w:rsidR="00000000" w:rsidRPr="00000000">
              <w:rPr>
                <w:vertAlign w:val="superscript"/>
                <w:rtl w:val="0"/>
              </w:rPr>
              <w:t xml:space="preserve">do </w:t>
            </w:r>
            <w:r w:rsidDel="00000000" w:rsidR="00000000" w:rsidRPr="00000000">
              <w:rPr>
                <w:rtl w:val="0"/>
              </w:rPr>
              <w:t xml:space="preserve">Sem.</w:t>
            </w:r>
          </w:p>
        </w:tc>
        <w:tc>
          <w:tcPr/>
          <w:p w:rsidR="00000000" w:rsidDel="00000000" w:rsidP="00000000" w:rsidRDefault="00000000" w:rsidRPr="00000000" w14:paraId="0000005C">
            <w:pPr>
              <w:contextualSpacing w:val="0"/>
              <w:jc w:val="center"/>
              <w:rPr/>
            </w:pPr>
            <w:r w:rsidDel="00000000" w:rsidR="00000000" w:rsidRPr="00000000">
              <w:rPr>
                <w:rtl w:val="0"/>
              </w:rPr>
              <w:t xml:space="preserve">1</w:t>
            </w:r>
            <w:r w:rsidDel="00000000" w:rsidR="00000000" w:rsidRPr="00000000">
              <w:rPr>
                <w:vertAlign w:val="superscript"/>
                <w:rtl w:val="0"/>
              </w:rPr>
              <w:t xml:space="preserve">er </w:t>
            </w:r>
            <w:r w:rsidDel="00000000" w:rsidR="00000000" w:rsidRPr="00000000">
              <w:rPr>
                <w:rtl w:val="0"/>
              </w:rPr>
              <w:t xml:space="preserve">Sem.</w:t>
            </w:r>
          </w:p>
        </w:tc>
        <w:tc>
          <w:tcPr/>
          <w:p w:rsidR="00000000" w:rsidDel="00000000" w:rsidP="00000000" w:rsidRDefault="00000000" w:rsidRPr="00000000" w14:paraId="0000005D">
            <w:pPr>
              <w:contextualSpacing w:val="0"/>
              <w:jc w:val="center"/>
              <w:rPr/>
            </w:pPr>
            <w:r w:rsidDel="00000000" w:rsidR="00000000" w:rsidRPr="00000000">
              <w:rPr>
                <w:rtl w:val="0"/>
              </w:rPr>
              <w:t xml:space="preserve">2</w:t>
            </w:r>
            <w:r w:rsidDel="00000000" w:rsidR="00000000" w:rsidRPr="00000000">
              <w:rPr>
                <w:vertAlign w:val="superscript"/>
                <w:rtl w:val="0"/>
              </w:rPr>
              <w:t xml:space="preserve">do </w:t>
            </w:r>
            <w:r w:rsidDel="00000000" w:rsidR="00000000" w:rsidRPr="00000000">
              <w:rPr>
                <w:rtl w:val="0"/>
              </w:rPr>
              <w:t xml:space="preserve">Sem.</w:t>
            </w:r>
          </w:p>
        </w:tc>
        <w:tc>
          <w:tcPr/>
          <w:p w:rsidR="00000000" w:rsidDel="00000000" w:rsidP="00000000" w:rsidRDefault="00000000" w:rsidRPr="00000000" w14:paraId="0000005E">
            <w:pPr>
              <w:contextualSpacing w:val="0"/>
              <w:jc w:val="center"/>
              <w:rPr/>
            </w:pPr>
            <w:r w:rsidDel="00000000" w:rsidR="00000000" w:rsidRPr="00000000">
              <w:rPr>
                <w:rtl w:val="0"/>
              </w:rPr>
              <w:t xml:space="preserve">1</w:t>
            </w:r>
            <w:r w:rsidDel="00000000" w:rsidR="00000000" w:rsidRPr="00000000">
              <w:rPr>
                <w:vertAlign w:val="superscript"/>
                <w:rtl w:val="0"/>
              </w:rPr>
              <w:t xml:space="preserve">er </w:t>
            </w:r>
            <w:r w:rsidDel="00000000" w:rsidR="00000000" w:rsidRPr="00000000">
              <w:rPr>
                <w:rtl w:val="0"/>
              </w:rPr>
              <w:t xml:space="preserve">Sem.</w:t>
            </w:r>
          </w:p>
        </w:tc>
        <w:tc>
          <w:tcPr/>
          <w:p w:rsidR="00000000" w:rsidDel="00000000" w:rsidP="00000000" w:rsidRDefault="00000000" w:rsidRPr="00000000" w14:paraId="0000005F">
            <w:pPr>
              <w:contextualSpacing w:val="0"/>
              <w:jc w:val="center"/>
              <w:rPr/>
            </w:pPr>
            <w:r w:rsidDel="00000000" w:rsidR="00000000" w:rsidRPr="00000000">
              <w:rPr>
                <w:rtl w:val="0"/>
              </w:rPr>
              <w:t xml:space="preserve">2</w:t>
            </w:r>
            <w:r w:rsidDel="00000000" w:rsidR="00000000" w:rsidRPr="00000000">
              <w:rPr>
                <w:vertAlign w:val="superscript"/>
                <w:rtl w:val="0"/>
              </w:rPr>
              <w:t xml:space="preserve">do </w:t>
            </w:r>
            <w:r w:rsidDel="00000000" w:rsidR="00000000" w:rsidRPr="00000000">
              <w:rPr>
                <w:rtl w:val="0"/>
              </w:rPr>
              <w:t xml:space="preserve">Sem.</w:t>
            </w:r>
          </w:p>
        </w:tc>
      </w:tr>
      <w:tr>
        <w:trPr>
          <w:trHeight w:val="360" w:hRule="atLeast"/>
        </w:trPr>
        <w:tc>
          <w:tcPr/>
          <w:p w:rsidR="00000000" w:rsidDel="00000000" w:rsidP="00000000" w:rsidRDefault="00000000" w:rsidRPr="00000000" w14:paraId="00000060">
            <w:pPr>
              <w:contextualSpacing w:val="0"/>
              <w:rPr/>
            </w:pPr>
            <w:r w:rsidDel="00000000" w:rsidR="00000000" w:rsidRPr="00000000">
              <w:rPr>
                <w:rtl w:val="0"/>
              </w:rPr>
              <w:t xml:space="preserve">Ingreso</w:t>
            </w:r>
          </w:p>
        </w:tc>
        <w:tc>
          <w:tcPr/>
          <w:p w:rsidR="00000000" w:rsidDel="00000000" w:rsidP="00000000" w:rsidRDefault="00000000" w:rsidRPr="00000000" w14:paraId="00000061">
            <w:pPr>
              <w:contextualSpacing w:val="0"/>
              <w:jc w:val="center"/>
              <w:rPr/>
            </w:pPr>
            <w:r w:rsidDel="00000000" w:rsidR="00000000" w:rsidRPr="00000000">
              <w:rPr>
                <w:rtl w:val="0"/>
              </w:rPr>
            </w:r>
          </w:p>
        </w:tc>
        <w:tc>
          <w:tcPr/>
          <w:p w:rsidR="00000000" w:rsidDel="00000000" w:rsidP="00000000" w:rsidRDefault="00000000" w:rsidRPr="00000000" w14:paraId="00000062">
            <w:pPr>
              <w:contextualSpacing w:val="0"/>
              <w:jc w:val="center"/>
              <w:rPr/>
            </w:pPr>
            <w:r w:rsidDel="00000000" w:rsidR="00000000" w:rsidRPr="00000000">
              <w:rPr>
                <w:rtl w:val="0"/>
              </w:rPr>
              <w:t xml:space="preserve">X</w:t>
            </w:r>
          </w:p>
        </w:tc>
        <w:tc>
          <w:tcPr/>
          <w:p w:rsidR="00000000" w:rsidDel="00000000" w:rsidP="00000000" w:rsidRDefault="00000000" w:rsidRPr="00000000" w14:paraId="00000063">
            <w:pPr>
              <w:contextualSpacing w:val="0"/>
              <w:jc w:val="center"/>
              <w:rPr/>
            </w:pPr>
            <w:r w:rsidDel="00000000" w:rsidR="00000000" w:rsidRPr="00000000">
              <w:rPr>
                <w:rtl w:val="0"/>
              </w:rPr>
            </w:r>
          </w:p>
        </w:tc>
        <w:tc>
          <w:tcPr/>
          <w:p w:rsidR="00000000" w:rsidDel="00000000" w:rsidP="00000000" w:rsidRDefault="00000000" w:rsidRPr="00000000" w14:paraId="00000064">
            <w:pPr>
              <w:contextualSpacing w:val="0"/>
              <w:jc w:val="center"/>
              <w:rPr/>
            </w:pPr>
            <w:r w:rsidDel="00000000" w:rsidR="00000000" w:rsidRPr="00000000">
              <w:rPr>
                <w:rtl w:val="0"/>
              </w:rPr>
            </w:r>
          </w:p>
        </w:tc>
        <w:tc>
          <w:tcPr/>
          <w:p w:rsidR="00000000" w:rsidDel="00000000" w:rsidP="00000000" w:rsidRDefault="00000000" w:rsidRPr="00000000" w14:paraId="00000065">
            <w:pPr>
              <w:contextualSpacing w:val="0"/>
              <w:jc w:val="center"/>
              <w:rPr/>
            </w:pPr>
            <w:r w:rsidDel="00000000" w:rsidR="00000000" w:rsidRPr="00000000">
              <w:rPr>
                <w:rtl w:val="0"/>
              </w:rPr>
            </w:r>
          </w:p>
        </w:tc>
        <w:tc>
          <w:tcPr/>
          <w:p w:rsidR="00000000" w:rsidDel="00000000" w:rsidP="00000000" w:rsidRDefault="00000000" w:rsidRPr="00000000" w14:paraId="00000066">
            <w:pPr>
              <w:contextualSpacing w:val="0"/>
              <w:jc w:val="center"/>
              <w:rPr/>
            </w:pPr>
            <w:r w:rsidDel="00000000" w:rsidR="00000000" w:rsidRPr="00000000">
              <w:rPr>
                <w:rtl w:val="0"/>
              </w:rPr>
            </w:r>
          </w:p>
        </w:tc>
      </w:tr>
      <w:tr>
        <w:trPr>
          <w:trHeight w:val="360" w:hRule="atLeast"/>
        </w:trPr>
        <w:tc>
          <w:tcPr/>
          <w:p w:rsidR="00000000" w:rsidDel="00000000" w:rsidP="00000000" w:rsidRDefault="00000000" w:rsidRPr="00000000" w14:paraId="00000067">
            <w:pPr>
              <w:contextualSpacing w:val="0"/>
              <w:rPr/>
            </w:pPr>
            <w:r w:rsidDel="00000000" w:rsidR="00000000" w:rsidRPr="00000000">
              <w:rPr>
                <w:rtl w:val="0"/>
              </w:rPr>
              <w:t xml:space="preserve">Cursos de posgrado</w:t>
            </w:r>
          </w:p>
        </w:tc>
        <w:tc>
          <w:tcPr/>
          <w:p w:rsidR="00000000" w:rsidDel="00000000" w:rsidP="00000000" w:rsidRDefault="00000000" w:rsidRPr="00000000" w14:paraId="00000068">
            <w:pPr>
              <w:contextualSpacing w:val="0"/>
              <w:jc w:val="center"/>
              <w:rPr/>
            </w:pPr>
            <w:r w:rsidDel="00000000" w:rsidR="00000000" w:rsidRPr="00000000">
              <w:rPr>
                <w:rtl w:val="0"/>
              </w:rPr>
            </w:r>
          </w:p>
        </w:tc>
        <w:tc>
          <w:tcPr/>
          <w:p w:rsidR="00000000" w:rsidDel="00000000" w:rsidP="00000000" w:rsidRDefault="00000000" w:rsidRPr="00000000" w14:paraId="00000069">
            <w:pPr>
              <w:contextualSpacing w:val="0"/>
              <w:jc w:val="center"/>
              <w:rPr/>
            </w:pPr>
            <w:r w:rsidDel="00000000" w:rsidR="00000000" w:rsidRPr="00000000">
              <w:rPr>
                <w:rtl w:val="0"/>
              </w:rPr>
              <w:t xml:space="preserve">X</w:t>
            </w:r>
          </w:p>
        </w:tc>
        <w:tc>
          <w:tcPr/>
          <w:p w:rsidR="00000000" w:rsidDel="00000000" w:rsidP="00000000" w:rsidRDefault="00000000" w:rsidRPr="00000000" w14:paraId="0000006A">
            <w:pPr>
              <w:contextualSpacing w:val="0"/>
              <w:jc w:val="center"/>
              <w:rPr/>
            </w:pPr>
            <w:r w:rsidDel="00000000" w:rsidR="00000000" w:rsidRPr="00000000">
              <w:rPr>
                <w:rtl w:val="0"/>
              </w:rPr>
              <w:t xml:space="preserve">X</w:t>
            </w:r>
          </w:p>
        </w:tc>
        <w:tc>
          <w:tcPr/>
          <w:p w:rsidR="00000000" w:rsidDel="00000000" w:rsidP="00000000" w:rsidRDefault="00000000" w:rsidRPr="00000000" w14:paraId="0000006B">
            <w:pPr>
              <w:contextualSpacing w:val="0"/>
              <w:jc w:val="center"/>
              <w:rPr/>
            </w:pPr>
            <w:r w:rsidDel="00000000" w:rsidR="00000000" w:rsidRPr="00000000">
              <w:rPr>
                <w:rtl w:val="0"/>
              </w:rPr>
              <w:t xml:space="preserve">X</w:t>
            </w:r>
          </w:p>
        </w:tc>
        <w:tc>
          <w:tcPr/>
          <w:p w:rsidR="00000000" w:rsidDel="00000000" w:rsidP="00000000" w:rsidRDefault="00000000" w:rsidRPr="00000000" w14:paraId="0000006C">
            <w:pPr>
              <w:contextualSpacing w:val="0"/>
              <w:jc w:val="center"/>
              <w:rPr/>
            </w:pPr>
            <w:r w:rsidDel="00000000" w:rsidR="00000000" w:rsidRPr="00000000">
              <w:rPr>
                <w:rtl w:val="0"/>
              </w:rPr>
            </w:r>
          </w:p>
        </w:tc>
        <w:tc>
          <w:tcPr/>
          <w:p w:rsidR="00000000" w:rsidDel="00000000" w:rsidP="00000000" w:rsidRDefault="00000000" w:rsidRPr="00000000" w14:paraId="0000006D">
            <w:pPr>
              <w:contextualSpacing w:val="0"/>
              <w:jc w:val="center"/>
              <w:rPr/>
            </w:pPr>
            <w:r w:rsidDel="00000000" w:rsidR="00000000" w:rsidRPr="00000000">
              <w:rPr>
                <w:rtl w:val="0"/>
              </w:rPr>
            </w:r>
          </w:p>
        </w:tc>
      </w:tr>
      <w:tr>
        <w:trPr>
          <w:trHeight w:val="360" w:hRule="atLeast"/>
        </w:trPr>
        <w:tc>
          <w:tcPr/>
          <w:p w:rsidR="00000000" w:rsidDel="00000000" w:rsidP="00000000" w:rsidRDefault="00000000" w:rsidRPr="00000000" w14:paraId="0000006E">
            <w:pPr>
              <w:contextualSpacing w:val="0"/>
              <w:rPr/>
            </w:pPr>
            <w:r w:rsidDel="00000000" w:rsidR="00000000" w:rsidRPr="00000000">
              <w:rPr>
                <w:rtl w:val="0"/>
              </w:rPr>
              <w:t xml:space="preserve">Objetivo 1</w:t>
            </w:r>
          </w:p>
        </w:tc>
        <w:tc>
          <w:tcPr/>
          <w:p w:rsidR="00000000" w:rsidDel="00000000" w:rsidP="00000000" w:rsidRDefault="00000000" w:rsidRPr="00000000" w14:paraId="0000006F">
            <w:pPr>
              <w:contextualSpacing w:val="0"/>
              <w:jc w:val="center"/>
              <w:rPr/>
            </w:pPr>
            <w:r w:rsidDel="00000000" w:rsidR="00000000" w:rsidRPr="00000000">
              <w:rPr>
                <w:rtl w:val="0"/>
              </w:rPr>
              <w:t xml:space="preserve">X</w:t>
            </w:r>
          </w:p>
        </w:tc>
        <w:tc>
          <w:tcPr/>
          <w:p w:rsidR="00000000" w:rsidDel="00000000" w:rsidP="00000000" w:rsidRDefault="00000000" w:rsidRPr="00000000" w14:paraId="00000070">
            <w:pPr>
              <w:contextualSpacing w:val="0"/>
              <w:jc w:val="center"/>
              <w:rPr/>
            </w:pPr>
            <w:r w:rsidDel="00000000" w:rsidR="00000000" w:rsidRPr="00000000">
              <w:rPr>
                <w:rtl w:val="0"/>
              </w:rPr>
              <w:t xml:space="preserve">X</w:t>
            </w:r>
          </w:p>
        </w:tc>
        <w:tc>
          <w:tcPr/>
          <w:p w:rsidR="00000000" w:rsidDel="00000000" w:rsidP="00000000" w:rsidRDefault="00000000" w:rsidRPr="00000000" w14:paraId="00000071">
            <w:pPr>
              <w:contextualSpacing w:val="0"/>
              <w:jc w:val="center"/>
              <w:rPr/>
            </w:pPr>
            <w:r w:rsidDel="00000000" w:rsidR="00000000" w:rsidRPr="00000000">
              <w:rPr>
                <w:rtl w:val="0"/>
              </w:rPr>
            </w:r>
          </w:p>
        </w:tc>
        <w:tc>
          <w:tcPr/>
          <w:p w:rsidR="00000000" w:rsidDel="00000000" w:rsidP="00000000" w:rsidRDefault="00000000" w:rsidRPr="00000000" w14:paraId="00000072">
            <w:pPr>
              <w:contextualSpacing w:val="0"/>
              <w:jc w:val="center"/>
              <w:rPr/>
            </w:pPr>
            <w:r w:rsidDel="00000000" w:rsidR="00000000" w:rsidRPr="00000000">
              <w:rPr>
                <w:rtl w:val="0"/>
              </w:rPr>
            </w:r>
          </w:p>
        </w:tc>
        <w:tc>
          <w:tcPr/>
          <w:p w:rsidR="00000000" w:rsidDel="00000000" w:rsidP="00000000" w:rsidRDefault="00000000" w:rsidRPr="00000000" w14:paraId="00000073">
            <w:pPr>
              <w:contextualSpacing w:val="0"/>
              <w:jc w:val="center"/>
              <w:rPr/>
            </w:pPr>
            <w:r w:rsidDel="00000000" w:rsidR="00000000" w:rsidRPr="00000000">
              <w:rPr>
                <w:rtl w:val="0"/>
              </w:rPr>
            </w:r>
          </w:p>
        </w:tc>
        <w:tc>
          <w:tcPr/>
          <w:p w:rsidR="00000000" w:rsidDel="00000000" w:rsidP="00000000" w:rsidRDefault="00000000" w:rsidRPr="00000000" w14:paraId="00000074">
            <w:pPr>
              <w:contextualSpacing w:val="0"/>
              <w:jc w:val="center"/>
              <w:rPr/>
            </w:pPr>
            <w:r w:rsidDel="00000000" w:rsidR="00000000" w:rsidRPr="00000000">
              <w:rPr>
                <w:rtl w:val="0"/>
              </w:rPr>
            </w:r>
          </w:p>
        </w:tc>
      </w:tr>
      <w:tr>
        <w:trPr>
          <w:trHeight w:val="360" w:hRule="atLeast"/>
        </w:trPr>
        <w:tc>
          <w:tcPr/>
          <w:p w:rsidR="00000000" w:rsidDel="00000000" w:rsidP="00000000" w:rsidRDefault="00000000" w:rsidRPr="00000000" w14:paraId="00000075">
            <w:pPr>
              <w:contextualSpacing w:val="0"/>
              <w:rPr/>
            </w:pPr>
            <w:r w:rsidDel="00000000" w:rsidR="00000000" w:rsidRPr="00000000">
              <w:rPr>
                <w:rtl w:val="0"/>
              </w:rPr>
              <w:t xml:space="preserve">Objetivo 2</w:t>
            </w:r>
          </w:p>
        </w:tc>
        <w:tc>
          <w:tcPr/>
          <w:p w:rsidR="00000000" w:rsidDel="00000000" w:rsidP="00000000" w:rsidRDefault="00000000" w:rsidRPr="00000000" w14:paraId="00000076">
            <w:pPr>
              <w:contextualSpacing w:val="0"/>
              <w:jc w:val="center"/>
              <w:rPr/>
            </w:pPr>
            <w:r w:rsidDel="00000000" w:rsidR="00000000" w:rsidRPr="00000000">
              <w:rPr>
                <w:rtl w:val="0"/>
              </w:rPr>
              <w:t xml:space="preserve">X</w:t>
            </w:r>
          </w:p>
        </w:tc>
        <w:tc>
          <w:tcPr/>
          <w:p w:rsidR="00000000" w:rsidDel="00000000" w:rsidP="00000000" w:rsidRDefault="00000000" w:rsidRPr="00000000" w14:paraId="00000077">
            <w:pPr>
              <w:contextualSpacing w:val="0"/>
              <w:jc w:val="center"/>
              <w:rPr/>
            </w:pPr>
            <w:r w:rsidDel="00000000" w:rsidR="00000000" w:rsidRPr="00000000">
              <w:rPr>
                <w:rtl w:val="0"/>
              </w:rPr>
              <w:t xml:space="preserve">X</w:t>
            </w:r>
          </w:p>
        </w:tc>
        <w:tc>
          <w:tcPr/>
          <w:p w:rsidR="00000000" w:rsidDel="00000000" w:rsidP="00000000" w:rsidRDefault="00000000" w:rsidRPr="00000000" w14:paraId="00000078">
            <w:pPr>
              <w:contextualSpacing w:val="0"/>
              <w:jc w:val="center"/>
              <w:rPr/>
            </w:pPr>
            <w:r w:rsidDel="00000000" w:rsidR="00000000" w:rsidRPr="00000000">
              <w:rPr>
                <w:rtl w:val="0"/>
              </w:rPr>
            </w:r>
          </w:p>
        </w:tc>
        <w:tc>
          <w:tcPr/>
          <w:p w:rsidR="00000000" w:rsidDel="00000000" w:rsidP="00000000" w:rsidRDefault="00000000" w:rsidRPr="00000000" w14:paraId="00000079">
            <w:pPr>
              <w:contextualSpacing w:val="0"/>
              <w:jc w:val="center"/>
              <w:rPr/>
            </w:pPr>
            <w:r w:rsidDel="00000000" w:rsidR="00000000" w:rsidRPr="00000000">
              <w:rPr>
                <w:rtl w:val="0"/>
              </w:rPr>
            </w:r>
          </w:p>
        </w:tc>
        <w:tc>
          <w:tcPr/>
          <w:p w:rsidR="00000000" w:rsidDel="00000000" w:rsidP="00000000" w:rsidRDefault="00000000" w:rsidRPr="00000000" w14:paraId="0000007A">
            <w:pPr>
              <w:contextualSpacing w:val="0"/>
              <w:jc w:val="center"/>
              <w:rPr/>
            </w:pPr>
            <w:r w:rsidDel="00000000" w:rsidR="00000000" w:rsidRPr="00000000">
              <w:rPr>
                <w:rtl w:val="0"/>
              </w:rPr>
            </w:r>
          </w:p>
        </w:tc>
        <w:tc>
          <w:tcPr/>
          <w:p w:rsidR="00000000" w:rsidDel="00000000" w:rsidP="00000000" w:rsidRDefault="00000000" w:rsidRPr="00000000" w14:paraId="0000007B">
            <w:pPr>
              <w:contextualSpacing w:val="0"/>
              <w:jc w:val="center"/>
              <w:rPr/>
            </w:pPr>
            <w:r w:rsidDel="00000000" w:rsidR="00000000" w:rsidRPr="00000000">
              <w:rPr>
                <w:rtl w:val="0"/>
              </w:rPr>
            </w:r>
          </w:p>
        </w:tc>
      </w:tr>
      <w:tr>
        <w:trPr>
          <w:trHeight w:val="360" w:hRule="atLeast"/>
        </w:trPr>
        <w:tc>
          <w:tcPr/>
          <w:p w:rsidR="00000000" w:rsidDel="00000000" w:rsidP="00000000" w:rsidRDefault="00000000" w:rsidRPr="00000000" w14:paraId="0000007C">
            <w:pPr>
              <w:contextualSpacing w:val="0"/>
              <w:rPr/>
            </w:pPr>
            <w:r w:rsidDel="00000000" w:rsidR="00000000" w:rsidRPr="00000000">
              <w:rPr>
                <w:rtl w:val="0"/>
              </w:rPr>
              <w:t xml:space="preserve">Objetivo 3</w:t>
            </w:r>
          </w:p>
        </w:tc>
        <w:tc>
          <w:tcPr/>
          <w:p w:rsidR="00000000" w:rsidDel="00000000" w:rsidP="00000000" w:rsidRDefault="00000000" w:rsidRPr="00000000" w14:paraId="0000007D">
            <w:pPr>
              <w:contextualSpacing w:val="0"/>
              <w:jc w:val="center"/>
              <w:rPr/>
            </w:pPr>
            <w:r w:rsidDel="00000000" w:rsidR="00000000" w:rsidRPr="00000000">
              <w:rPr>
                <w:rtl w:val="0"/>
              </w:rPr>
            </w:r>
          </w:p>
        </w:tc>
        <w:tc>
          <w:tcPr/>
          <w:p w:rsidR="00000000" w:rsidDel="00000000" w:rsidP="00000000" w:rsidRDefault="00000000" w:rsidRPr="00000000" w14:paraId="0000007E">
            <w:pPr>
              <w:contextualSpacing w:val="0"/>
              <w:jc w:val="center"/>
              <w:rPr/>
            </w:pPr>
            <w:r w:rsidDel="00000000" w:rsidR="00000000" w:rsidRPr="00000000">
              <w:rPr>
                <w:rtl w:val="0"/>
              </w:rPr>
              <w:t xml:space="preserve">X</w:t>
            </w:r>
          </w:p>
        </w:tc>
        <w:tc>
          <w:tcPr/>
          <w:p w:rsidR="00000000" w:rsidDel="00000000" w:rsidP="00000000" w:rsidRDefault="00000000" w:rsidRPr="00000000" w14:paraId="0000007F">
            <w:pPr>
              <w:contextualSpacing w:val="0"/>
              <w:jc w:val="center"/>
              <w:rPr/>
            </w:pPr>
            <w:r w:rsidDel="00000000" w:rsidR="00000000" w:rsidRPr="00000000">
              <w:rPr>
                <w:rtl w:val="0"/>
              </w:rPr>
              <w:t xml:space="preserve">X</w:t>
            </w:r>
          </w:p>
        </w:tc>
        <w:tc>
          <w:tcPr/>
          <w:p w:rsidR="00000000" w:rsidDel="00000000" w:rsidP="00000000" w:rsidRDefault="00000000" w:rsidRPr="00000000" w14:paraId="00000080">
            <w:pPr>
              <w:contextualSpacing w:val="0"/>
              <w:jc w:val="center"/>
              <w:rPr/>
            </w:pPr>
            <w:r w:rsidDel="00000000" w:rsidR="00000000" w:rsidRPr="00000000">
              <w:rPr>
                <w:rtl w:val="0"/>
              </w:rPr>
            </w:r>
          </w:p>
        </w:tc>
        <w:tc>
          <w:tcPr/>
          <w:p w:rsidR="00000000" w:rsidDel="00000000" w:rsidP="00000000" w:rsidRDefault="00000000" w:rsidRPr="00000000" w14:paraId="00000081">
            <w:pPr>
              <w:contextualSpacing w:val="0"/>
              <w:jc w:val="center"/>
              <w:rPr/>
            </w:pPr>
            <w:r w:rsidDel="00000000" w:rsidR="00000000" w:rsidRPr="00000000">
              <w:rPr>
                <w:rtl w:val="0"/>
              </w:rPr>
            </w:r>
          </w:p>
        </w:tc>
        <w:tc>
          <w:tcPr/>
          <w:p w:rsidR="00000000" w:rsidDel="00000000" w:rsidP="00000000" w:rsidRDefault="00000000" w:rsidRPr="00000000" w14:paraId="00000082">
            <w:pPr>
              <w:contextualSpacing w:val="0"/>
              <w:jc w:val="center"/>
              <w:rPr/>
            </w:pPr>
            <w:r w:rsidDel="00000000" w:rsidR="00000000" w:rsidRPr="00000000">
              <w:rPr>
                <w:rtl w:val="0"/>
              </w:rPr>
            </w:r>
          </w:p>
        </w:tc>
      </w:tr>
      <w:tr>
        <w:trPr>
          <w:trHeight w:val="360" w:hRule="atLeast"/>
        </w:trPr>
        <w:tc>
          <w:tcPr/>
          <w:p w:rsidR="00000000" w:rsidDel="00000000" w:rsidP="00000000" w:rsidRDefault="00000000" w:rsidRPr="00000000" w14:paraId="00000083">
            <w:pPr>
              <w:contextualSpacing w:val="0"/>
              <w:rPr/>
            </w:pPr>
            <w:r w:rsidDel="00000000" w:rsidR="00000000" w:rsidRPr="00000000">
              <w:rPr>
                <w:rtl w:val="0"/>
              </w:rPr>
              <w:t xml:space="preserve">Objetivo 4</w:t>
            </w:r>
          </w:p>
        </w:tc>
        <w:tc>
          <w:tcPr/>
          <w:p w:rsidR="00000000" w:rsidDel="00000000" w:rsidP="00000000" w:rsidRDefault="00000000" w:rsidRPr="00000000" w14:paraId="00000084">
            <w:pPr>
              <w:contextualSpacing w:val="0"/>
              <w:jc w:val="center"/>
              <w:rPr/>
            </w:pPr>
            <w:r w:rsidDel="00000000" w:rsidR="00000000" w:rsidRPr="00000000">
              <w:rPr>
                <w:rtl w:val="0"/>
              </w:rPr>
            </w:r>
          </w:p>
        </w:tc>
        <w:tc>
          <w:tcPr/>
          <w:p w:rsidR="00000000" w:rsidDel="00000000" w:rsidP="00000000" w:rsidRDefault="00000000" w:rsidRPr="00000000" w14:paraId="00000085">
            <w:pPr>
              <w:contextualSpacing w:val="0"/>
              <w:jc w:val="center"/>
              <w:rPr/>
            </w:pPr>
            <w:r w:rsidDel="00000000" w:rsidR="00000000" w:rsidRPr="00000000">
              <w:rPr>
                <w:rtl w:val="0"/>
              </w:rPr>
              <w:t xml:space="preserve">X</w:t>
            </w:r>
          </w:p>
        </w:tc>
        <w:tc>
          <w:tcPr/>
          <w:p w:rsidR="00000000" w:rsidDel="00000000" w:rsidP="00000000" w:rsidRDefault="00000000" w:rsidRPr="00000000" w14:paraId="00000086">
            <w:pPr>
              <w:contextualSpacing w:val="0"/>
              <w:jc w:val="center"/>
              <w:rPr/>
            </w:pPr>
            <w:r w:rsidDel="00000000" w:rsidR="00000000" w:rsidRPr="00000000">
              <w:rPr>
                <w:rtl w:val="0"/>
              </w:rPr>
              <w:t xml:space="preserve">X</w:t>
            </w:r>
          </w:p>
        </w:tc>
        <w:tc>
          <w:tcPr/>
          <w:p w:rsidR="00000000" w:rsidDel="00000000" w:rsidP="00000000" w:rsidRDefault="00000000" w:rsidRPr="00000000" w14:paraId="00000087">
            <w:pPr>
              <w:contextualSpacing w:val="0"/>
              <w:jc w:val="center"/>
              <w:rPr/>
            </w:pPr>
            <w:r w:rsidDel="00000000" w:rsidR="00000000" w:rsidRPr="00000000">
              <w:rPr>
                <w:rtl w:val="0"/>
              </w:rPr>
              <w:t xml:space="preserve">X</w:t>
            </w:r>
          </w:p>
        </w:tc>
        <w:tc>
          <w:tcPr/>
          <w:p w:rsidR="00000000" w:rsidDel="00000000" w:rsidP="00000000" w:rsidRDefault="00000000" w:rsidRPr="00000000" w14:paraId="00000088">
            <w:pPr>
              <w:contextualSpacing w:val="0"/>
              <w:jc w:val="center"/>
              <w:rPr/>
            </w:pPr>
            <w:r w:rsidDel="00000000" w:rsidR="00000000" w:rsidRPr="00000000">
              <w:rPr>
                <w:rtl w:val="0"/>
              </w:rPr>
            </w:r>
          </w:p>
        </w:tc>
        <w:tc>
          <w:tcPr/>
          <w:p w:rsidR="00000000" w:rsidDel="00000000" w:rsidP="00000000" w:rsidRDefault="00000000" w:rsidRPr="00000000" w14:paraId="00000089">
            <w:pPr>
              <w:contextualSpacing w:val="0"/>
              <w:jc w:val="center"/>
              <w:rPr/>
            </w:pPr>
            <w:r w:rsidDel="00000000" w:rsidR="00000000" w:rsidRPr="00000000">
              <w:rPr>
                <w:rtl w:val="0"/>
              </w:rPr>
            </w:r>
          </w:p>
        </w:tc>
      </w:tr>
      <w:tr>
        <w:trPr>
          <w:trHeight w:val="360" w:hRule="atLeast"/>
        </w:trPr>
        <w:tc>
          <w:tcPr/>
          <w:p w:rsidR="00000000" w:rsidDel="00000000" w:rsidP="00000000" w:rsidRDefault="00000000" w:rsidRPr="00000000" w14:paraId="0000008A">
            <w:pPr>
              <w:contextualSpacing w:val="0"/>
              <w:rPr/>
            </w:pPr>
            <w:r w:rsidDel="00000000" w:rsidR="00000000" w:rsidRPr="00000000">
              <w:rPr>
                <w:rtl w:val="0"/>
              </w:rPr>
              <w:t xml:space="preserve">Publicación de artículos</w:t>
            </w:r>
          </w:p>
        </w:tc>
        <w:tc>
          <w:tcPr/>
          <w:p w:rsidR="00000000" w:rsidDel="00000000" w:rsidP="00000000" w:rsidRDefault="00000000" w:rsidRPr="00000000" w14:paraId="0000008B">
            <w:pPr>
              <w:contextualSpacing w:val="0"/>
              <w:jc w:val="center"/>
              <w:rPr/>
            </w:pPr>
            <w:r w:rsidDel="00000000" w:rsidR="00000000" w:rsidRPr="00000000">
              <w:rPr>
                <w:rtl w:val="0"/>
              </w:rPr>
            </w:r>
          </w:p>
        </w:tc>
        <w:tc>
          <w:tcPr/>
          <w:p w:rsidR="00000000" w:rsidDel="00000000" w:rsidP="00000000" w:rsidRDefault="00000000" w:rsidRPr="00000000" w14:paraId="0000008C">
            <w:pPr>
              <w:contextualSpacing w:val="0"/>
              <w:jc w:val="center"/>
              <w:rPr/>
            </w:pPr>
            <w:r w:rsidDel="00000000" w:rsidR="00000000" w:rsidRPr="00000000">
              <w:rPr>
                <w:rtl w:val="0"/>
              </w:rPr>
            </w:r>
          </w:p>
        </w:tc>
        <w:tc>
          <w:tcPr/>
          <w:p w:rsidR="00000000" w:rsidDel="00000000" w:rsidP="00000000" w:rsidRDefault="00000000" w:rsidRPr="00000000" w14:paraId="0000008D">
            <w:pPr>
              <w:contextualSpacing w:val="0"/>
              <w:jc w:val="center"/>
              <w:rPr/>
            </w:pPr>
            <w:r w:rsidDel="00000000" w:rsidR="00000000" w:rsidRPr="00000000">
              <w:rPr>
                <w:rtl w:val="0"/>
              </w:rPr>
              <w:t xml:space="preserve">X</w:t>
            </w:r>
          </w:p>
        </w:tc>
        <w:tc>
          <w:tcPr/>
          <w:p w:rsidR="00000000" w:rsidDel="00000000" w:rsidP="00000000" w:rsidRDefault="00000000" w:rsidRPr="00000000" w14:paraId="0000008E">
            <w:pPr>
              <w:contextualSpacing w:val="0"/>
              <w:jc w:val="center"/>
              <w:rPr/>
            </w:pPr>
            <w:r w:rsidDel="00000000" w:rsidR="00000000" w:rsidRPr="00000000">
              <w:rPr>
                <w:rtl w:val="0"/>
              </w:rPr>
              <w:t xml:space="preserve">X</w:t>
            </w:r>
          </w:p>
        </w:tc>
        <w:tc>
          <w:tcPr/>
          <w:p w:rsidR="00000000" w:rsidDel="00000000" w:rsidP="00000000" w:rsidRDefault="00000000" w:rsidRPr="00000000" w14:paraId="0000008F">
            <w:pPr>
              <w:contextualSpacing w:val="0"/>
              <w:jc w:val="center"/>
              <w:rPr/>
            </w:pPr>
            <w:r w:rsidDel="00000000" w:rsidR="00000000" w:rsidRPr="00000000">
              <w:rPr>
                <w:rtl w:val="0"/>
              </w:rPr>
            </w:r>
          </w:p>
        </w:tc>
        <w:tc>
          <w:tcPr/>
          <w:p w:rsidR="00000000" w:rsidDel="00000000" w:rsidP="00000000" w:rsidRDefault="00000000" w:rsidRPr="00000000" w14:paraId="00000090">
            <w:pPr>
              <w:contextualSpacing w:val="0"/>
              <w:jc w:val="center"/>
              <w:rPr/>
            </w:pPr>
            <w:r w:rsidDel="00000000" w:rsidR="00000000" w:rsidRPr="00000000">
              <w:rPr>
                <w:rtl w:val="0"/>
              </w:rPr>
            </w:r>
          </w:p>
        </w:tc>
      </w:tr>
      <w:tr>
        <w:trPr>
          <w:trHeight w:val="360" w:hRule="atLeast"/>
        </w:trPr>
        <w:tc>
          <w:tcPr/>
          <w:p w:rsidR="00000000" w:rsidDel="00000000" w:rsidP="00000000" w:rsidRDefault="00000000" w:rsidRPr="00000000" w14:paraId="00000091">
            <w:pPr>
              <w:contextualSpacing w:val="0"/>
              <w:rPr/>
            </w:pPr>
            <w:r w:rsidDel="00000000" w:rsidR="00000000" w:rsidRPr="00000000">
              <w:rPr>
                <w:rtl w:val="0"/>
              </w:rPr>
              <w:t xml:space="preserve">Revisión  de Bibliografía</w:t>
            </w:r>
          </w:p>
        </w:tc>
        <w:tc>
          <w:tcPr/>
          <w:p w:rsidR="00000000" w:rsidDel="00000000" w:rsidP="00000000" w:rsidRDefault="00000000" w:rsidRPr="00000000" w14:paraId="00000092">
            <w:pPr>
              <w:contextualSpacing w:val="0"/>
              <w:jc w:val="center"/>
              <w:rPr/>
            </w:pPr>
            <w:r w:rsidDel="00000000" w:rsidR="00000000" w:rsidRPr="00000000">
              <w:rPr>
                <w:rtl w:val="0"/>
              </w:rPr>
              <w:t xml:space="preserve">X</w:t>
            </w:r>
          </w:p>
        </w:tc>
        <w:tc>
          <w:tcPr/>
          <w:p w:rsidR="00000000" w:rsidDel="00000000" w:rsidP="00000000" w:rsidRDefault="00000000" w:rsidRPr="00000000" w14:paraId="00000093">
            <w:pPr>
              <w:contextualSpacing w:val="0"/>
              <w:jc w:val="center"/>
              <w:rPr/>
            </w:pPr>
            <w:r w:rsidDel="00000000" w:rsidR="00000000" w:rsidRPr="00000000">
              <w:rPr>
                <w:rtl w:val="0"/>
              </w:rPr>
              <w:t xml:space="preserve">X</w:t>
            </w:r>
          </w:p>
        </w:tc>
        <w:tc>
          <w:tcPr/>
          <w:p w:rsidR="00000000" w:rsidDel="00000000" w:rsidP="00000000" w:rsidRDefault="00000000" w:rsidRPr="00000000" w14:paraId="00000094">
            <w:pPr>
              <w:contextualSpacing w:val="0"/>
              <w:jc w:val="center"/>
              <w:rPr/>
            </w:pPr>
            <w:r w:rsidDel="00000000" w:rsidR="00000000" w:rsidRPr="00000000">
              <w:rPr>
                <w:rtl w:val="0"/>
              </w:rPr>
              <w:t xml:space="preserve">X</w:t>
            </w:r>
          </w:p>
        </w:tc>
        <w:tc>
          <w:tcPr/>
          <w:p w:rsidR="00000000" w:rsidDel="00000000" w:rsidP="00000000" w:rsidRDefault="00000000" w:rsidRPr="00000000" w14:paraId="00000095">
            <w:pPr>
              <w:contextualSpacing w:val="0"/>
              <w:jc w:val="center"/>
              <w:rPr/>
            </w:pPr>
            <w:r w:rsidDel="00000000" w:rsidR="00000000" w:rsidRPr="00000000">
              <w:rPr>
                <w:rtl w:val="0"/>
              </w:rPr>
              <w:t xml:space="preserve">X</w:t>
            </w:r>
          </w:p>
        </w:tc>
        <w:tc>
          <w:tcPr/>
          <w:p w:rsidR="00000000" w:rsidDel="00000000" w:rsidP="00000000" w:rsidRDefault="00000000" w:rsidRPr="00000000" w14:paraId="00000096">
            <w:pPr>
              <w:contextualSpacing w:val="0"/>
              <w:jc w:val="center"/>
              <w:rPr>
                <w:highlight w:val="yellow"/>
              </w:rPr>
            </w:pPr>
            <w:r w:rsidDel="00000000" w:rsidR="00000000" w:rsidRPr="00000000">
              <w:rPr>
                <w:rtl w:val="0"/>
              </w:rPr>
            </w:r>
          </w:p>
        </w:tc>
        <w:tc>
          <w:tcPr/>
          <w:p w:rsidR="00000000" w:rsidDel="00000000" w:rsidP="00000000" w:rsidRDefault="00000000" w:rsidRPr="00000000" w14:paraId="00000097">
            <w:pPr>
              <w:contextualSpacing w:val="0"/>
              <w:jc w:val="center"/>
              <w:rPr>
                <w:highlight w:val="yellow"/>
              </w:rPr>
            </w:pPr>
            <w:r w:rsidDel="00000000" w:rsidR="00000000" w:rsidRPr="00000000">
              <w:rPr>
                <w:rtl w:val="0"/>
              </w:rPr>
            </w:r>
          </w:p>
        </w:tc>
      </w:tr>
      <w:tr>
        <w:trPr>
          <w:trHeight w:val="360" w:hRule="atLeast"/>
        </w:trPr>
        <w:tc>
          <w:tcPr/>
          <w:p w:rsidR="00000000" w:rsidDel="00000000" w:rsidP="00000000" w:rsidRDefault="00000000" w:rsidRPr="00000000" w14:paraId="00000098">
            <w:pPr>
              <w:contextualSpacing w:val="0"/>
              <w:rPr/>
            </w:pPr>
            <w:r w:rsidDel="00000000" w:rsidR="00000000" w:rsidRPr="00000000">
              <w:rPr>
                <w:rtl w:val="0"/>
              </w:rPr>
              <w:t xml:space="preserve">Escritura de  documento de tesis</w:t>
            </w:r>
          </w:p>
        </w:tc>
        <w:tc>
          <w:tcPr/>
          <w:p w:rsidR="00000000" w:rsidDel="00000000" w:rsidP="00000000" w:rsidRDefault="00000000" w:rsidRPr="00000000" w14:paraId="00000099">
            <w:pPr>
              <w:contextualSpacing w:val="0"/>
              <w:jc w:val="center"/>
              <w:rPr/>
            </w:pPr>
            <w:r w:rsidDel="00000000" w:rsidR="00000000" w:rsidRPr="00000000">
              <w:rPr>
                <w:rtl w:val="0"/>
              </w:rPr>
            </w:r>
          </w:p>
        </w:tc>
        <w:tc>
          <w:tcPr/>
          <w:p w:rsidR="00000000" w:rsidDel="00000000" w:rsidP="00000000" w:rsidRDefault="00000000" w:rsidRPr="00000000" w14:paraId="0000009A">
            <w:pPr>
              <w:contextualSpacing w:val="0"/>
              <w:jc w:val="center"/>
              <w:rPr/>
            </w:pPr>
            <w:r w:rsidDel="00000000" w:rsidR="00000000" w:rsidRPr="00000000">
              <w:rPr>
                <w:rtl w:val="0"/>
              </w:rPr>
              <w:t xml:space="preserve">X</w:t>
            </w:r>
          </w:p>
        </w:tc>
        <w:tc>
          <w:tcPr/>
          <w:p w:rsidR="00000000" w:rsidDel="00000000" w:rsidP="00000000" w:rsidRDefault="00000000" w:rsidRPr="00000000" w14:paraId="0000009B">
            <w:pPr>
              <w:contextualSpacing w:val="0"/>
              <w:jc w:val="center"/>
              <w:rPr/>
            </w:pPr>
            <w:r w:rsidDel="00000000" w:rsidR="00000000" w:rsidRPr="00000000">
              <w:rPr>
                <w:rtl w:val="0"/>
              </w:rPr>
              <w:t xml:space="preserve">X</w:t>
            </w:r>
          </w:p>
        </w:tc>
        <w:tc>
          <w:tcPr/>
          <w:p w:rsidR="00000000" w:rsidDel="00000000" w:rsidP="00000000" w:rsidRDefault="00000000" w:rsidRPr="00000000" w14:paraId="0000009C">
            <w:pPr>
              <w:contextualSpacing w:val="0"/>
              <w:jc w:val="center"/>
              <w:rPr/>
            </w:pPr>
            <w:r w:rsidDel="00000000" w:rsidR="00000000" w:rsidRPr="00000000">
              <w:rPr>
                <w:rtl w:val="0"/>
              </w:rPr>
              <w:t xml:space="preserve">X</w:t>
            </w:r>
          </w:p>
        </w:tc>
        <w:tc>
          <w:tcPr/>
          <w:p w:rsidR="00000000" w:rsidDel="00000000" w:rsidP="00000000" w:rsidRDefault="00000000" w:rsidRPr="00000000" w14:paraId="0000009D">
            <w:pPr>
              <w:contextualSpacing w:val="0"/>
              <w:jc w:val="center"/>
              <w:rPr/>
            </w:pPr>
            <w:r w:rsidDel="00000000" w:rsidR="00000000" w:rsidRPr="00000000">
              <w:rPr>
                <w:rtl w:val="0"/>
              </w:rPr>
            </w:r>
          </w:p>
        </w:tc>
        <w:tc>
          <w:tcPr/>
          <w:p w:rsidR="00000000" w:rsidDel="00000000" w:rsidP="00000000" w:rsidRDefault="00000000" w:rsidRPr="00000000" w14:paraId="0000009E">
            <w:pPr>
              <w:contextualSpacing w:val="0"/>
              <w:jc w:val="center"/>
              <w:rPr/>
            </w:pPr>
            <w:r w:rsidDel="00000000" w:rsidR="00000000" w:rsidRPr="00000000">
              <w:rPr>
                <w:rtl w:val="0"/>
              </w:rPr>
            </w:r>
          </w:p>
        </w:tc>
      </w:tr>
      <w:tr>
        <w:trPr>
          <w:trHeight w:val="360" w:hRule="atLeast"/>
        </w:trPr>
        <w:tc>
          <w:tcPr/>
          <w:p w:rsidR="00000000" w:rsidDel="00000000" w:rsidP="00000000" w:rsidRDefault="00000000" w:rsidRPr="00000000" w14:paraId="0000009F">
            <w:pPr>
              <w:contextualSpacing w:val="0"/>
              <w:rPr/>
            </w:pPr>
            <w:r w:rsidDel="00000000" w:rsidR="00000000" w:rsidRPr="00000000">
              <w:rPr>
                <w:rtl w:val="0"/>
              </w:rPr>
              <w:t xml:space="preserve">Predefensa</w:t>
            </w:r>
          </w:p>
        </w:tc>
        <w:tc>
          <w:tcPr/>
          <w:p w:rsidR="00000000" w:rsidDel="00000000" w:rsidP="00000000" w:rsidRDefault="00000000" w:rsidRPr="00000000" w14:paraId="000000A0">
            <w:pPr>
              <w:contextualSpacing w:val="0"/>
              <w:jc w:val="center"/>
              <w:rPr/>
            </w:pPr>
            <w:r w:rsidDel="00000000" w:rsidR="00000000" w:rsidRPr="00000000">
              <w:rPr>
                <w:rtl w:val="0"/>
              </w:rPr>
            </w:r>
          </w:p>
        </w:tc>
        <w:tc>
          <w:tcPr/>
          <w:p w:rsidR="00000000" w:rsidDel="00000000" w:rsidP="00000000" w:rsidRDefault="00000000" w:rsidRPr="00000000" w14:paraId="000000A1">
            <w:pPr>
              <w:contextualSpacing w:val="0"/>
              <w:jc w:val="center"/>
              <w:rPr/>
            </w:pPr>
            <w:r w:rsidDel="00000000" w:rsidR="00000000" w:rsidRPr="00000000">
              <w:rPr>
                <w:rtl w:val="0"/>
              </w:rPr>
            </w:r>
          </w:p>
        </w:tc>
        <w:tc>
          <w:tcPr/>
          <w:p w:rsidR="00000000" w:rsidDel="00000000" w:rsidP="00000000" w:rsidRDefault="00000000" w:rsidRPr="00000000" w14:paraId="000000A2">
            <w:pPr>
              <w:contextualSpacing w:val="0"/>
              <w:jc w:val="center"/>
              <w:rPr/>
            </w:pPr>
            <w:r w:rsidDel="00000000" w:rsidR="00000000" w:rsidRPr="00000000">
              <w:rPr>
                <w:rtl w:val="0"/>
              </w:rPr>
            </w:r>
          </w:p>
        </w:tc>
        <w:tc>
          <w:tcPr/>
          <w:p w:rsidR="00000000" w:rsidDel="00000000" w:rsidP="00000000" w:rsidRDefault="00000000" w:rsidRPr="00000000" w14:paraId="000000A3">
            <w:pPr>
              <w:contextualSpacing w:val="0"/>
              <w:jc w:val="center"/>
              <w:rPr/>
            </w:pPr>
            <w:r w:rsidDel="00000000" w:rsidR="00000000" w:rsidRPr="00000000">
              <w:rPr>
                <w:rtl w:val="0"/>
              </w:rPr>
            </w:r>
          </w:p>
        </w:tc>
        <w:tc>
          <w:tcPr/>
          <w:p w:rsidR="00000000" w:rsidDel="00000000" w:rsidP="00000000" w:rsidRDefault="00000000" w:rsidRPr="00000000" w14:paraId="000000A4">
            <w:pPr>
              <w:contextualSpacing w:val="0"/>
              <w:jc w:val="center"/>
              <w:rPr/>
            </w:pPr>
            <w:r w:rsidDel="00000000" w:rsidR="00000000" w:rsidRPr="00000000">
              <w:rPr>
                <w:rtl w:val="0"/>
              </w:rPr>
              <w:t xml:space="preserve">X</w:t>
            </w:r>
          </w:p>
        </w:tc>
        <w:tc>
          <w:tcPr/>
          <w:p w:rsidR="00000000" w:rsidDel="00000000" w:rsidP="00000000" w:rsidRDefault="00000000" w:rsidRPr="00000000" w14:paraId="000000A5">
            <w:pPr>
              <w:contextualSpacing w:val="0"/>
              <w:jc w:val="center"/>
              <w:rPr/>
            </w:pPr>
            <w:r w:rsidDel="00000000" w:rsidR="00000000" w:rsidRPr="00000000">
              <w:rPr>
                <w:rtl w:val="0"/>
              </w:rPr>
            </w:r>
          </w:p>
        </w:tc>
      </w:tr>
      <w:tr>
        <w:trPr>
          <w:trHeight w:val="360" w:hRule="atLeast"/>
        </w:trPr>
        <w:tc>
          <w:tcPr/>
          <w:p w:rsidR="00000000" w:rsidDel="00000000" w:rsidP="00000000" w:rsidRDefault="00000000" w:rsidRPr="00000000" w14:paraId="000000A6">
            <w:pPr>
              <w:contextualSpacing w:val="0"/>
              <w:rPr/>
            </w:pPr>
            <w:r w:rsidDel="00000000" w:rsidR="00000000" w:rsidRPr="00000000">
              <w:rPr>
                <w:rtl w:val="0"/>
              </w:rPr>
              <w:t xml:space="preserve">Defensa </w:t>
            </w:r>
          </w:p>
        </w:tc>
        <w:tc>
          <w:tcPr/>
          <w:p w:rsidR="00000000" w:rsidDel="00000000" w:rsidP="00000000" w:rsidRDefault="00000000" w:rsidRPr="00000000" w14:paraId="000000A7">
            <w:pPr>
              <w:contextualSpacing w:val="0"/>
              <w:jc w:val="center"/>
              <w:rPr/>
            </w:pPr>
            <w:r w:rsidDel="00000000" w:rsidR="00000000" w:rsidRPr="00000000">
              <w:rPr>
                <w:rtl w:val="0"/>
              </w:rPr>
            </w:r>
          </w:p>
        </w:tc>
        <w:tc>
          <w:tcPr/>
          <w:p w:rsidR="00000000" w:rsidDel="00000000" w:rsidP="00000000" w:rsidRDefault="00000000" w:rsidRPr="00000000" w14:paraId="000000A8">
            <w:pPr>
              <w:contextualSpacing w:val="0"/>
              <w:rPr/>
            </w:pPr>
            <w:r w:rsidDel="00000000" w:rsidR="00000000" w:rsidRPr="00000000">
              <w:rPr>
                <w:rtl w:val="0"/>
              </w:rPr>
            </w:r>
          </w:p>
        </w:tc>
        <w:tc>
          <w:tcPr/>
          <w:p w:rsidR="00000000" w:rsidDel="00000000" w:rsidP="00000000" w:rsidRDefault="00000000" w:rsidRPr="00000000" w14:paraId="000000A9">
            <w:pPr>
              <w:contextualSpacing w:val="0"/>
              <w:jc w:val="center"/>
              <w:rPr/>
            </w:pPr>
            <w:r w:rsidDel="00000000" w:rsidR="00000000" w:rsidRPr="00000000">
              <w:rPr>
                <w:rtl w:val="0"/>
              </w:rPr>
            </w:r>
          </w:p>
        </w:tc>
        <w:tc>
          <w:tcPr/>
          <w:p w:rsidR="00000000" w:rsidDel="00000000" w:rsidP="00000000" w:rsidRDefault="00000000" w:rsidRPr="00000000" w14:paraId="000000AA">
            <w:pPr>
              <w:contextualSpacing w:val="0"/>
              <w:jc w:val="center"/>
              <w:rPr/>
            </w:pPr>
            <w:r w:rsidDel="00000000" w:rsidR="00000000" w:rsidRPr="00000000">
              <w:rPr>
                <w:rtl w:val="0"/>
              </w:rPr>
            </w:r>
          </w:p>
        </w:tc>
        <w:tc>
          <w:tcPr/>
          <w:p w:rsidR="00000000" w:rsidDel="00000000" w:rsidP="00000000" w:rsidRDefault="00000000" w:rsidRPr="00000000" w14:paraId="000000AB">
            <w:pPr>
              <w:contextualSpacing w:val="0"/>
              <w:jc w:val="center"/>
              <w:rPr/>
            </w:pPr>
            <w:r w:rsidDel="00000000" w:rsidR="00000000" w:rsidRPr="00000000">
              <w:rPr>
                <w:rtl w:val="0"/>
              </w:rPr>
              <w:t xml:space="preserve">X</w:t>
            </w:r>
          </w:p>
        </w:tc>
        <w:tc>
          <w:tcPr/>
          <w:p w:rsidR="00000000" w:rsidDel="00000000" w:rsidP="00000000" w:rsidRDefault="00000000" w:rsidRPr="00000000" w14:paraId="000000AC">
            <w:pPr>
              <w:contextualSpacing w:val="0"/>
              <w:jc w:val="center"/>
              <w:rPr/>
            </w:pPr>
            <w:r w:rsidDel="00000000" w:rsidR="00000000" w:rsidRPr="00000000">
              <w:rPr>
                <w:rtl w:val="0"/>
              </w:rPr>
            </w:r>
          </w:p>
        </w:tc>
      </w:tr>
    </w:tbl>
    <w:p w:rsidR="00000000" w:rsidDel="00000000" w:rsidP="00000000" w:rsidRDefault="00000000" w:rsidRPr="00000000" w14:paraId="000000AD">
      <w:pPr>
        <w:spacing w:line="360" w:lineRule="auto"/>
        <w:contextualSpacing w:val="0"/>
        <w:jc w:val="both"/>
        <w:rPr>
          <w:b w:val="1"/>
          <w:u w:val="single"/>
        </w:rPr>
      </w:pPr>
      <w:r w:rsidDel="00000000" w:rsidR="00000000" w:rsidRPr="00000000">
        <w:rPr>
          <w:rtl w:val="0"/>
        </w:rPr>
      </w:r>
    </w:p>
    <w:p w:rsidR="00000000" w:rsidDel="00000000" w:rsidP="00000000" w:rsidRDefault="00000000" w:rsidRPr="00000000" w14:paraId="000000AE">
      <w:pPr>
        <w:spacing w:line="360" w:lineRule="auto"/>
        <w:contextualSpacing w:val="0"/>
        <w:jc w:val="both"/>
        <w:rPr>
          <w:b w:val="1"/>
          <w:u w:val="single"/>
        </w:rPr>
      </w:pPr>
      <w:r w:rsidDel="00000000" w:rsidR="00000000" w:rsidRPr="00000000">
        <w:rPr>
          <w:rtl w:val="0"/>
        </w:rPr>
      </w:r>
    </w:p>
    <w:p w:rsidR="00000000" w:rsidDel="00000000" w:rsidP="00000000" w:rsidRDefault="00000000" w:rsidRPr="00000000" w14:paraId="000000AF">
      <w:pPr>
        <w:spacing w:line="360" w:lineRule="auto"/>
        <w:contextualSpacing w:val="0"/>
        <w:jc w:val="both"/>
        <w:rPr>
          <w:b w:val="1"/>
        </w:rPr>
      </w:pPr>
      <w:r w:rsidDel="00000000" w:rsidR="00000000" w:rsidRPr="00000000">
        <w:rPr>
          <w:b w:val="1"/>
          <w:rtl w:val="0"/>
        </w:rPr>
        <w:t xml:space="preserve">Bibliografía</w:t>
      </w:r>
    </w:p>
    <w:p w:rsidR="00000000" w:rsidDel="00000000" w:rsidP="00000000" w:rsidRDefault="00000000" w:rsidRPr="00000000" w14:paraId="000000B0">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709" w:right="0" w:hanging="709"/>
        <w:contextualSpacing w:val="0"/>
        <w:jc w:val="both"/>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Akgül, F. (2019). Effect of </w:t>
      </w:r>
      <w:r w:rsidDel="00000000" w:rsidR="00000000" w:rsidRPr="00000000">
        <w:rPr>
          <w:rFonts w:ascii="Verdana" w:cs="Verdana" w:eastAsia="Verdana" w:hAnsi="Verdana"/>
          <w:b w:val="0"/>
          <w:i w:val="1"/>
          <w:smallCaps w:val="0"/>
          <w:strike w:val="0"/>
          <w:color w:val="000000"/>
          <w:sz w:val="20"/>
          <w:szCs w:val="20"/>
          <w:u w:val="none"/>
          <w:shd w:fill="auto" w:val="clear"/>
          <w:vertAlign w:val="baseline"/>
          <w:rtl w:val="0"/>
        </w:rPr>
        <w:t xml:space="preserve">Spirulina platensis</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 (Gomont) Geitler Extract on Seed Germination of Wheat and Barley. </w:t>
      </w:r>
      <w:r w:rsidDel="00000000" w:rsidR="00000000" w:rsidRPr="00000000">
        <w:rPr>
          <w:rFonts w:ascii="Verdana" w:cs="Verdana" w:eastAsia="Verdana" w:hAnsi="Verdana"/>
          <w:b w:val="0"/>
          <w:i w:val="1"/>
          <w:smallCaps w:val="0"/>
          <w:strike w:val="0"/>
          <w:color w:val="000000"/>
          <w:sz w:val="20"/>
          <w:szCs w:val="20"/>
          <w:u w:val="none"/>
          <w:shd w:fill="auto" w:val="clear"/>
          <w:vertAlign w:val="baseline"/>
          <w:rtl w:val="0"/>
        </w:rPr>
        <w:t xml:space="preserve">Alinteri Journal of Agriculture Sciences, 34</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(2): 148-153. DOI: 10.28955/alinterizbd.639000</w:t>
      </w:r>
    </w:p>
    <w:p w:rsidR="00000000" w:rsidDel="00000000" w:rsidP="00000000" w:rsidRDefault="00000000" w:rsidRPr="00000000" w14:paraId="000000B1">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709" w:right="0" w:hanging="709"/>
        <w:contextualSpacing w:val="0"/>
        <w:jc w:val="both"/>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Anitha, L., Kalpana, P., and Bramari, G. S. (2016). Evaluation of Spirulina platensis as microbial inoculants to enhanced protein levels in Amaranthus gangeticus. </w:t>
      </w:r>
      <w:r w:rsidDel="00000000" w:rsidR="00000000" w:rsidRPr="00000000">
        <w:rPr>
          <w:rFonts w:ascii="Verdana" w:cs="Verdana" w:eastAsia="Verdana" w:hAnsi="Verdana"/>
          <w:b w:val="0"/>
          <w:i w:val="1"/>
          <w:smallCaps w:val="0"/>
          <w:strike w:val="0"/>
          <w:color w:val="000000"/>
          <w:sz w:val="20"/>
          <w:szCs w:val="20"/>
          <w:u w:val="none"/>
          <w:shd w:fill="auto" w:val="clear"/>
          <w:vertAlign w:val="baseline"/>
          <w:rtl w:val="0"/>
        </w:rPr>
        <w:t xml:space="preserve">African Journal of Agricultural Research, 11</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(15), 1353-60.https://doi.org/10.5897/AJAR2013.7953</w:t>
      </w:r>
    </w:p>
    <w:p w:rsidR="00000000" w:rsidDel="00000000" w:rsidP="00000000" w:rsidRDefault="00000000" w:rsidRPr="00000000" w14:paraId="000000B2">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709" w:right="0" w:hanging="709"/>
        <w:contextualSpacing w:val="0"/>
        <w:jc w:val="both"/>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Ansari, A.A., Ghanem, S. M. and Naeem, M. (2019). Brown Alga Padina: A review. </w:t>
      </w:r>
      <w:r w:rsidDel="00000000" w:rsidR="00000000" w:rsidRPr="00000000">
        <w:rPr>
          <w:rFonts w:ascii="Verdana" w:cs="Verdana" w:eastAsia="Verdana" w:hAnsi="Verdana"/>
          <w:b w:val="0"/>
          <w:i w:val="1"/>
          <w:smallCaps w:val="0"/>
          <w:strike w:val="0"/>
          <w:color w:val="000000"/>
          <w:sz w:val="20"/>
          <w:szCs w:val="20"/>
          <w:u w:val="none"/>
          <w:shd w:fill="auto" w:val="clear"/>
          <w:vertAlign w:val="baseline"/>
          <w:rtl w:val="0"/>
        </w:rPr>
        <w:t xml:space="preserve">International Journal of Botany Studies, 4</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(1), 01-03 https://www.researchgate.net/publication/333879310</w:t>
      </w:r>
    </w:p>
    <w:p w:rsidR="00000000" w:rsidDel="00000000" w:rsidP="00000000" w:rsidRDefault="00000000" w:rsidRPr="00000000" w14:paraId="000000B3">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709" w:right="0" w:hanging="709"/>
        <w:contextualSpacing w:val="0"/>
        <w:jc w:val="both"/>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Arencibia, G., Irañeta, J.M., Morell, J. and Moreira, A.R. (2020). Arribazones de Sargassum en la costa norte occidental de Cuba. </w:t>
      </w:r>
      <w:r w:rsidDel="00000000" w:rsidR="00000000" w:rsidRPr="00000000">
        <w:rPr>
          <w:rFonts w:ascii="Verdana" w:cs="Verdana" w:eastAsia="Verdana" w:hAnsi="Verdana"/>
          <w:b w:val="0"/>
          <w:i w:val="1"/>
          <w:smallCaps w:val="0"/>
          <w:strike w:val="0"/>
          <w:color w:val="000000"/>
          <w:sz w:val="20"/>
          <w:szCs w:val="20"/>
          <w:u w:val="none"/>
          <w:shd w:fill="auto" w:val="clear"/>
          <w:vertAlign w:val="baseline"/>
          <w:rtl w:val="0"/>
        </w:rPr>
        <w:t xml:space="preserve">JAINA Costas y Mares ante el Cambio Climático, 2</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(1), 19-30. </w:t>
      </w:r>
      <w:hyperlink r:id="rId6">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http://hdl.handle.net/1834/41683</w:t>
        </w:r>
      </w:hyperlink>
      <w:r w:rsidDel="00000000" w:rsidR="00000000" w:rsidRPr="00000000">
        <w:rPr>
          <w:rtl w:val="0"/>
        </w:rPr>
      </w:r>
    </w:p>
    <w:p w:rsidR="00000000" w:rsidDel="00000000" w:rsidP="00000000" w:rsidRDefault="00000000" w:rsidRPr="00000000" w14:paraId="000000B4">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709" w:right="0" w:hanging="709"/>
        <w:contextualSpacing w:val="0"/>
        <w:jc w:val="both"/>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Bradford, M. (1976). A rapid and sensitive method for the quantification of microgram quantities of protein utilizing the principle of protein-dye binding. </w:t>
      </w:r>
      <w:r w:rsidDel="00000000" w:rsidR="00000000" w:rsidRPr="00000000">
        <w:rPr>
          <w:rFonts w:ascii="Verdana" w:cs="Verdana" w:eastAsia="Verdana" w:hAnsi="Verdana"/>
          <w:b w:val="0"/>
          <w:i w:val="1"/>
          <w:smallCaps w:val="0"/>
          <w:strike w:val="0"/>
          <w:color w:val="000000"/>
          <w:sz w:val="20"/>
          <w:szCs w:val="20"/>
          <w:u w:val="none"/>
          <w:shd w:fill="auto" w:val="clear"/>
          <w:vertAlign w:val="baseline"/>
          <w:rtl w:val="0"/>
        </w:rPr>
        <w:t xml:space="preserve">Anal Biochemistry, 72</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 248-254.</w:t>
      </w:r>
    </w:p>
    <w:p w:rsidR="00000000" w:rsidDel="00000000" w:rsidP="00000000" w:rsidRDefault="00000000" w:rsidRPr="00000000" w14:paraId="000000B5">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709" w:right="0" w:hanging="709"/>
        <w:contextualSpacing w:val="0"/>
        <w:jc w:val="both"/>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Chang, C.C., Yang, M.H., Wen, H.M., and Chern, J.C. (2002). Estimation of total flavonoid content in propolis by two complementary colometric methods. </w:t>
      </w:r>
      <w:r w:rsidDel="00000000" w:rsidR="00000000" w:rsidRPr="00000000">
        <w:rPr>
          <w:rFonts w:ascii="Verdana" w:cs="Verdana" w:eastAsia="Verdana" w:hAnsi="Verdana"/>
          <w:b w:val="0"/>
          <w:i w:val="1"/>
          <w:smallCaps w:val="0"/>
          <w:strike w:val="0"/>
          <w:color w:val="000000"/>
          <w:sz w:val="20"/>
          <w:szCs w:val="20"/>
          <w:u w:val="none"/>
          <w:shd w:fill="auto" w:val="clear"/>
          <w:vertAlign w:val="baseline"/>
          <w:rtl w:val="0"/>
        </w:rPr>
        <w:t xml:space="preserve">Journal of Food and Drug Analysis, 10</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 (3). https://doi.org/10.38212/2224-6614.2748</w:t>
      </w:r>
    </w:p>
    <w:p w:rsidR="00000000" w:rsidDel="00000000" w:rsidP="00000000" w:rsidRDefault="00000000" w:rsidRPr="00000000" w14:paraId="000000B6">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709" w:right="0" w:hanging="709"/>
        <w:contextualSpacing w:val="0"/>
        <w:jc w:val="both"/>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Chlopicka, J., Pasko, P., Gorinstein, S., Jedryas, A. and Zagrodzki, P. (2012). Total phenolic and total flavonoid content, antioxidant activity and sensory evaluation of pseudocereal breads. </w:t>
      </w:r>
      <w:r w:rsidDel="00000000" w:rsidR="00000000" w:rsidRPr="00000000">
        <w:rPr>
          <w:rFonts w:ascii="Verdana" w:cs="Verdana" w:eastAsia="Verdana" w:hAnsi="Verdana"/>
          <w:b w:val="0"/>
          <w:i w:val="1"/>
          <w:smallCaps w:val="0"/>
          <w:strike w:val="0"/>
          <w:color w:val="000000"/>
          <w:sz w:val="20"/>
          <w:szCs w:val="20"/>
          <w:u w:val="none"/>
          <w:shd w:fill="auto" w:val="clear"/>
          <w:vertAlign w:val="baseline"/>
          <w:rtl w:val="0"/>
        </w:rPr>
        <w:t xml:space="preserve">LWT - Food Science and Technology, 46</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(2), 548-555.</w:t>
      </w:r>
    </w:p>
    <w:p w:rsidR="00000000" w:rsidDel="00000000" w:rsidP="00000000" w:rsidRDefault="00000000" w:rsidRPr="00000000" w14:paraId="000000B7">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709" w:right="0" w:hanging="709"/>
        <w:contextualSpacing w:val="0"/>
        <w:jc w:val="both"/>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Das, P., Khan, S., Chaudhary, A.K., AbdulQuadir, M., Thaher, M.I., Al-Jabri, H. (2019). Potential Applications of Algae-Based Bio-fertilizer. In: </w:t>
      </w:r>
      <w:r w:rsidDel="00000000" w:rsidR="00000000" w:rsidRPr="00000000">
        <w:rPr>
          <w:rFonts w:ascii="Verdana" w:cs="Verdana" w:eastAsia="Verdana" w:hAnsi="Verdana"/>
          <w:b w:val="0"/>
          <w:i w:val="1"/>
          <w:smallCaps w:val="0"/>
          <w:strike w:val="0"/>
          <w:color w:val="000000"/>
          <w:sz w:val="20"/>
          <w:szCs w:val="20"/>
          <w:u w:val="none"/>
          <w:shd w:fill="auto" w:val="clear"/>
          <w:vertAlign w:val="baseline"/>
          <w:rtl w:val="0"/>
        </w:rPr>
        <w:t xml:space="preserve">Biofertilizers for Sustainable Agriculture and Environment. Springer</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 p. 41–65. DOI:10.1007/978-3-030-18933-4_3</w:t>
      </w:r>
    </w:p>
    <w:p w:rsidR="00000000" w:rsidDel="00000000" w:rsidP="00000000" w:rsidRDefault="00000000" w:rsidRPr="00000000" w14:paraId="000000B8">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709" w:right="0" w:hanging="709"/>
        <w:contextualSpacing w:val="0"/>
        <w:jc w:val="both"/>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Dias, G.A., Rocha, R.H.C., Araújo, J.L., De Lima, J.F., Guedes, W.A. (2016). Growth, yield, and postharvest quality in eggplant produced under different foliar fertilizer (</w:t>
      </w:r>
      <w:r w:rsidDel="00000000" w:rsidR="00000000" w:rsidRPr="00000000">
        <w:rPr>
          <w:rFonts w:ascii="Verdana" w:cs="Verdana" w:eastAsia="Verdana" w:hAnsi="Verdana"/>
          <w:b w:val="0"/>
          <w:i w:val="1"/>
          <w:smallCaps w:val="0"/>
          <w:strike w:val="0"/>
          <w:color w:val="000000"/>
          <w:sz w:val="20"/>
          <w:szCs w:val="20"/>
          <w:u w:val="none"/>
          <w:shd w:fill="auto" w:val="clear"/>
          <w:vertAlign w:val="baseline"/>
          <w:rtl w:val="0"/>
        </w:rPr>
        <w:t xml:space="preserve">Spirulina platensis</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 treatments. </w:t>
      </w:r>
      <w:r w:rsidDel="00000000" w:rsidR="00000000" w:rsidRPr="00000000">
        <w:rPr>
          <w:rFonts w:ascii="Verdana" w:cs="Verdana" w:eastAsia="Verdana" w:hAnsi="Verdana"/>
          <w:b w:val="0"/>
          <w:i w:val="1"/>
          <w:smallCaps w:val="0"/>
          <w:strike w:val="0"/>
          <w:color w:val="000000"/>
          <w:sz w:val="20"/>
          <w:szCs w:val="20"/>
          <w:u w:val="none"/>
          <w:shd w:fill="auto" w:val="clear"/>
          <w:vertAlign w:val="baseline"/>
          <w:rtl w:val="0"/>
        </w:rPr>
        <w:t xml:space="preserve">Semina:</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 </w:t>
      </w:r>
      <w:r w:rsidDel="00000000" w:rsidR="00000000" w:rsidRPr="00000000">
        <w:rPr>
          <w:rFonts w:ascii="Verdana" w:cs="Verdana" w:eastAsia="Verdana" w:hAnsi="Verdana"/>
          <w:b w:val="0"/>
          <w:i w:val="1"/>
          <w:smallCaps w:val="0"/>
          <w:strike w:val="0"/>
          <w:color w:val="000000"/>
          <w:sz w:val="20"/>
          <w:szCs w:val="20"/>
          <w:u w:val="none"/>
          <w:shd w:fill="auto" w:val="clear"/>
          <w:vertAlign w:val="baseline"/>
          <w:rtl w:val="0"/>
        </w:rPr>
        <w:t xml:space="preserve">Ciencias Agrárias, Londrina, 37</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(6):3893–3902.DOI: 10.5433/1679-0359.2016v37n6p3893</w:t>
      </w:r>
    </w:p>
    <w:p w:rsidR="00000000" w:rsidDel="00000000" w:rsidP="00000000" w:rsidRDefault="00000000" w:rsidRPr="00000000" w14:paraId="000000B9">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709" w:right="0" w:hanging="709"/>
        <w:contextualSpacing w:val="0"/>
        <w:jc w:val="both"/>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Dieguez, Y.B.C. (2016). Alternativa agro ecológica para la producción de abonos orgánicos a partir de Sargassum (algas marinas), </w:t>
      </w:r>
      <w:r w:rsidDel="00000000" w:rsidR="00000000" w:rsidRPr="00000000">
        <w:rPr>
          <w:rFonts w:ascii="Verdana" w:cs="Verdana" w:eastAsia="Verdana" w:hAnsi="Verdana"/>
          <w:b w:val="0"/>
          <w:i w:val="1"/>
          <w:smallCaps w:val="0"/>
          <w:strike w:val="0"/>
          <w:color w:val="000000"/>
          <w:sz w:val="20"/>
          <w:szCs w:val="20"/>
          <w:u w:val="none"/>
          <w:shd w:fill="auto" w:val="clear"/>
          <w:vertAlign w:val="baseline"/>
          <w:rtl w:val="0"/>
        </w:rPr>
        <w:t xml:space="preserve">Revista Caribeña de Ciencias Sociales</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 https://www.eumed.net/rev/caribe/2016/09/abonos.html</w:t>
      </w:r>
    </w:p>
    <w:p w:rsidR="00000000" w:rsidDel="00000000" w:rsidP="00000000" w:rsidRDefault="00000000" w:rsidRPr="00000000" w14:paraId="000000BA">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709" w:right="0" w:hanging="709"/>
        <w:contextualSpacing w:val="0"/>
        <w:jc w:val="both"/>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Dubois, M.K., Gilles, A., Hamilton, J.K., Rebersand, P.A. and Smith, F. (1956). Colorimetric method for determination of sugars and related substances. </w:t>
      </w:r>
      <w:r w:rsidDel="00000000" w:rsidR="00000000" w:rsidRPr="00000000">
        <w:rPr>
          <w:rFonts w:ascii="Verdana" w:cs="Verdana" w:eastAsia="Verdana" w:hAnsi="Verdana"/>
          <w:b w:val="0"/>
          <w:i w:val="1"/>
          <w:smallCaps w:val="0"/>
          <w:strike w:val="0"/>
          <w:color w:val="000000"/>
          <w:sz w:val="20"/>
          <w:szCs w:val="20"/>
          <w:u w:val="none"/>
          <w:shd w:fill="auto" w:val="clear"/>
          <w:vertAlign w:val="baseline"/>
          <w:rtl w:val="0"/>
        </w:rPr>
        <w:t xml:space="preserve">Anal. Chem, 28</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 350-356.</w:t>
      </w:r>
    </w:p>
    <w:p w:rsidR="00000000" w:rsidDel="00000000" w:rsidP="00000000" w:rsidRDefault="00000000" w:rsidRPr="00000000" w14:paraId="000000BB">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709" w:right="0" w:hanging="709"/>
        <w:contextualSpacing w:val="0"/>
        <w:jc w:val="both"/>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Hamed, S.M., El-Rhman, A.A., Abdel-Raouf, N., Ibraheem, I.B. (2018). Role of marine macroalgae in plant protection &amp; improvement for sustainable agriculture technology. </w:t>
      </w:r>
      <w:r w:rsidDel="00000000" w:rsidR="00000000" w:rsidRPr="00000000">
        <w:rPr>
          <w:rFonts w:ascii="Verdana" w:cs="Verdana" w:eastAsia="Verdana" w:hAnsi="Verdana"/>
          <w:b w:val="0"/>
          <w:i w:val="1"/>
          <w:smallCaps w:val="0"/>
          <w:strike w:val="0"/>
          <w:color w:val="000000"/>
          <w:sz w:val="20"/>
          <w:szCs w:val="20"/>
          <w:u w:val="none"/>
          <w:shd w:fill="auto" w:val="clear"/>
          <w:vertAlign w:val="baseline"/>
          <w:rtl w:val="0"/>
        </w:rPr>
        <w:t xml:space="preserve">Beni-Suef University Journal of Basic and Applied Sciences, 7</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(1), 104–110. DOI:</w:t>
      </w:r>
      <w:hyperlink r:id="rId7">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10.1016/j.bjbas.2017.08.002</w:t>
        </w:r>
      </w:hyperlink>
      <w:r w:rsidDel="00000000" w:rsidR="00000000" w:rsidRPr="00000000">
        <w:rPr>
          <w:rtl w:val="0"/>
        </w:rPr>
      </w:r>
    </w:p>
    <w:p w:rsidR="00000000" w:rsidDel="00000000" w:rsidP="00000000" w:rsidRDefault="00000000" w:rsidRPr="00000000" w14:paraId="000000BC">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709" w:right="0" w:hanging="709"/>
        <w:contextualSpacing w:val="0"/>
        <w:jc w:val="both"/>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Hernández, A., Pérez, J.M., Bosh, D., and Castro, N. (2015). Clasificación de los suelos de Cuba. Mayabeque. Cuba: Ediciones INCA, 93 p.</w:t>
      </w:r>
    </w:p>
    <w:p w:rsidR="00000000" w:rsidDel="00000000" w:rsidP="00000000" w:rsidRDefault="00000000" w:rsidRPr="00000000" w14:paraId="000000BD">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709" w:right="0" w:hanging="709"/>
        <w:contextualSpacing w:val="0"/>
        <w:jc w:val="both"/>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Hurtado, M.G., Amador, I.Q., Acosta, C.R. (2002). Comparación química entre dos fertilizantes ecológicos de origen natural: CBFERT y BIOPLASMA.</w:t>
      </w:r>
      <w:r w:rsidDel="00000000" w:rsidR="00000000" w:rsidRPr="00000000">
        <w:rPr>
          <w:rFonts w:ascii="Verdana" w:cs="Verdana" w:eastAsia="Verdana" w:hAnsi="Verdana"/>
          <w:b w:val="0"/>
          <w:i w:val="1"/>
          <w:smallCaps w:val="0"/>
          <w:strike w:val="0"/>
          <w:color w:val="000000"/>
          <w:sz w:val="20"/>
          <w:szCs w:val="20"/>
          <w:u w:val="none"/>
          <w:shd w:fill="auto" w:val="clear"/>
          <w:vertAlign w:val="baseline"/>
          <w:rtl w:val="0"/>
        </w:rPr>
        <w:t xml:space="preserve"> CENIC. Ciencias Químicas, 33</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(1):11–3.</w:t>
      </w:r>
    </w:p>
    <w:p w:rsidR="00000000" w:rsidDel="00000000" w:rsidP="00000000" w:rsidRDefault="00000000" w:rsidRPr="00000000" w14:paraId="000000BE">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709" w:right="0" w:hanging="709"/>
        <w:contextualSpacing w:val="0"/>
        <w:jc w:val="both"/>
        <w:rPr>
          <w:rFonts w:ascii="Verdana" w:cs="Verdana" w:eastAsia="Verdana" w:hAnsi="Verdana"/>
          <w:b w:val="0"/>
          <w:i w:val="0"/>
          <w:smallCaps w:val="0"/>
          <w:strike w:val="0"/>
          <w:color w:val="0000ff"/>
          <w:sz w:val="20"/>
          <w:szCs w:val="20"/>
          <w:u w:val="singl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Kaladharan, P., Subramannian, S., Anjelo, P., Thulasidharan, A., &amp; Vysakhan, P. (2021). Mulching brown seaweed </w:t>
      </w:r>
      <w:r w:rsidDel="00000000" w:rsidR="00000000" w:rsidRPr="00000000">
        <w:rPr>
          <w:rFonts w:ascii="Verdana" w:cs="Verdana" w:eastAsia="Verdana" w:hAnsi="Verdana"/>
          <w:b w:val="0"/>
          <w:i w:val="1"/>
          <w:smallCaps w:val="0"/>
          <w:strike w:val="0"/>
          <w:color w:val="000000"/>
          <w:sz w:val="20"/>
          <w:szCs w:val="20"/>
          <w:u w:val="none"/>
          <w:shd w:fill="auto" w:val="clear"/>
          <w:vertAlign w:val="baseline"/>
          <w:rtl w:val="0"/>
        </w:rPr>
        <w:t xml:space="preserve">Sargassum wightii</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 during transplant on the growth and yield of paddy. </w:t>
      </w:r>
      <w:r w:rsidDel="00000000" w:rsidR="00000000" w:rsidRPr="00000000">
        <w:rPr>
          <w:rFonts w:ascii="Verdana" w:cs="Verdana" w:eastAsia="Verdana" w:hAnsi="Verdana"/>
          <w:b w:val="0"/>
          <w:i w:val="1"/>
          <w:smallCaps w:val="0"/>
          <w:strike w:val="0"/>
          <w:color w:val="000000"/>
          <w:sz w:val="20"/>
          <w:szCs w:val="20"/>
          <w:u w:val="none"/>
          <w:shd w:fill="auto" w:val="clear"/>
          <w:vertAlign w:val="baseline"/>
          <w:rtl w:val="0"/>
        </w:rPr>
        <w:t xml:space="preserve">Journal of the Marine Biological Association of India, 63</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(1), 117-121. </w:t>
      </w:r>
      <w:hyperlink r:id="rId8">
        <w:r w:rsidDel="00000000" w:rsidR="00000000" w:rsidRPr="00000000">
          <w:rPr>
            <w:rFonts w:ascii="Verdana" w:cs="Verdana" w:eastAsia="Verdana" w:hAnsi="Verdana"/>
            <w:b w:val="0"/>
            <w:i w:val="0"/>
            <w:smallCaps w:val="0"/>
            <w:strike w:val="0"/>
            <w:color w:val="0000ff"/>
            <w:sz w:val="20"/>
            <w:szCs w:val="20"/>
            <w:u w:val="single"/>
            <w:shd w:fill="auto" w:val="clear"/>
            <w:vertAlign w:val="baseline"/>
            <w:rtl w:val="0"/>
          </w:rPr>
          <w:t xml:space="preserve">http://dx.doi.org/10.6024/jmbai.2021.63.1.2244-17</w:t>
        </w:r>
      </w:hyperlink>
      <w:r w:rsidDel="00000000" w:rsidR="00000000" w:rsidRPr="00000000">
        <w:rPr>
          <w:rtl w:val="0"/>
        </w:rPr>
      </w:r>
    </w:p>
    <w:p w:rsidR="00000000" w:rsidDel="00000000" w:rsidP="00000000" w:rsidRDefault="00000000" w:rsidRPr="00000000" w14:paraId="000000BF">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709" w:right="0" w:hanging="709"/>
        <w:contextualSpacing w:val="0"/>
        <w:jc w:val="both"/>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López-</w:t>
        <w:tab/>
        <w:t xml:space="preserve">Padrón, I., Martínez-González, L., Pérez-Domínguez, G. Cedeño-Rodríguez, L., Reyes-Guerrero, Y., Cárdenas-Travieso </w:t>
      </w:r>
      <w:r w:rsidDel="00000000" w:rsidR="00000000" w:rsidRPr="00000000">
        <w:rPr>
          <w:rFonts w:ascii="Verdana" w:cs="Verdana" w:eastAsia="Verdana" w:hAnsi="Verdana"/>
          <w:b w:val="0"/>
          <w:i w:val="1"/>
          <w:smallCaps w:val="0"/>
          <w:strike w:val="0"/>
          <w:color w:val="000000"/>
          <w:sz w:val="20"/>
          <w:szCs w:val="20"/>
          <w:u w:val="none"/>
          <w:shd w:fill="auto" w:val="clear"/>
          <w:vertAlign w:val="baseline"/>
          <w:rtl w:val="0"/>
        </w:rPr>
        <w:t xml:space="preserve">et al</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 (2021). Efectos de productos bioactivos en plantas de </w:t>
      </w:r>
      <w:r w:rsidDel="00000000" w:rsidR="00000000" w:rsidRPr="00000000">
        <w:rPr>
          <w:rFonts w:ascii="Verdana" w:cs="Verdana" w:eastAsia="Verdana" w:hAnsi="Verdana"/>
          <w:b w:val="0"/>
          <w:i w:val="1"/>
          <w:smallCaps w:val="0"/>
          <w:strike w:val="0"/>
          <w:color w:val="000000"/>
          <w:sz w:val="20"/>
          <w:szCs w:val="20"/>
          <w:u w:val="none"/>
          <w:shd w:fill="auto" w:val="clear"/>
          <w:vertAlign w:val="baseline"/>
          <w:rtl w:val="0"/>
        </w:rPr>
        <w:t xml:space="preserve">Cicerarietinim</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 L. </w:t>
      </w:r>
      <w:r w:rsidDel="00000000" w:rsidR="00000000" w:rsidRPr="00000000">
        <w:rPr>
          <w:rFonts w:ascii="Verdana" w:cs="Verdana" w:eastAsia="Verdana" w:hAnsi="Verdana"/>
          <w:b w:val="0"/>
          <w:i w:val="1"/>
          <w:smallCaps w:val="0"/>
          <w:strike w:val="0"/>
          <w:color w:val="000000"/>
          <w:sz w:val="20"/>
          <w:szCs w:val="20"/>
          <w:u w:val="none"/>
          <w:shd w:fill="auto" w:val="clear"/>
          <w:vertAlign w:val="baseline"/>
          <w:rtl w:val="0"/>
        </w:rPr>
        <w:t xml:space="preserve">Cultivos Tropicales, 42</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(1), e06. https://ediciones.inca.edu.cu</w:t>
      </w:r>
    </w:p>
    <w:p w:rsidR="00000000" w:rsidDel="00000000" w:rsidP="00000000" w:rsidRDefault="00000000" w:rsidRPr="00000000" w14:paraId="000000C0">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709" w:right="0" w:hanging="709"/>
        <w:contextualSpacing w:val="0"/>
        <w:jc w:val="both"/>
        <w:rPr>
          <w:rFonts w:ascii="Verdana" w:cs="Verdana" w:eastAsia="Verdana" w:hAnsi="Verdana"/>
          <w:b w:val="0"/>
          <w:i w:val="0"/>
          <w:smallCaps w:val="0"/>
          <w:strike w:val="0"/>
          <w:color w:val="0000ff"/>
          <w:sz w:val="20"/>
          <w:szCs w:val="20"/>
          <w:u w:val="singl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Mahmoud, S.H., Salama, D.M., El-Tanahy, A.M., &amp; Abd El-Samad, E.H. (2019). Utilization of seaweed (</w:t>
      </w:r>
      <w:r w:rsidDel="00000000" w:rsidR="00000000" w:rsidRPr="00000000">
        <w:rPr>
          <w:rFonts w:ascii="Verdana" w:cs="Verdana" w:eastAsia="Verdana" w:hAnsi="Verdana"/>
          <w:b w:val="0"/>
          <w:i w:val="1"/>
          <w:smallCaps w:val="0"/>
          <w:strike w:val="0"/>
          <w:color w:val="000000"/>
          <w:sz w:val="20"/>
          <w:szCs w:val="20"/>
          <w:u w:val="none"/>
          <w:shd w:fill="auto" w:val="clear"/>
          <w:vertAlign w:val="baseline"/>
          <w:rtl w:val="0"/>
        </w:rPr>
        <w:t xml:space="preserve">Sargassum vulgare</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 extract to enhance growth, yield and nutritional quality of red radish plants. </w:t>
      </w:r>
      <w:r w:rsidDel="00000000" w:rsidR="00000000" w:rsidRPr="00000000">
        <w:rPr>
          <w:rFonts w:ascii="Verdana" w:cs="Verdana" w:eastAsia="Verdana" w:hAnsi="Verdana"/>
          <w:b w:val="0"/>
          <w:i w:val="1"/>
          <w:smallCaps w:val="0"/>
          <w:strike w:val="0"/>
          <w:color w:val="000000"/>
          <w:sz w:val="20"/>
          <w:szCs w:val="20"/>
          <w:u w:val="none"/>
          <w:shd w:fill="auto" w:val="clear"/>
          <w:vertAlign w:val="baseline"/>
          <w:rtl w:val="0"/>
        </w:rPr>
        <w:t xml:space="preserve">Annals of Agricultural Sciences, 64,</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 167-175. </w:t>
      </w:r>
      <w:hyperlink r:id="rId9">
        <w:r w:rsidDel="00000000" w:rsidR="00000000" w:rsidRPr="00000000">
          <w:rPr>
            <w:rFonts w:ascii="Verdana" w:cs="Verdana" w:eastAsia="Verdana" w:hAnsi="Verdana"/>
            <w:b w:val="0"/>
            <w:i w:val="0"/>
            <w:smallCaps w:val="0"/>
            <w:strike w:val="0"/>
            <w:color w:val="0000ff"/>
            <w:sz w:val="20"/>
            <w:szCs w:val="20"/>
            <w:u w:val="single"/>
            <w:shd w:fill="auto" w:val="clear"/>
            <w:vertAlign w:val="baseline"/>
            <w:rtl w:val="0"/>
          </w:rPr>
          <w:t xml:space="preserve">https://www.researchgate.net/publication/337728526</w:t>
        </w:r>
      </w:hyperlink>
      <w:r w:rsidDel="00000000" w:rsidR="00000000" w:rsidRPr="00000000">
        <w:rPr>
          <w:rtl w:val="0"/>
        </w:rPr>
      </w:r>
    </w:p>
    <w:p w:rsidR="00000000" w:rsidDel="00000000" w:rsidP="00000000" w:rsidRDefault="00000000" w:rsidRPr="00000000" w14:paraId="000000C1">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709" w:right="0" w:hanging="709"/>
        <w:contextualSpacing w:val="0"/>
        <w:jc w:val="both"/>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Nagata, M. and Yamashita, I. (1992). Simple method for simultaneous determination of chlorophyll and carotenoids in tomato fruit. </w:t>
      </w:r>
      <w:r w:rsidDel="00000000" w:rsidR="00000000" w:rsidRPr="00000000">
        <w:rPr>
          <w:rFonts w:ascii="Verdana" w:cs="Verdana" w:eastAsia="Verdana" w:hAnsi="Verdana"/>
          <w:b w:val="0"/>
          <w:i w:val="1"/>
          <w:smallCaps w:val="0"/>
          <w:strike w:val="0"/>
          <w:color w:val="000000"/>
          <w:sz w:val="20"/>
          <w:szCs w:val="20"/>
          <w:u w:val="none"/>
          <w:shd w:fill="auto" w:val="clear"/>
          <w:vertAlign w:val="baseline"/>
          <w:rtl w:val="0"/>
        </w:rPr>
        <w:t xml:space="preserve">Nippon Shokuhin Kogyo Gakkaish, 39</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 925–928.</w:t>
      </w:r>
    </w:p>
    <w:p w:rsidR="00000000" w:rsidDel="00000000" w:rsidP="00000000" w:rsidRDefault="00000000" w:rsidRPr="00000000" w14:paraId="000000C2">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709" w:right="0" w:hanging="709"/>
        <w:contextualSpacing w:val="0"/>
        <w:jc w:val="both"/>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Novillo, C. (2019). Qué es el sargazo. [Internet] [cited 2022 2/9]. Available from: </w:t>
      </w:r>
      <w:hyperlink r:id="rId10">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https://www.ecologiaverde.com/</w:t>
        </w:r>
      </w:hyperlink>
      <w:r w:rsidDel="00000000" w:rsidR="00000000" w:rsidRPr="00000000">
        <w:rPr>
          <w:rtl w:val="0"/>
        </w:rPr>
      </w:r>
    </w:p>
    <w:p w:rsidR="00000000" w:rsidDel="00000000" w:rsidP="00000000" w:rsidRDefault="00000000" w:rsidRPr="00000000" w14:paraId="000000C3">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709" w:right="0" w:hanging="709"/>
        <w:contextualSpacing w:val="0"/>
        <w:jc w:val="both"/>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Pahalvi, H. N., Rafiya, L., Rashid, S., Nisar, B., and Kamili, A. N. (2021). Chemical fertilizers and their impact on soil health. </w:t>
      </w:r>
      <w:r w:rsidDel="00000000" w:rsidR="00000000" w:rsidRPr="00000000">
        <w:rPr>
          <w:rFonts w:ascii="Verdana" w:cs="Verdana" w:eastAsia="Verdana" w:hAnsi="Verdana"/>
          <w:b w:val="0"/>
          <w:i w:val="1"/>
          <w:smallCaps w:val="0"/>
          <w:strike w:val="0"/>
          <w:color w:val="000000"/>
          <w:sz w:val="20"/>
          <w:szCs w:val="20"/>
          <w:u w:val="none"/>
          <w:shd w:fill="auto" w:val="clear"/>
          <w:vertAlign w:val="baseline"/>
          <w:rtl w:val="0"/>
        </w:rPr>
        <w:t xml:space="preserve">In Microbiota Biofertilizers. 2,</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 1–20. doi: 10.1007/978-3-030-61010-4_1</w:t>
      </w:r>
    </w:p>
    <w:p w:rsidR="00000000" w:rsidDel="00000000" w:rsidP="00000000" w:rsidRDefault="00000000" w:rsidRPr="00000000" w14:paraId="000000C4">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709" w:right="0" w:hanging="709"/>
        <w:contextualSpacing w:val="0"/>
        <w:jc w:val="both"/>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Pourmorad, F., Hosseinimehr, S.J. and Shahabimajd, N. (2006). Antioxidant activity, phenol and flavonoid contents of some selected Iranian medicinal plants. </w:t>
      </w:r>
      <w:r w:rsidDel="00000000" w:rsidR="00000000" w:rsidRPr="00000000">
        <w:rPr>
          <w:rFonts w:ascii="Verdana" w:cs="Verdana" w:eastAsia="Verdana" w:hAnsi="Verdana"/>
          <w:b w:val="0"/>
          <w:i w:val="1"/>
          <w:smallCaps w:val="0"/>
          <w:strike w:val="0"/>
          <w:color w:val="000000"/>
          <w:sz w:val="20"/>
          <w:szCs w:val="20"/>
          <w:u w:val="none"/>
          <w:shd w:fill="auto" w:val="clear"/>
          <w:vertAlign w:val="baseline"/>
          <w:rtl w:val="0"/>
        </w:rPr>
        <w:t xml:space="preserve">African Journal of Biotechnology, 5</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(11), 1142-1145. </w:t>
      </w:r>
      <w:hyperlink r:id="rId11">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http://www.academicjournals.org/AJB</w:t>
        </w:r>
      </w:hyperlink>
      <w:r w:rsidDel="00000000" w:rsidR="00000000" w:rsidRPr="00000000">
        <w:rPr>
          <w:rtl w:val="0"/>
        </w:rPr>
      </w:r>
    </w:p>
    <w:p w:rsidR="00000000" w:rsidDel="00000000" w:rsidP="00000000" w:rsidRDefault="00000000" w:rsidRPr="00000000" w14:paraId="000000C5">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709" w:right="0" w:hanging="709"/>
        <w:contextualSpacing w:val="0"/>
        <w:jc w:val="both"/>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Quettier, D. C., Gressier, B., Vasseur, J., Dine, T., Brunet, C., Luyckx, M.C., Cayin, J.C., Bailleul, F., Trotin, F. (2000). Phenolic compounds and antioxidant activities of buckwheat (</w:t>
      </w:r>
      <w:r w:rsidDel="00000000" w:rsidR="00000000" w:rsidRPr="00000000">
        <w:rPr>
          <w:rFonts w:ascii="Verdana" w:cs="Verdana" w:eastAsia="Verdana" w:hAnsi="Verdana"/>
          <w:b w:val="0"/>
          <w:i w:val="1"/>
          <w:smallCaps w:val="0"/>
          <w:strike w:val="0"/>
          <w:color w:val="000000"/>
          <w:sz w:val="20"/>
          <w:szCs w:val="20"/>
          <w:u w:val="none"/>
          <w:shd w:fill="auto" w:val="clear"/>
          <w:vertAlign w:val="baseline"/>
          <w:rtl w:val="0"/>
        </w:rPr>
        <w:t xml:space="preserve">Fagopyrum esculentum Moench</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 hulls and flour. </w:t>
      </w:r>
      <w:r w:rsidDel="00000000" w:rsidR="00000000" w:rsidRPr="00000000">
        <w:rPr>
          <w:rFonts w:ascii="Verdana" w:cs="Verdana" w:eastAsia="Verdana" w:hAnsi="Verdana"/>
          <w:b w:val="0"/>
          <w:i w:val="1"/>
          <w:smallCaps w:val="0"/>
          <w:strike w:val="0"/>
          <w:color w:val="000000"/>
          <w:sz w:val="20"/>
          <w:szCs w:val="20"/>
          <w:u w:val="none"/>
          <w:shd w:fill="auto" w:val="clear"/>
          <w:vertAlign w:val="baseline"/>
          <w:rtl w:val="0"/>
        </w:rPr>
        <w:t xml:space="preserve">J. Ethnopharmacol, 72</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 35-42.doi: 10.1016/s0378-8741(00)00196-3</w:t>
      </w:r>
    </w:p>
    <w:p w:rsidR="00000000" w:rsidDel="00000000" w:rsidP="00000000" w:rsidRDefault="00000000" w:rsidRPr="00000000" w14:paraId="000000C6">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709" w:right="0" w:hanging="709"/>
        <w:contextualSpacing w:val="0"/>
        <w:jc w:val="both"/>
        <w:rPr>
          <w:rFonts w:ascii="Verdana" w:cs="Verdana" w:eastAsia="Verdana" w:hAnsi="Verdana"/>
          <w:b w:val="0"/>
          <w:i w:val="0"/>
          <w:smallCaps w:val="0"/>
          <w:strike w:val="0"/>
          <w:color w:val="0000ff"/>
          <w:sz w:val="20"/>
          <w:szCs w:val="20"/>
          <w:u w:val="singl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Radjassegarin, A. &amp; Perumal, A. (2021). Synergetic effects of seaweed extract and Rhizobium on cowpea. </w:t>
      </w:r>
      <w:r w:rsidDel="00000000" w:rsidR="00000000" w:rsidRPr="00000000">
        <w:rPr>
          <w:rFonts w:ascii="Verdana" w:cs="Verdana" w:eastAsia="Verdana" w:hAnsi="Verdana"/>
          <w:b w:val="0"/>
          <w:i w:val="1"/>
          <w:smallCaps w:val="0"/>
          <w:strike w:val="0"/>
          <w:color w:val="000000"/>
          <w:sz w:val="20"/>
          <w:szCs w:val="20"/>
          <w:u w:val="none"/>
          <w:shd w:fill="auto" w:val="clear"/>
          <w:vertAlign w:val="baseline"/>
          <w:rtl w:val="0"/>
        </w:rPr>
        <w:t xml:space="preserve">Natural Resources for Human Health, 1</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(1), 43-50. </w:t>
      </w:r>
      <w:hyperlink r:id="rId12">
        <w:r w:rsidDel="00000000" w:rsidR="00000000" w:rsidRPr="00000000">
          <w:rPr>
            <w:rFonts w:ascii="Verdana" w:cs="Verdana" w:eastAsia="Verdana" w:hAnsi="Verdana"/>
            <w:b w:val="0"/>
            <w:i w:val="0"/>
            <w:smallCaps w:val="0"/>
            <w:strike w:val="0"/>
            <w:color w:val="0000ff"/>
            <w:sz w:val="20"/>
            <w:szCs w:val="20"/>
            <w:u w:val="single"/>
            <w:shd w:fill="auto" w:val="clear"/>
            <w:vertAlign w:val="baseline"/>
            <w:rtl w:val="0"/>
          </w:rPr>
          <w:t xml:space="preserve">https://doi.org/10.53365/nrfhh/141292</w:t>
        </w:r>
      </w:hyperlink>
      <w:r w:rsidDel="00000000" w:rsidR="00000000" w:rsidRPr="00000000">
        <w:rPr>
          <w:rtl w:val="0"/>
        </w:rPr>
      </w:r>
    </w:p>
    <w:p w:rsidR="00000000" w:rsidDel="00000000" w:rsidP="00000000" w:rsidRDefault="00000000" w:rsidRPr="00000000" w14:paraId="000000C7">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709" w:right="0" w:hanging="709"/>
        <w:contextualSpacing w:val="0"/>
        <w:jc w:val="both"/>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Ronga, D., Biazzi, E., Parati, K., Carminati, D., Carminati, E., Tava, A. (2019). Microalgal biostimulants and biofertilisers in crop productions. </w:t>
      </w:r>
      <w:r w:rsidDel="00000000" w:rsidR="00000000" w:rsidRPr="00000000">
        <w:rPr>
          <w:rFonts w:ascii="Verdana" w:cs="Verdana" w:eastAsia="Verdana" w:hAnsi="Verdana"/>
          <w:b w:val="0"/>
          <w:i w:val="1"/>
          <w:smallCaps w:val="0"/>
          <w:strike w:val="0"/>
          <w:color w:val="000000"/>
          <w:sz w:val="20"/>
          <w:szCs w:val="20"/>
          <w:u w:val="none"/>
          <w:shd w:fill="auto" w:val="clear"/>
          <w:vertAlign w:val="baseline"/>
          <w:rtl w:val="0"/>
        </w:rPr>
        <w:t xml:space="preserve">Agronomy, 9</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(4), 192. </w:t>
      </w:r>
      <w:hyperlink r:id="rId13">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https://doi.org/10.3390/agronomy9040192</w:t>
        </w:r>
      </w:hyperlink>
      <w:r w:rsidDel="00000000" w:rsidR="00000000" w:rsidRPr="00000000">
        <w:rPr>
          <w:rtl w:val="0"/>
        </w:rPr>
      </w:r>
    </w:p>
    <w:p w:rsidR="00000000" w:rsidDel="00000000" w:rsidP="00000000" w:rsidRDefault="00000000" w:rsidRPr="00000000" w14:paraId="000000C8">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709" w:right="0" w:hanging="709"/>
        <w:contextualSpacing w:val="0"/>
        <w:jc w:val="both"/>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Seely, G.R., Duncan, M.J. and Vidaver, W.E. (1972). Preparative and analytical extraction of pigments from brown algae with dimethyl sulfoxide. </w:t>
      </w:r>
      <w:r w:rsidDel="00000000" w:rsidR="00000000" w:rsidRPr="00000000">
        <w:rPr>
          <w:rFonts w:ascii="Verdana" w:cs="Verdana" w:eastAsia="Verdana" w:hAnsi="Verdana"/>
          <w:b w:val="0"/>
          <w:i w:val="1"/>
          <w:smallCaps w:val="0"/>
          <w:strike w:val="0"/>
          <w:color w:val="000000"/>
          <w:sz w:val="20"/>
          <w:szCs w:val="20"/>
          <w:u w:val="none"/>
          <w:shd w:fill="auto" w:val="clear"/>
          <w:vertAlign w:val="baseline"/>
          <w:rtl w:val="0"/>
        </w:rPr>
        <w:t xml:space="preserve">Marine Biology, 12,</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 184-188.</w:t>
      </w:r>
    </w:p>
    <w:p w:rsidR="00000000" w:rsidDel="00000000" w:rsidP="00000000" w:rsidRDefault="00000000" w:rsidRPr="00000000" w14:paraId="000000C9">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709" w:right="0" w:hanging="709"/>
        <w:contextualSpacing w:val="0"/>
        <w:jc w:val="both"/>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Seif, Y.I.A., El-Miniawy, SE-DM, El-Azm, N.A.A., Hegazi, A.Z. (2016). Response of snap bean growth and seed yield to seed size, plant density and foliar application with algae extract. </w:t>
      </w:r>
      <w:r w:rsidDel="00000000" w:rsidR="00000000" w:rsidRPr="00000000">
        <w:rPr>
          <w:rFonts w:ascii="Verdana" w:cs="Verdana" w:eastAsia="Verdana" w:hAnsi="Verdana"/>
          <w:b w:val="0"/>
          <w:i w:val="1"/>
          <w:smallCaps w:val="0"/>
          <w:strike w:val="0"/>
          <w:color w:val="000000"/>
          <w:sz w:val="20"/>
          <w:szCs w:val="20"/>
          <w:u w:val="none"/>
          <w:shd w:fill="auto" w:val="clear"/>
          <w:vertAlign w:val="baseline"/>
          <w:rtl w:val="0"/>
        </w:rPr>
        <w:t xml:space="preserve">Annals of Agricultural Sciences, 61</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(2):187–199.</w:t>
      </w:r>
    </w:p>
    <w:p w:rsidR="00000000" w:rsidDel="00000000" w:rsidP="00000000" w:rsidRDefault="00000000" w:rsidRPr="00000000" w14:paraId="000000CA">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709" w:right="0" w:hanging="709"/>
        <w:contextualSpacing w:val="0"/>
        <w:jc w:val="both"/>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Singleton, V.L., Rossi, J.A. (1965). Colorimetry of total phenolics with phosphomolybdic-</w:t>
        <w:br w:type="textWrapping"/>
        <w:t xml:space="preserve">phosphotungstic acid reagents. </w:t>
      </w:r>
      <w:r w:rsidDel="00000000" w:rsidR="00000000" w:rsidRPr="00000000">
        <w:rPr>
          <w:rFonts w:ascii="Verdana" w:cs="Verdana" w:eastAsia="Verdana" w:hAnsi="Verdana"/>
          <w:b w:val="0"/>
          <w:i w:val="1"/>
          <w:smallCaps w:val="0"/>
          <w:strike w:val="0"/>
          <w:color w:val="000000"/>
          <w:sz w:val="20"/>
          <w:szCs w:val="20"/>
          <w:u w:val="none"/>
          <w:shd w:fill="auto" w:val="clear"/>
          <w:vertAlign w:val="baseline"/>
          <w:rtl w:val="0"/>
        </w:rPr>
        <w:t xml:space="preserve">Am J Enol Vitic, 16</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:144-158.http://www.ajevonline.org/content/16/3/144.full.pdf+html</w:t>
      </w:r>
    </w:p>
    <w:p w:rsidR="00000000" w:rsidDel="00000000" w:rsidP="00000000" w:rsidRDefault="00000000" w:rsidRPr="00000000" w14:paraId="000000CB">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709" w:right="0" w:hanging="709"/>
        <w:contextualSpacing w:val="0"/>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Sunarpi, H., Nikmatullah, A., Sunarwidhi, A.L., Ambana, Y., Ilhami, T.K., Widyastuti, S., Hernawan, A., &amp; Prasedya, E. (2020). Effect of Solid and Liquid Extracts of Lombok </w:t>
      </w:r>
      <w:r w:rsidDel="00000000" w:rsidR="00000000" w:rsidRPr="00000000">
        <w:rPr>
          <w:rFonts w:ascii="Verdana" w:cs="Verdana" w:eastAsia="Verdana" w:hAnsi="Verdana"/>
          <w:b w:val="0"/>
          <w:i w:val="1"/>
          <w:smallCaps w:val="0"/>
          <w:strike w:val="0"/>
          <w:color w:val="000000"/>
          <w:sz w:val="20"/>
          <w:szCs w:val="20"/>
          <w:u w:val="none"/>
          <w:shd w:fill="auto" w:val="clear"/>
          <w:vertAlign w:val="baseline"/>
          <w:rtl w:val="0"/>
        </w:rPr>
        <w:t xml:space="preserve">Sargassum cristafolium</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 on Growth and Yield of Rice Plants (</w:t>
      </w:r>
      <w:r w:rsidDel="00000000" w:rsidR="00000000" w:rsidRPr="00000000">
        <w:rPr>
          <w:rFonts w:ascii="Verdana" w:cs="Verdana" w:eastAsia="Verdana" w:hAnsi="Verdana"/>
          <w:b w:val="0"/>
          <w:i w:val="1"/>
          <w:smallCaps w:val="0"/>
          <w:strike w:val="0"/>
          <w:color w:val="000000"/>
          <w:sz w:val="20"/>
          <w:szCs w:val="20"/>
          <w:u w:val="none"/>
          <w:shd w:fill="auto" w:val="clear"/>
          <w:vertAlign w:val="baseline"/>
          <w:rtl w:val="0"/>
        </w:rPr>
        <w:t xml:space="preserve">Oryza sativa</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 L.).</w:t>
      </w:r>
      <w:r w:rsidDel="00000000" w:rsidR="00000000" w:rsidRPr="00000000">
        <w:rPr>
          <w:rFonts w:ascii="Verdana" w:cs="Verdana" w:eastAsia="Verdana" w:hAnsi="Verdana"/>
          <w:b w:val="0"/>
          <w:i w:val="1"/>
          <w:smallCaps w:val="0"/>
          <w:strike w:val="0"/>
          <w:color w:val="000000"/>
          <w:sz w:val="20"/>
          <w:szCs w:val="20"/>
          <w:u w:val="none"/>
          <w:shd w:fill="auto" w:val="clear"/>
          <w:vertAlign w:val="baseline"/>
          <w:rtl w:val="0"/>
        </w:rPr>
        <w:t xml:space="preserve"> Jurnal Biologi Tropis, 20</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(3), 320–328. </w:t>
      </w:r>
      <w:hyperlink r:id="rId14">
        <w:r w:rsidDel="00000000" w:rsidR="00000000" w:rsidRPr="00000000">
          <w:rPr>
            <w:rFonts w:ascii="Verdana" w:cs="Verdana" w:eastAsia="Verdana" w:hAnsi="Verdana"/>
            <w:b w:val="0"/>
            <w:i w:val="0"/>
            <w:smallCaps w:val="0"/>
            <w:strike w:val="0"/>
            <w:color w:val="0000ff"/>
            <w:sz w:val="20"/>
            <w:szCs w:val="20"/>
            <w:u w:val="single"/>
            <w:shd w:fill="auto" w:val="clear"/>
            <w:vertAlign w:val="baseline"/>
            <w:rtl w:val="0"/>
          </w:rPr>
          <w:t xml:space="preserve">http://dx.doi.org/10.29303/jbt.v20i3.2048</w:t>
        </w:r>
      </w:hyperlink>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CC">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709" w:right="0" w:hanging="709"/>
        <w:contextualSpacing w:val="0"/>
        <w:jc w:val="both"/>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Waterborg, J.H. (2009). The Lowry Method for Protein Quantitation. In: </w:t>
      </w:r>
      <w:r w:rsidDel="00000000" w:rsidR="00000000" w:rsidRPr="00000000">
        <w:rPr>
          <w:rFonts w:ascii="Verdana" w:cs="Verdana" w:eastAsia="Verdana" w:hAnsi="Verdana"/>
          <w:b w:val="0"/>
          <w:i w:val="1"/>
          <w:smallCaps w:val="0"/>
          <w:strike w:val="0"/>
          <w:color w:val="000000"/>
          <w:sz w:val="20"/>
          <w:szCs w:val="20"/>
          <w:u w:val="none"/>
          <w:shd w:fill="auto" w:val="clear"/>
          <w:vertAlign w:val="baseline"/>
          <w:rtl w:val="0"/>
        </w:rPr>
        <w:t xml:space="preserve">Walker, J.M. (eds) The Protein Protocols Handbook. Springer Protocols Handbooks</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 https://doi.org/10.1007/978-1-59745-198-7_2</w:t>
      </w:r>
    </w:p>
    <w:p w:rsidR="00000000" w:rsidDel="00000000" w:rsidP="00000000" w:rsidRDefault="00000000" w:rsidRPr="00000000" w14:paraId="000000CD">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709" w:right="0" w:hanging="709"/>
        <w:contextualSpacing w:val="0"/>
        <w:jc w:val="both"/>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Waterhouse, A. (2005). Determinations of total phenolics. In </w:t>
      </w:r>
      <w:r w:rsidDel="00000000" w:rsidR="00000000" w:rsidRPr="00000000">
        <w:rPr>
          <w:rFonts w:ascii="Verdana" w:cs="Verdana" w:eastAsia="Verdana" w:hAnsi="Verdana"/>
          <w:b w:val="0"/>
          <w:i w:val="1"/>
          <w:smallCaps w:val="0"/>
          <w:strike w:val="0"/>
          <w:color w:val="000000"/>
          <w:sz w:val="20"/>
          <w:szCs w:val="20"/>
          <w:u w:val="none"/>
          <w:shd w:fill="auto" w:val="clear"/>
          <w:vertAlign w:val="baseline"/>
          <w:rtl w:val="0"/>
        </w:rPr>
        <w:t xml:space="preserve">RE Wrolstad, TE Acree, EA Decker, MH Penner, DS Reid, SJ. Schwarts (Eds.) Handbook of Food Analytical Chemistry, </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463-470. </w:t>
      </w:r>
    </w:p>
    <w:p w:rsidR="00000000" w:rsidDel="00000000" w:rsidP="00000000" w:rsidRDefault="00000000" w:rsidRPr="00000000" w14:paraId="000000CE">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709" w:right="0" w:hanging="709"/>
        <w:contextualSpacing w:val="0"/>
        <w:jc w:val="both"/>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Yao, Y., Wang, X., Chen, B., Zhang, M., &amp; Ma, J. (2020). Seaweed Extract Improved Yields, Leaf Photosynthesis, Ripening Time, and Net Returns of Tomato (</w:t>
      </w:r>
      <w:r w:rsidDel="00000000" w:rsidR="00000000" w:rsidRPr="00000000">
        <w:rPr>
          <w:rFonts w:ascii="Verdana" w:cs="Verdana" w:eastAsia="Verdana" w:hAnsi="Verdana"/>
          <w:b w:val="0"/>
          <w:i w:val="1"/>
          <w:smallCaps w:val="0"/>
          <w:strike w:val="0"/>
          <w:color w:val="000000"/>
          <w:sz w:val="20"/>
          <w:szCs w:val="20"/>
          <w:u w:val="none"/>
          <w:shd w:fill="auto" w:val="clear"/>
          <w:vertAlign w:val="baseline"/>
          <w:rtl w:val="0"/>
        </w:rPr>
        <w:t xml:space="preserve">Solanum lycopersicum</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 Mill.). </w:t>
      </w:r>
      <w:r w:rsidDel="00000000" w:rsidR="00000000" w:rsidRPr="00000000">
        <w:rPr>
          <w:rFonts w:ascii="Verdana" w:cs="Verdana" w:eastAsia="Verdana" w:hAnsi="Verdana"/>
          <w:b w:val="0"/>
          <w:i w:val="1"/>
          <w:smallCaps w:val="0"/>
          <w:strike w:val="0"/>
          <w:color w:val="000000"/>
          <w:sz w:val="20"/>
          <w:szCs w:val="20"/>
          <w:u w:val="none"/>
          <w:shd w:fill="auto" w:val="clear"/>
          <w:vertAlign w:val="baseline"/>
          <w:rtl w:val="0"/>
        </w:rPr>
        <w:t xml:space="preserve">ACS Omega, 5</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(8), 4242-4249. </w:t>
      </w:r>
      <w:hyperlink r:id="rId15">
        <w:r w:rsidDel="00000000" w:rsidR="00000000" w:rsidRPr="00000000">
          <w:rPr>
            <w:rFonts w:ascii="Verdana" w:cs="Verdana" w:eastAsia="Verdana" w:hAnsi="Verdana"/>
            <w:b w:val="0"/>
            <w:i w:val="0"/>
            <w:smallCaps w:val="0"/>
            <w:strike w:val="0"/>
            <w:color w:val="0000ff"/>
            <w:sz w:val="20"/>
            <w:szCs w:val="20"/>
            <w:u w:val="single"/>
            <w:shd w:fill="auto" w:val="clear"/>
            <w:vertAlign w:val="baseline"/>
            <w:rtl w:val="0"/>
          </w:rPr>
          <w:t xml:space="preserve">http://dx.doi.org/10.1021/acsomega.9b04155</w:t>
        </w:r>
      </w:hyperlink>
      <w:r w:rsidDel="00000000" w:rsidR="00000000" w:rsidRPr="00000000">
        <w:rPr>
          <w:rtl w:val="0"/>
        </w:rPr>
      </w:r>
    </w:p>
    <w:sectPr>
      <w:pgSz w:h="15840" w:w="12240"/>
      <w:pgMar w:bottom="1440" w:top="1440" w:left="1418" w:right="1418"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Times New Roman"/>
  <w:font w:name="Cambria"/>
  <w:font w:name="Calibri"/>
  <w:font w:name="Verdana"/>
  <w:font w:name="Noto Sans Symbols"/>
  <w:font w:name="Courier New"/>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decimal"/>
      <w:lvlText w:val="%1."/>
      <w:lvlJc w:val="left"/>
      <w:pPr>
        <w:ind w:left="502" w:hanging="360"/>
      </w:pPr>
      <w:rPr>
        <w:b w:val="1"/>
      </w:rPr>
    </w:lvl>
    <w:lvl w:ilvl="1">
      <w:start w:val="1"/>
      <w:numFmt w:val="lowerLetter"/>
      <w:lvlText w:val="%2."/>
      <w:lvlJc w:val="left"/>
      <w:pPr>
        <w:ind w:left="1582" w:hanging="360"/>
      </w:pPr>
      <w:rPr/>
    </w:lvl>
    <w:lvl w:ilvl="2">
      <w:start w:val="1"/>
      <w:numFmt w:val="lowerRoman"/>
      <w:lvlText w:val="%3."/>
      <w:lvlJc w:val="right"/>
      <w:pPr>
        <w:ind w:left="2302" w:hanging="180"/>
      </w:pPr>
      <w:rPr/>
    </w:lvl>
    <w:lvl w:ilvl="3">
      <w:start w:val="1"/>
      <w:numFmt w:val="decimal"/>
      <w:lvlText w:val="%4."/>
      <w:lvlJc w:val="left"/>
      <w:pPr>
        <w:ind w:left="3022" w:hanging="360"/>
      </w:pPr>
      <w:rPr/>
    </w:lvl>
    <w:lvl w:ilvl="4">
      <w:start w:val="1"/>
      <w:numFmt w:val="lowerLetter"/>
      <w:lvlText w:val="%5."/>
      <w:lvlJc w:val="left"/>
      <w:pPr>
        <w:ind w:left="3742" w:hanging="360"/>
      </w:pPr>
      <w:rPr/>
    </w:lvl>
    <w:lvl w:ilvl="5">
      <w:start w:val="1"/>
      <w:numFmt w:val="lowerRoman"/>
      <w:lvlText w:val="%6."/>
      <w:lvlJc w:val="right"/>
      <w:pPr>
        <w:ind w:left="4462" w:hanging="180"/>
      </w:pPr>
      <w:rPr/>
    </w:lvl>
    <w:lvl w:ilvl="6">
      <w:start w:val="1"/>
      <w:numFmt w:val="decimal"/>
      <w:lvlText w:val="%7."/>
      <w:lvlJc w:val="left"/>
      <w:pPr>
        <w:ind w:left="5182" w:hanging="360"/>
      </w:pPr>
      <w:rPr/>
    </w:lvl>
    <w:lvl w:ilvl="7">
      <w:start w:val="1"/>
      <w:numFmt w:val="lowerLetter"/>
      <w:lvlText w:val="%8."/>
      <w:lvlJc w:val="left"/>
      <w:pPr>
        <w:ind w:left="5902" w:hanging="360"/>
      </w:pPr>
      <w:rPr/>
    </w:lvl>
    <w:lvl w:ilvl="8">
      <w:start w:val="1"/>
      <w:numFmt w:val="lowerRoman"/>
      <w:lvlText w:val="%9."/>
      <w:lvlJc w:val="right"/>
      <w:pPr>
        <w:ind w:left="6622" w:hanging="180"/>
      </w:pPr>
      <w:rPr/>
    </w:lvl>
  </w:abstractNum>
  <w:abstractNum w:abstractNumId="3">
    <w:lvl w:ilvl="0">
      <w:start w:val="1"/>
      <w:numFmt w:val="decimal"/>
      <w:lvlText w:val="%1."/>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Times New Roman" w:cs="Times New Roman" w:eastAsia="Times New Roman" w:hAnsi="Times New Roman"/>
        <w:b w:val="0"/>
        <w:i w:val="0"/>
        <w:smallCaps w:val="0"/>
        <w:strike w:val="0"/>
        <w:color w:val="000000"/>
        <w:sz w:val="24"/>
        <w:szCs w:val="24"/>
        <w:u w:val="none"/>
        <w:shd w:fill="auto" w:val="clear"/>
        <w:vertAlign w:val="baseline"/>
        <w:lang w:val="es-ES"/>
      </w:rPr>
    </w:rPrDefault>
    <w:pPrDefault>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480" w:lineRule="auto"/>
    </w:pPr>
    <w:rPr>
      <w:rFonts w:ascii="Cambria" w:cs="Cambria" w:eastAsia="Cambria" w:hAnsi="Cambria"/>
      <w:b w:val="1"/>
      <w:color w:val="366091"/>
      <w:sz w:val="28"/>
      <w:szCs w:val="28"/>
    </w:rPr>
  </w:style>
  <w:style w:type="paragraph" w:styleId="Heading2">
    <w:name w:val="heading 2"/>
    <w:basedOn w:val="Normal"/>
    <w:next w:val="Normal"/>
    <w:pPr>
      <w:keepNext w:val="1"/>
      <w:keepLines w:val="1"/>
      <w:spacing w:before="200" w:lineRule="auto"/>
    </w:pPr>
    <w:rPr>
      <w:rFonts w:ascii="Cambria" w:cs="Cambria" w:eastAsia="Cambria" w:hAnsi="Cambria"/>
      <w:b w:val="1"/>
      <w:color w:val="4f81bd"/>
      <w:sz w:val="26"/>
      <w:szCs w:val="26"/>
    </w:rPr>
  </w:style>
  <w:style w:type="paragraph" w:styleId="Heading3">
    <w:name w:val="heading 3"/>
    <w:basedOn w:val="Normal"/>
    <w:next w:val="Normal"/>
    <w:pPr>
      <w:keepNext w:val="1"/>
      <w:keepLines w:val="1"/>
      <w:spacing w:before="200" w:lineRule="auto"/>
    </w:pPr>
    <w:rPr>
      <w:rFonts w:ascii="Cambria" w:cs="Cambria" w:eastAsia="Cambria" w:hAnsi="Cambria"/>
      <w:b w:val="1"/>
      <w:color w:val="4f81bd"/>
    </w:rPr>
  </w:style>
  <w:style w:type="paragraph" w:styleId="Heading4">
    <w:name w:val="heading 4"/>
    <w:basedOn w:val="Normal"/>
    <w:next w:val="Normal"/>
    <w:pPr>
      <w:keepNext w:val="1"/>
      <w:keepLines w:val="1"/>
      <w:spacing w:before="200" w:lineRule="auto"/>
    </w:pPr>
    <w:rPr>
      <w:rFonts w:ascii="Cambria" w:cs="Cambria" w:eastAsia="Cambria" w:hAnsi="Cambria"/>
      <w:b w:val="1"/>
      <w:i w:val="1"/>
      <w:color w:val="4f81bd"/>
    </w:rPr>
  </w:style>
  <w:style w:type="paragraph" w:styleId="Heading5">
    <w:name w:val="heading 5"/>
    <w:basedOn w:val="Normal"/>
    <w:next w:val="Normal"/>
    <w:pPr>
      <w:keepNext w:val="1"/>
      <w:keepLines w:val="1"/>
      <w:spacing w:before="200" w:lineRule="auto"/>
    </w:pPr>
    <w:rPr>
      <w:rFonts w:ascii="Cambria" w:cs="Cambria" w:eastAsia="Cambria" w:hAnsi="Cambria"/>
      <w:color w:val="244061"/>
    </w:rPr>
  </w:style>
  <w:style w:type="paragraph" w:styleId="Heading6">
    <w:name w:val="heading 6"/>
    <w:basedOn w:val="Normal"/>
    <w:next w:val="Normal"/>
    <w:pPr>
      <w:keepNext w:val="1"/>
      <w:keepLines w:val="1"/>
      <w:spacing w:before="200" w:lineRule="auto"/>
    </w:pPr>
    <w:rPr>
      <w:rFonts w:ascii="Cambria" w:cs="Cambria" w:eastAsia="Cambria" w:hAnsi="Cambria"/>
      <w:i w:val="1"/>
      <w:color w:val="244061"/>
    </w:rPr>
  </w:style>
  <w:style w:type="paragraph" w:styleId="Title">
    <w:name w:val="Title"/>
    <w:basedOn w:val="Normal"/>
    <w:next w:val="Normal"/>
    <w:pPr>
      <w:pBdr>
        <w:bottom w:color="4f81bd" w:space="4" w:sz="8" w:val="single"/>
      </w:pBdr>
      <w:spacing w:after="300" w:lineRule="auto"/>
      <w:contextualSpacing w:val="1"/>
    </w:pPr>
    <w:rPr>
      <w:rFonts w:ascii="Cambria" w:cs="Cambria" w:eastAsia="Cambria" w:hAnsi="Cambria"/>
      <w:color w:val="17365d"/>
      <w:sz w:val="52"/>
      <w:szCs w:val="52"/>
    </w:rPr>
  </w:style>
  <w:style w:type="paragraph" w:styleId="Normal" w:default="1">
    <w:name w:val="Normal"/>
    <w:uiPriority w:val="99"/>
    <w:qFormat w:val="1"/>
    <w:rPr>
      <w:sz w:val="24"/>
      <w:szCs w:val="24"/>
      <w:lang w:eastAsia="en-US" w:val="en-US"/>
    </w:rPr>
  </w:style>
  <w:style w:type="paragraph" w:styleId="Ttulo1">
    <w:name w:val="heading 1"/>
    <w:basedOn w:val="Normal"/>
    <w:next w:val="Normal"/>
    <w:link w:val="Ttulo1Car"/>
    <w:uiPriority w:val="9"/>
    <w:qFormat w:val="1"/>
    <w:pPr>
      <w:keepNext w:val="1"/>
      <w:keepLines w:val="1"/>
      <w:spacing w:before="480"/>
      <w:outlineLvl w:val="0"/>
    </w:pPr>
    <w:rPr>
      <w:rFonts w:asciiTheme="majorHAnsi" w:cstheme="majorBidi" w:eastAsiaTheme="majorEastAsia" w:hAnsiTheme="majorHAnsi"/>
      <w:b w:val="1"/>
      <w:bCs w:val="1"/>
      <w:color w:val="365f91" w:themeColor="accent1" w:themeShade="0000BF"/>
      <w:sz w:val="28"/>
      <w:szCs w:val="28"/>
    </w:rPr>
  </w:style>
  <w:style w:type="paragraph" w:styleId="Ttulo2">
    <w:name w:val="heading 2"/>
    <w:basedOn w:val="Normal"/>
    <w:next w:val="Normal"/>
    <w:link w:val="Ttulo2Car"/>
    <w:uiPriority w:val="9"/>
    <w:semiHidden w:val="1"/>
    <w:unhideWhenUsed w:val="1"/>
    <w:qFormat w:val="1"/>
    <w:pPr>
      <w:keepNext w:val="1"/>
      <w:keepLines w:val="1"/>
      <w:spacing w:before="200"/>
      <w:outlineLvl w:val="1"/>
    </w:pPr>
    <w:rPr>
      <w:rFonts w:asciiTheme="majorHAnsi" w:cstheme="majorBidi" w:eastAsiaTheme="majorEastAsia" w:hAnsiTheme="majorHAnsi"/>
      <w:b w:val="1"/>
      <w:bCs w:val="1"/>
      <w:color w:val="4f81bd" w:themeColor="accent1"/>
      <w:sz w:val="26"/>
      <w:szCs w:val="26"/>
    </w:rPr>
  </w:style>
  <w:style w:type="paragraph" w:styleId="Ttulo3">
    <w:name w:val="heading 3"/>
    <w:basedOn w:val="Normal"/>
    <w:next w:val="Normal"/>
    <w:link w:val="Ttulo3Car"/>
    <w:uiPriority w:val="9"/>
    <w:semiHidden w:val="1"/>
    <w:unhideWhenUsed w:val="1"/>
    <w:qFormat w:val="1"/>
    <w:pPr>
      <w:keepNext w:val="1"/>
      <w:keepLines w:val="1"/>
      <w:spacing w:before="200"/>
      <w:outlineLvl w:val="2"/>
    </w:pPr>
    <w:rPr>
      <w:rFonts w:asciiTheme="majorHAnsi" w:cstheme="majorBidi" w:eastAsiaTheme="majorEastAsia" w:hAnsiTheme="majorHAnsi"/>
      <w:b w:val="1"/>
      <w:bCs w:val="1"/>
      <w:color w:val="4f81bd" w:themeColor="accent1"/>
    </w:rPr>
  </w:style>
  <w:style w:type="paragraph" w:styleId="Ttulo4">
    <w:name w:val="heading 4"/>
    <w:basedOn w:val="Normal"/>
    <w:next w:val="Normal"/>
    <w:link w:val="Ttulo4Car"/>
    <w:uiPriority w:val="9"/>
    <w:semiHidden w:val="1"/>
    <w:unhideWhenUsed w:val="1"/>
    <w:qFormat w:val="1"/>
    <w:pPr>
      <w:keepNext w:val="1"/>
      <w:keepLines w:val="1"/>
      <w:spacing w:before="200"/>
      <w:outlineLvl w:val="3"/>
    </w:pPr>
    <w:rPr>
      <w:rFonts w:asciiTheme="majorHAnsi" w:cstheme="majorBidi" w:eastAsiaTheme="majorEastAsia" w:hAnsiTheme="majorHAnsi"/>
      <w:b w:val="1"/>
      <w:bCs w:val="1"/>
      <w:i w:val="1"/>
      <w:iCs w:val="1"/>
      <w:color w:val="4f81bd" w:themeColor="accent1"/>
    </w:rPr>
  </w:style>
  <w:style w:type="paragraph" w:styleId="Ttulo5">
    <w:name w:val="heading 5"/>
    <w:basedOn w:val="Normal"/>
    <w:next w:val="Normal"/>
    <w:link w:val="Ttulo5Car"/>
    <w:uiPriority w:val="9"/>
    <w:semiHidden w:val="1"/>
    <w:unhideWhenUsed w:val="1"/>
    <w:qFormat w:val="1"/>
    <w:pPr>
      <w:keepNext w:val="1"/>
      <w:keepLines w:val="1"/>
      <w:spacing w:before="200"/>
      <w:outlineLvl w:val="4"/>
    </w:pPr>
    <w:rPr>
      <w:rFonts w:asciiTheme="majorHAnsi" w:cstheme="majorBidi" w:eastAsiaTheme="majorEastAsia" w:hAnsiTheme="majorHAnsi"/>
      <w:color w:val="244061" w:themeColor="accent1" w:themeShade="000080"/>
    </w:rPr>
  </w:style>
  <w:style w:type="paragraph" w:styleId="Ttulo6">
    <w:name w:val="heading 6"/>
    <w:basedOn w:val="Normal"/>
    <w:next w:val="Normal"/>
    <w:link w:val="Ttulo6Car"/>
    <w:uiPriority w:val="9"/>
    <w:semiHidden w:val="1"/>
    <w:unhideWhenUsed w:val="1"/>
    <w:qFormat w:val="1"/>
    <w:pPr>
      <w:keepNext w:val="1"/>
      <w:keepLines w:val="1"/>
      <w:spacing w:before="200"/>
      <w:outlineLvl w:val="5"/>
    </w:pPr>
    <w:rPr>
      <w:rFonts w:asciiTheme="majorHAnsi" w:cstheme="majorBidi" w:eastAsiaTheme="majorEastAsia" w:hAnsiTheme="majorHAnsi"/>
      <w:i w:val="1"/>
      <w:iCs w:val="1"/>
      <w:color w:val="244061" w:themeColor="accent1" w:themeShade="000080"/>
    </w:rPr>
  </w:style>
  <w:style w:type="paragraph" w:styleId="Ttulo7">
    <w:name w:val="heading 7"/>
    <w:basedOn w:val="Normal"/>
    <w:next w:val="Normal"/>
    <w:link w:val="Ttulo7Car"/>
    <w:uiPriority w:val="9"/>
    <w:semiHidden w:val="1"/>
    <w:unhideWhenUsed w:val="1"/>
    <w:qFormat w:val="1"/>
    <w:pPr>
      <w:keepNext w:val="1"/>
      <w:keepLines w:val="1"/>
      <w:spacing w:before="200"/>
      <w:outlineLvl w:val="6"/>
    </w:pPr>
    <w:rPr>
      <w:rFonts w:asciiTheme="majorHAnsi" w:cstheme="majorBidi" w:eastAsiaTheme="majorEastAsia" w:hAnsiTheme="majorHAnsi"/>
      <w:i w:val="1"/>
      <w:iCs w:val="1"/>
      <w:color w:val="404040" w:themeColor="text1" w:themeTint="0000BF"/>
    </w:rPr>
  </w:style>
  <w:style w:type="paragraph" w:styleId="Ttulo8">
    <w:name w:val="heading 8"/>
    <w:basedOn w:val="Normal"/>
    <w:next w:val="Normal"/>
    <w:link w:val="Ttulo8Car"/>
    <w:uiPriority w:val="9"/>
    <w:semiHidden w:val="1"/>
    <w:unhideWhenUsed w:val="1"/>
    <w:qFormat w:val="1"/>
    <w:pPr>
      <w:keepNext w:val="1"/>
      <w:keepLines w:val="1"/>
      <w:spacing w:before="200"/>
      <w:outlineLvl w:val="7"/>
    </w:pPr>
    <w:rPr>
      <w:rFonts w:asciiTheme="majorHAnsi" w:cstheme="majorBidi" w:eastAsiaTheme="majorEastAsia" w:hAnsiTheme="majorHAnsi"/>
      <w:color w:val="404040" w:themeColor="text1" w:themeTint="0000BF"/>
      <w:sz w:val="20"/>
      <w:szCs w:val="20"/>
    </w:rPr>
  </w:style>
  <w:style w:type="paragraph" w:styleId="Ttulo9">
    <w:name w:val="heading 9"/>
    <w:basedOn w:val="Normal"/>
    <w:next w:val="Normal"/>
    <w:link w:val="Ttulo9Car"/>
    <w:uiPriority w:val="9"/>
    <w:semiHidden w:val="1"/>
    <w:unhideWhenUsed w:val="1"/>
    <w:qFormat w:val="1"/>
    <w:pPr>
      <w:keepNext w:val="1"/>
      <w:keepLines w:val="1"/>
      <w:spacing w:before="200"/>
      <w:outlineLvl w:val="8"/>
    </w:pPr>
    <w:rPr>
      <w:rFonts w:asciiTheme="majorHAnsi" w:cstheme="majorBidi" w:eastAsiaTheme="majorEastAsia" w:hAnsiTheme="majorHAnsi"/>
      <w:i w:val="1"/>
      <w:iCs w:val="1"/>
      <w:color w:val="404040" w:themeColor="text1" w:themeTint="0000BF"/>
      <w:sz w:val="20"/>
      <w:szCs w:val="20"/>
    </w:rPr>
  </w:style>
  <w:style w:type="character" w:styleId="Fuentedeprrafopredeter" w:default="1">
    <w:name w:val="Default Paragraph Font"/>
    <w:uiPriority w:val="1"/>
    <w:semiHidden w:val="1"/>
    <w:unhideWhenUsed w:val="1"/>
  </w:style>
  <w:style w:type="table" w:styleId="Tab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inlista" w:default="1">
    <w:name w:val="No List"/>
    <w:uiPriority w:val="99"/>
    <w:semiHidden w:val="1"/>
    <w:unhideWhenUsed w:val="1"/>
  </w:style>
  <w:style w:type="character" w:styleId="AcrnimoHTML">
    <w:name w:val="HTML Acronym"/>
    <w:basedOn w:val="Fuentedeprrafopredeter"/>
    <w:uiPriority w:val="99"/>
    <w:unhideWhenUsed w:val="1"/>
    <w:qFormat w:val="1"/>
  </w:style>
  <w:style w:type="character" w:styleId="Refdenotaalfinal">
    <w:name w:val="endnote reference"/>
    <w:basedOn w:val="Fuentedeprrafopredeter"/>
    <w:uiPriority w:val="99"/>
    <w:semiHidden w:val="1"/>
    <w:unhideWhenUsed w:val="1"/>
    <w:qFormat w:val="1"/>
    <w:rPr>
      <w:vertAlign w:val="superscript"/>
    </w:rPr>
  </w:style>
  <w:style w:type="character" w:styleId="Refdecomentario">
    <w:name w:val="annotation reference"/>
    <w:basedOn w:val="Fuentedeprrafopredeter"/>
    <w:uiPriority w:val="99"/>
    <w:semiHidden w:val="1"/>
    <w:unhideWhenUsed w:val="1"/>
    <w:qFormat w:val="1"/>
    <w:rPr>
      <w:sz w:val="16"/>
      <w:szCs w:val="16"/>
    </w:rPr>
  </w:style>
  <w:style w:type="character" w:styleId="Refdenotaalpie">
    <w:name w:val="footnote reference"/>
    <w:basedOn w:val="Fuentedeprrafopredeter"/>
    <w:uiPriority w:val="99"/>
    <w:semiHidden w:val="1"/>
    <w:unhideWhenUsed w:val="1"/>
    <w:qFormat w:val="1"/>
    <w:rPr>
      <w:vertAlign w:val="superscript"/>
    </w:rPr>
  </w:style>
  <w:style w:type="character" w:styleId="nfasis">
    <w:name w:val="Emphasis"/>
    <w:basedOn w:val="Fuentedeprrafopredeter"/>
    <w:uiPriority w:val="20"/>
    <w:qFormat w:val="1"/>
    <w:rPr>
      <w:i w:val="1"/>
      <w:iCs w:val="1"/>
    </w:rPr>
  </w:style>
  <w:style w:type="character" w:styleId="Hipervnculo">
    <w:name w:val="Hyperlink"/>
    <w:basedOn w:val="Fuentedeprrafopredeter"/>
    <w:uiPriority w:val="99"/>
    <w:unhideWhenUsed w:val="1"/>
    <w:qFormat w:val="1"/>
    <w:rPr>
      <w:color w:val="0000ff"/>
      <w:u w:val="single"/>
    </w:rPr>
  </w:style>
  <w:style w:type="character" w:styleId="Textoennegrita">
    <w:name w:val="Strong"/>
    <w:basedOn w:val="Fuentedeprrafopredeter"/>
    <w:uiPriority w:val="22"/>
    <w:qFormat w:val="1"/>
    <w:rPr>
      <w:b w:val="1"/>
      <w:bCs w:val="1"/>
    </w:rPr>
  </w:style>
  <w:style w:type="paragraph" w:styleId="Textonotapie">
    <w:name w:val="footnote text"/>
    <w:basedOn w:val="Normal"/>
    <w:link w:val="TextonotapieCar"/>
    <w:uiPriority w:val="99"/>
    <w:semiHidden w:val="1"/>
    <w:unhideWhenUsed w:val="1"/>
    <w:qFormat w:val="1"/>
    <w:rPr>
      <w:sz w:val="20"/>
      <w:szCs w:val="20"/>
    </w:rPr>
  </w:style>
  <w:style w:type="paragraph" w:styleId="Epgrafe">
    <w:name w:val="caption"/>
    <w:basedOn w:val="Normal"/>
    <w:next w:val="Normal"/>
    <w:uiPriority w:val="99"/>
    <w:unhideWhenUsed w:val="1"/>
    <w:qFormat w:val="1"/>
    <w:pPr>
      <w:spacing w:after="200"/>
    </w:pPr>
    <w:rPr>
      <w:i w:val="1"/>
      <w:iCs w:val="1"/>
      <w:color w:val="1f497d" w:themeColor="text2"/>
      <w:sz w:val="18"/>
      <w:szCs w:val="18"/>
    </w:rPr>
  </w:style>
  <w:style w:type="paragraph" w:styleId="Textonotaalfinal">
    <w:name w:val="endnote text"/>
    <w:basedOn w:val="Normal"/>
    <w:link w:val="TextonotaalfinalCar"/>
    <w:uiPriority w:val="99"/>
    <w:semiHidden w:val="1"/>
    <w:unhideWhenUsed w:val="1"/>
    <w:qFormat w:val="1"/>
    <w:rPr>
      <w:sz w:val="20"/>
      <w:szCs w:val="20"/>
    </w:rPr>
  </w:style>
  <w:style w:type="paragraph" w:styleId="Asuntodelcomentario">
    <w:name w:val="annotation subject"/>
    <w:basedOn w:val="Textocomentario"/>
    <w:next w:val="Textocomentario"/>
    <w:link w:val="AsuntodelcomentarioCar"/>
    <w:uiPriority w:val="99"/>
    <w:semiHidden w:val="1"/>
    <w:unhideWhenUsed w:val="1"/>
    <w:qFormat w:val="1"/>
    <w:rPr>
      <w:b w:val="1"/>
      <w:bCs w:val="1"/>
    </w:rPr>
  </w:style>
  <w:style w:type="paragraph" w:styleId="Textocomentario">
    <w:name w:val="annotation text"/>
    <w:basedOn w:val="Normal"/>
    <w:link w:val="TextocomentarioCar"/>
    <w:uiPriority w:val="99"/>
    <w:unhideWhenUsed w:val="1"/>
    <w:qFormat w:val="1"/>
    <w:rPr>
      <w:sz w:val="20"/>
      <w:szCs w:val="20"/>
    </w:rPr>
  </w:style>
  <w:style w:type="paragraph" w:styleId="Textodeglobo">
    <w:name w:val="Balloon Text"/>
    <w:basedOn w:val="Normal"/>
    <w:link w:val="TextodegloboCar"/>
    <w:uiPriority w:val="99"/>
    <w:semiHidden w:val="1"/>
    <w:unhideWhenUsed w:val="1"/>
    <w:qFormat w:val="1"/>
    <w:rPr>
      <w:rFonts w:ascii="Tahoma" w:cs="Tahoma" w:hAnsi="Tahoma"/>
      <w:sz w:val="16"/>
      <w:szCs w:val="16"/>
    </w:rPr>
  </w:style>
  <w:style w:type="paragraph" w:styleId="Remitedesobre">
    <w:name w:val="envelope return"/>
    <w:basedOn w:val="Normal"/>
    <w:uiPriority w:val="99"/>
    <w:unhideWhenUsed w:val="1"/>
    <w:qFormat w:val="1"/>
    <w:rPr>
      <w:rFonts w:asciiTheme="majorHAnsi" w:cstheme="majorBidi" w:eastAsiaTheme="majorEastAsia" w:hAnsiTheme="majorHAnsi"/>
      <w:sz w:val="20"/>
    </w:rPr>
  </w:style>
  <w:style w:type="paragraph" w:styleId="Encabezado">
    <w:name w:val="header"/>
    <w:basedOn w:val="Normal"/>
    <w:link w:val="EncabezadoCar"/>
    <w:uiPriority w:val="99"/>
    <w:unhideWhenUsed w:val="1"/>
    <w:qFormat w:val="1"/>
    <w:pPr>
      <w:tabs>
        <w:tab w:val="center" w:pos="4252"/>
        <w:tab w:val="right" w:pos="8504"/>
      </w:tabs>
    </w:pPr>
  </w:style>
  <w:style w:type="paragraph" w:styleId="HTMLconformatoprevio">
    <w:name w:val="HTML Preformatted"/>
    <w:basedOn w:val="Normal"/>
    <w:link w:val="HTMLconformatoprevioCar"/>
    <w:uiPriority w:val="99"/>
    <w:semiHidden w:val="1"/>
    <w:unhideWhenUsed w:val="1"/>
    <w:qFormat w:val="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cs="Courier New" w:hAnsi="Courier New"/>
      <w:sz w:val="20"/>
      <w:szCs w:val="20"/>
      <w:lang w:eastAsia="es-ES" w:val="es-ES"/>
    </w:rPr>
  </w:style>
  <w:style w:type="paragraph" w:styleId="Direccinsobre">
    <w:name w:val="envelope address"/>
    <w:basedOn w:val="Normal"/>
    <w:uiPriority w:val="99"/>
    <w:unhideWhenUsed w:val="1"/>
    <w:qFormat w:val="1"/>
    <w:pPr>
      <w:ind w:left="2880"/>
    </w:pPr>
    <w:rPr>
      <w:rFonts w:asciiTheme="majorHAnsi" w:cstheme="majorBidi" w:eastAsiaTheme="majorEastAsia" w:hAnsiTheme="majorHAnsi"/>
    </w:rPr>
  </w:style>
  <w:style w:type="paragraph" w:styleId="NormalWeb">
    <w:name w:val="Normal (Web)"/>
    <w:basedOn w:val="Normal"/>
    <w:uiPriority w:val="99"/>
    <w:semiHidden w:val="1"/>
    <w:unhideWhenUsed w:val="1"/>
    <w:qFormat w:val="1"/>
    <w:pPr>
      <w:spacing w:after="100" w:before="100"/>
    </w:pPr>
    <w:rPr>
      <w:lang w:eastAsia="es-ES" w:val="es-ES"/>
    </w:rPr>
  </w:style>
  <w:style w:type="paragraph" w:styleId="Piedepgina">
    <w:name w:val="footer"/>
    <w:basedOn w:val="Normal"/>
    <w:link w:val="PiedepginaCar"/>
    <w:uiPriority w:val="99"/>
    <w:unhideWhenUsed w:val="1"/>
    <w:qFormat w:val="1"/>
    <w:pPr>
      <w:tabs>
        <w:tab w:val="center" w:pos="4252"/>
        <w:tab w:val="right" w:pos="8504"/>
      </w:tabs>
    </w:pPr>
  </w:style>
  <w:style w:type="paragraph" w:styleId="Subttulo">
    <w:name w:val="Subtitle"/>
    <w:basedOn w:val="Normal"/>
    <w:next w:val="Normal"/>
    <w:link w:val="SubttuloCar"/>
    <w:uiPriority w:val="11"/>
    <w:qFormat w:val="1"/>
    <w:rPr>
      <w:rFonts w:asciiTheme="majorHAnsi" w:cstheme="majorBidi" w:eastAsiaTheme="majorEastAsia" w:hAnsiTheme="majorHAnsi"/>
      <w:i w:val="1"/>
      <w:iCs w:val="1"/>
      <w:color w:val="4f81bd" w:themeColor="accent1"/>
      <w:spacing w:val="15"/>
    </w:rPr>
  </w:style>
  <w:style w:type="paragraph" w:styleId="Textosinformato">
    <w:name w:val="Plain Text"/>
    <w:basedOn w:val="Normal"/>
    <w:link w:val="TextosinformatoCar"/>
    <w:uiPriority w:val="99"/>
    <w:semiHidden w:val="1"/>
    <w:unhideWhenUsed w:val="1"/>
    <w:qFormat w:val="1"/>
    <w:rPr>
      <w:rFonts w:ascii="Courier New" w:cs="Courier New" w:hAnsi="Courier New"/>
      <w:sz w:val="21"/>
      <w:szCs w:val="21"/>
    </w:rPr>
  </w:style>
  <w:style w:type="paragraph" w:styleId="Ttulo">
    <w:name w:val="Title"/>
    <w:basedOn w:val="Normal"/>
    <w:next w:val="Normal"/>
    <w:link w:val="TtuloCar"/>
    <w:uiPriority w:val="10"/>
    <w:qFormat w:val="1"/>
    <w:pPr>
      <w:pBdr>
        <w:bottom w:color="4f81bd" w:space="4" w:sz="8" w:themeColor="accent1" w:val="single"/>
      </w:pBdr>
      <w:spacing w:after="300"/>
      <w:contextualSpacing w:val="1"/>
    </w:pPr>
    <w:rPr>
      <w:rFonts w:asciiTheme="majorHAnsi" w:cstheme="majorBidi" w:eastAsiaTheme="majorEastAsia" w:hAnsiTheme="majorHAnsi"/>
      <w:color w:val="17365d" w:themeColor="text2" w:themeShade="0000BF"/>
      <w:spacing w:val="5"/>
      <w:sz w:val="52"/>
      <w:szCs w:val="52"/>
    </w:rPr>
  </w:style>
  <w:style w:type="table" w:styleId="Tablaconcuadrcula">
    <w:name w:val="Table Grid"/>
    <w:basedOn w:val="Tablanormal"/>
    <w:uiPriority w:val="59"/>
    <w:qFormat w:val="1"/>
    <w:rPr>
      <w:rFonts w:asciiTheme="minorHAnsi" w:cstheme="minorBidi" w:eastAsiaTheme="minorHAnsi" w:hAnsiTheme="minorHAnsi"/>
      <w:sz w:val="22"/>
      <w:szCs w:val="22"/>
      <w:lang w:eastAsia="en-US"/>
    </w:rPr>
    <w:tblPr>
      <w:tblInd w:w="0.0" w:type="dxa"/>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w="0.0" w:type="dxa"/>
        <w:left w:w="108.0" w:type="dxa"/>
        <w:bottom w:w="0.0" w:type="dxa"/>
        <w:right w:w="108.0" w:type="dxa"/>
      </w:tblCellMar>
    </w:tblPr>
  </w:style>
  <w:style w:type="paragraph" w:styleId="Prrafodelista">
    <w:name w:val="List Paragraph"/>
    <w:basedOn w:val="Normal"/>
    <w:uiPriority w:val="34"/>
    <w:qFormat w:val="1"/>
    <w:pPr>
      <w:ind w:left="720"/>
      <w:contextualSpacing w:val="1"/>
    </w:pPr>
  </w:style>
  <w:style w:type="character" w:styleId="HTMLconformatoprevioCar" w:customStyle="1">
    <w:name w:val="HTML con formato previo Car"/>
    <w:basedOn w:val="Fuentedeprrafopredeter"/>
    <w:link w:val="HTMLconformatoprevio"/>
    <w:uiPriority w:val="99"/>
    <w:semiHidden w:val="1"/>
    <w:qFormat w:val="1"/>
    <w:rPr>
      <w:rFonts w:ascii="Courier New" w:cs="Courier New" w:hAnsi="Courier New"/>
    </w:rPr>
  </w:style>
  <w:style w:type="character" w:styleId="Y2iqfc" w:customStyle="1">
    <w:name w:val="Y2iqfc"/>
    <w:basedOn w:val="Fuentedeprrafopredeter"/>
    <w:uiPriority w:val="99"/>
    <w:qFormat w:val="1"/>
  </w:style>
  <w:style w:type="paragraph" w:styleId="Bibliografa1" w:customStyle="1">
    <w:name w:val="Bibliografía1"/>
    <w:basedOn w:val="Normal"/>
    <w:next w:val="Normal"/>
    <w:uiPriority w:val="37"/>
    <w:unhideWhenUsed w:val="1"/>
    <w:qFormat w:val="1"/>
    <w:pPr>
      <w:spacing w:line="480" w:lineRule="auto"/>
      <w:ind w:left="720" w:hanging="720"/>
    </w:pPr>
  </w:style>
  <w:style w:type="character" w:styleId="Hgkelc" w:customStyle="1">
    <w:name w:val="Hgkelc"/>
    <w:basedOn w:val="Fuentedeprrafopredeter"/>
    <w:uiPriority w:val="99"/>
    <w:qFormat w:val="1"/>
  </w:style>
  <w:style w:type="character" w:styleId="Markedcontent" w:customStyle="1">
    <w:name w:val="Markedcontent"/>
    <w:basedOn w:val="Fuentedeprrafopredeter"/>
    <w:uiPriority w:val="99"/>
    <w:qFormat w:val="1"/>
  </w:style>
  <w:style w:type="character" w:styleId="TextodegloboCar" w:customStyle="1">
    <w:name w:val="Texto de globo Car"/>
    <w:basedOn w:val="Fuentedeprrafopredeter"/>
    <w:link w:val="Textodeglobo"/>
    <w:uiPriority w:val="99"/>
    <w:semiHidden w:val="1"/>
    <w:qFormat w:val="1"/>
    <w:rPr>
      <w:rFonts w:ascii="Tahoma" w:cs="Tahoma" w:hAnsi="Tahoma"/>
      <w:sz w:val="16"/>
      <w:szCs w:val="16"/>
      <w:lang w:eastAsia="en-US" w:val="en-US"/>
    </w:rPr>
  </w:style>
  <w:style w:type="character" w:styleId="TextocomentarioCar" w:customStyle="1">
    <w:name w:val="Texto comentario Car"/>
    <w:basedOn w:val="Fuentedeprrafopredeter"/>
    <w:link w:val="Textocomentario"/>
    <w:uiPriority w:val="99"/>
    <w:qFormat w:val="1"/>
    <w:rPr>
      <w:lang w:eastAsia="en-US" w:val="en-US"/>
    </w:rPr>
  </w:style>
  <w:style w:type="character" w:styleId="AsuntodelcomentarioCar" w:customStyle="1">
    <w:name w:val="Asunto del comentario Car"/>
    <w:basedOn w:val="TextocomentarioCar"/>
    <w:link w:val="Asuntodelcomentario"/>
    <w:uiPriority w:val="99"/>
    <w:semiHidden w:val="1"/>
    <w:qFormat w:val="1"/>
    <w:rPr>
      <w:b w:val="1"/>
      <w:bCs w:val="1"/>
      <w:lang w:eastAsia="en-US" w:val="en-US"/>
    </w:rPr>
  </w:style>
  <w:style w:type="character" w:styleId="EncabezadoCar" w:customStyle="1">
    <w:name w:val="Encabezado Car"/>
    <w:basedOn w:val="Fuentedeprrafopredeter"/>
    <w:link w:val="Encabezado"/>
    <w:uiPriority w:val="99"/>
    <w:qFormat w:val="1"/>
    <w:rPr>
      <w:sz w:val="24"/>
      <w:szCs w:val="24"/>
      <w:lang w:eastAsia="en-US" w:val="en-US"/>
    </w:rPr>
  </w:style>
  <w:style w:type="character" w:styleId="PiedepginaCar" w:customStyle="1">
    <w:name w:val="Pie de página Car"/>
    <w:basedOn w:val="Fuentedeprrafopredeter"/>
    <w:link w:val="Piedepgina"/>
    <w:uiPriority w:val="99"/>
    <w:qFormat w:val="1"/>
    <w:rPr>
      <w:sz w:val="24"/>
      <w:szCs w:val="24"/>
      <w:lang w:eastAsia="en-US" w:val="en-US"/>
    </w:rPr>
  </w:style>
  <w:style w:type="character" w:styleId="Textodelmarcadordeposicin">
    <w:name w:val="Placeholder Text"/>
    <w:basedOn w:val="Fuentedeprrafopredeter"/>
    <w:uiPriority w:val="99"/>
    <w:semiHidden w:val="1"/>
    <w:qFormat w:val="1"/>
    <w:rPr>
      <w:color w:val="808080"/>
    </w:rPr>
  </w:style>
  <w:style w:type="paragraph" w:styleId="Sangria" w:customStyle="1">
    <w:name w:val="Sangria"/>
    <w:basedOn w:val="Normal"/>
    <w:uiPriority w:val="99"/>
    <w:qFormat w:val="1"/>
    <w:pPr>
      <w:spacing w:after="100" w:before="100"/>
    </w:pPr>
    <w:rPr>
      <w:lang w:eastAsia="es-ES" w:val="es-ES"/>
    </w:rPr>
  </w:style>
  <w:style w:type="character" w:styleId="Italica" w:customStyle="1">
    <w:name w:val="Italica"/>
    <w:basedOn w:val="Fuentedeprrafopredeter"/>
    <w:uiPriority w:val="99"/>
    <w:qFormat w:val="1"/>
  </w:style>
  <w:style w:type="paragraph" w:styleId="Default" w:customStyle="1">
    <w:name w:val="Default"/>
    <w:uiPriority w:val="99"/>
    <w:qFormat w:val="1"/>
    <w:rPr>
      <w:rFonts w:eastAsia="Calibri"/>
      <w:color w:val="000000"/>
      <w:sz w:val="24"/>
      <w:szCs w:val="24"/>
      <w:lang w:eastAsia="en-US" w:val="es-ES"/>
    </w:rPr>
  </w:style>
  <w:style w:type="character" w:styleId="A2" w:customStyle="1">
    <w:name w:val="A2"/>
    <w:uiPriority w:val="99"/>
    <w:qFormat w:val="1"/>
    <w:rPr>
      <w:color w:val="000000"/>
      <w:sz w:val="18"/>
      <w:szCs w:val="18"/>
    </w:rPr>
  </w:style>
  <w:style w:type="character" w:styleId="A5" w:customStyle="1">
    <w:name w:val="A5"/>
    <w:uiPriority w:val="99"/>
    <w:qFormat w:val="1"/>
    <w:rPr>
      <w:b w:val="1"/>
      <w:bCs w:val="1"/>
      <w:color w:val="000000"/>
      <w:sz w:val="28"/>
      <w:szCs w:val="28"/>
    </w:rPr>
  </w:style>
  <w:style w:type="character" w:styleId="A6" w:customStyle="1">
    <w:name w:val="A6"/>
    <w:uiPriority w:val="99"/>
    <w:qFormat w:val="1"/>
    <w:rPr>
      <w:b w:val="1"/>
      <w:bCs w:val="1"/>
      <w:color w:val="000000"/>
      <w:sz w:val="16"/>
      <w:szCs w:val="16"/>
    </w:rPr>
  </w:style>
  <w:style w:type="paragraph" w:styleId="EndNoteBibliography" w:customStyle="1">
    <w:name w:val="EndNote Bibliography"/>
    <w:basedOn w:val="Normal"/>
    <w:link w:val="EndNoteBibliographyCar"/>
    <w:uiPriority w:val="99"/>
    <w:qFormat w:val="1"/>
    <w:pPr>
      <w:spacing w:after="40"/>
      <w:jc w:val="both"/>
    </w:pPr>
    <w:rPr>
      <w:rFonts w:ascii="Arial" w:cs="Arial" w:eastAsia="Calibri" w:hAnsi="Arial"/>
      <w:sz w:val="22"/>
      <w:szCs w:val="22"/>
    </w:rPr>
  </w:style>
  <w:style w:type="character" w:styleId="EndNoteBibliographyCar" w:customStyle="1">
    <w:name w:val="EndNote Bibliography Car"/>
    <w:link w:val="EndNoteBibliography"/>
    <w:uiPriority w:val="99"/>
    <w:qFormat w:val="1"/>
    <w:rPr>
      <w:rFonts w:ascii="Arial" w:cs="Arial" w:eastAsia="Calibri" w:hAnsi="Arial"/>
      <w:sz w:val="22"/>
      <w:szCs w:val="22"/>
      <w:lang w:eastAsia="en-US" w:val="en-US"/>
    </w:rPr>
  </w:style>
  <w:style w:type="character" w:styleId="Item-view-never-hide" w:customStyle="1">
    <w:name w:val="Item-view-never-hide"/>
    <w:uiPriority w:val="99"/>
    <w:qFormat w:val="1"/>
  </w:style>
  <w:style w:type="character" w:styleId="Citation-doi" w:customStyle="1">
    <w:name w:val="Citation-doi"/>
    <w:basedOn w:val="Fuentedeprrafopredeter"/>
    <w:uiPriority w:val="99"/>
    <w:qFormat w:val="1"/>
  </w:style>
  <w:style w:type="paragraph" w:styleId="Sinespaciado">
    <w:name w:val="No Spacing"/>
    <w:uiPriority w:val="1"/>
    <w:qFormat w:val="1"/>
    <w:rPr>
      <w:lang w:eastAsia="es-ES" w:val="es-ES"/>
    </w:rPr>
  </w:style>
  <w:style w:type="character" w:styleId="Ttulo1Car" w:customStyle="1">
    <w:name w:val="Título 1 Car"/>
    <w:basedOn w:val="Fuentedeprrafopredeter"/>
    <w:link w:val="Ttulo1"/>
    <w:uiPriority w:val="9"/>
    <w:qFormat w:val="1"/>
    <w:rPr>
      <w:rFonts w:asciiTheme="majorHAnsi" w:cstheme="majorBidi" w:eastAsiaTheme="majorEastAsia" w:hAnsiTheme="majorHAnsi"/>
      <w:b w:val="1"/>
      <w:bCs w:val="1"/>
      <w:color w:val="365f91" w:themeColor="accent1" w:themeShade="0000BF"/>
      <w:sz w:val="28"/>
      <w:szCs w:val="28"/>
    </w:rPr>
  </w:style>
  <w:style w:type="character" w:styleId="Ttulo2Car" w:customStyle="1">
    <w:name w:val="Título 2 Car"/>
    <w:basedOn w:val="Fuentedeprrafopredeter"/>
    <w:link w:val="Ttulo2"/>
    <w:uiPriority w:val="9"/>
    <w:qFormat w:val="1"/>
    <w:rPr>
      <w:rFonts w:asciiTheme="majorHAnsi" w:cstheme="majorBidi" w:eastAsiaTheme="majorEastAsia" w:hAnsiTheme="majorHAnsi"/>
      <w:b w:val="1"/>
      <w:bCs w:val="1"/>
      <w:color w:val="4f81bd" w:themeColor="accent1"/>
      <w:sz w:val="26"/>
      <w:szCs w:val="26"/>
    </w:rPr>
  </w:style>
  <w:style w:type="character" w:styleId="Ttulo3Car" w:customStyle="1">
    <w:name w:val="Título 3 Car"/>
    <w:basedOn w:val="Fuentedeprrafopredeter"/>
    <w:link w:val="Ttulo3"/>
    <w:uiPriority w:val="9"/>
    <w:qFormat w:val="1"/>
    <w:rPr>
      <w:rFonts w:asciiTheme="majorHAnsi" w:cstheme="majorBidi" w:eastAsiaTheme="majorEastAsia" w:hAnsiTheme="majorHAnsi"/>
      <w:b w:val="1"/>
      <w:bCs w:val="1"/>
      <w:color w:val="4f81bd" w:themeColor="accent1"/>
    </w:rPr>
  </w:style>
  <w:style w:type="character" w:styleId="Ttulo4Car" w:customStyle="1">
    <w:name w:val="Título 4 Car"/>
    <w:basedOn w:val="Fuentedeprrafopredeter"/>
    <w:link w:val="Ttulo4"/>
    <w:uiPriority w:val="9"/>
    <w:qFormat w:val="1"/>
    <w:rPr>
      <w:rFonts w:asciiTheme="majorHAnsi" w:cstheme="majorBidi" w:eastAsiaTheme="majorEastAsia" w:hAnsiTheme="majorHAnsi"/>
      <w:b w:val="1"/>
      <w:bCs w:val="1"/>
      <w:i w:val="1"/>
      <w:iCs w:val="1"/>
      <w:color w:val="4f81bd" w:themeColor="accent1"/>
    </w:rPr>
  </w:style>
  <w:style w:type="character" w:styleId="Ttulo5Car" w:customStyle="1">
    <w:name w:val="Título 5 Car"/>
    <w:basedOn w:val="Fuentedeprrafopredeter"/>
    <w:link w:val="Ttulo5"/>
    <w:uiPriority w:val="9"/>
    <w:qFormat w:val="1"/>
    <w:rPr>
      <w:rFonts w:asciiTheme="majorHAnsi" w:cstheme="majorBidi" w:eastAsiaTheme="majorEastAsia" w:hAnsiTheme="majorHAnsi"/>
      <w:color w:val="244061" w:themeColor="accent1" w:themeShade="000080"/>
    </w:rPr>
  </w:style>
  <w:style w:type="character" w:styleId="Ttulo6Car" w:customStyle="1">
    <w:name w:val="Título 6 Car"/>
    <w:basedOn w:val="Fuentedeprrafopredeter"/>
    <w:link w:val="Ttulo6"/>
    <w:uiPriority w:val="9"/>
    <w:qFormat w:val="1"/>
    <w:rPr>
      <w:rFonts w:asciiTheme="majorHAnsi" w:cstheme="majorBidi" w:eastAsiaTheme="majorEastAsia" w:hAnsiTheme="majorHAnsi"/>
      <w:i w:val="1"/>
      <w:iCs w:val="1"/>
      <w:color w:val="244061" w:themeColor="accent1" w:themeShade="000080"/>
    </w:rPr>
  </w:style>
  <w:style w:type="character" w:styleId="Ttulo7Car" w:customStyle="1">
    <w:name w:val="Título 7 Car"/>
    <w:basedOn w:val="Fuentedeprrafopredeter"/>
    <w:link w:val="Ttulo7"/>
    <w:uiPriority w:val="9"/>
    <w:qFormat w:val="1"/>
    <w:rPr>
      <w:rFonts w:asciiTheme="majorHAnsi" w:cstheme="majorBidi" w:eastAsiaTheme="majorEastAsia" w:hAnsiTheme="majorHAnsi"/>
      <w:i w:val="1"/>
      <w:iCs w:val="1"/>
      <w:color w:val="404040" w:themeColor="text1" w:themeTint="0000BF"/>
    </w:rPr>
  </w:style>
  <w:style w:type="character" w:styleId="Ttulo8Car" w:customStyle="1">
    <w:name w:val="Título 8 Car"/>
    <w:basedOn w:val="Fuentedeprrafopredeter"/>
    <w:link w:val="Ttulo8"/>
    <w:uiPriority w:val="9"/>
    <w:qFormat w:val="1"/>
    <w:rPr>
      <w:rFonts w:asciiTheme="majorHAnsi" w:cstheme="majorBidi" w:eastAsiaTheme="majorEastAsia" w:hAnsiTheme="majorHAnsi"/>
      <w:color w:val="404040" w:themeColor="text1" w:themeTint="0000BF"/>
      <w:sz w:val="20"/>
      <w:szCs w:val="20"/>
    </w:rPr>
  </w:style>
  <w:style w:type="character" w:styleId="Ttulo9Car" w:customStyle="1">
    <w:name w:val="Título 9 Car"/>
    <w:basedOn w:val="Fuentedeprrafopredeter"/>
    <w:link w:val="Ttulo9"/>
    <w:uiPriority w:val="9"/>
    <w:qFormat w:val="1"/>
    <w:rPr>
      <w:rFonts w:asciiTheme="majorHAnsi" w:cstheme="majorBidi" w:eastAsiaTheme="majorEastAsia" w:hAnsiTheme="majorHAnsi"/>
      <w:i w:val="1"/>
      <w:iCs w:val="1"/>
      <w:color w:val="404040" w:themeColor="text1" w:themeTint="0000BF"/>
      <w:sz w:val="20"/>
      <w:szCs w:val="20"/>
    </w:rPr>
  </w:style>
  <w:style w:type="character" w:styleId="TtuloCar" w:customStyle="1">
    <w:name w:val="Título Car"/>
    <w:basedOn w:val="Fuentedeprrafopredeter"/>
    <w:link w:val="Ttulo"/>
    <w:uiPriority w:val="10"/>
    <w:qFormat w:val="1"/>
    <w:rPr>
      <w:rFonts w:asciiTheme="majorHAnsi" w:cstheme="majorBidi" w:eastAsiaTheme="majorEastAsia" w:hAnsiTheme="majorHAnsi"/>
      <w:color w:val="17365d" w:themeColor="text2" w:themeShade="0000BF"/>
      <w:spacing w:val="5"/>
      <w:sz w:val="52"/>
      <w:szCs w:val="52"/>
    </w:rPr>
  </w:style>
  <w:style w:type="character" w:styleId="SubttuloCar" w:customStyle="1">
    <w:name w:val="Subtítulo Car"/>
    <w:basedOn w:val="Fuentedeprrafopredeter"/>
    <w:link w:val="Subttulo"/>
    <w:uiPriority w:val="11"/>
    <w:qFormat w:val="1"/>
    <w:rPr>
      <w:rFonts w:asciiTheme="majorHAnsi" w:cstheme="majorBidi" w:eastAsiaTheme="majorEastAsia" w:hAnsiTheme="majorHAnsi"/>
      <w:i w:val="1"/>
      <w:iCs w:val="1"/>
      <w:color w:val="4f81bd" w:themeColor="accent1"/>
      <w:spacing w:val="15"/>
      <w:sz w:val="24"/>
      <w:szCs w:val="24"/>
    </w:rPr>
  </w:style>
  <w:style w:type="character" w:styleId="nfasissutil1" w:customStyle="1">
    <w:name w:val="Énfasis sutil1"/>
    <w:basedOn w:val="Fuentedeprrafopredeter"/>
    <w:uiPriority w:val="19"/>
    <w:qFormat w:val="1"/>
    <w:rPr>
      <w:i w:val="1"/>
      <w:iCs w:val="1"/>
      <w:color w:val="7f7f7f" w:themeColor="text1" w:themeTint="000080"/>
    </w:rPr>
  </w:style>
  <w:style w:type="character" w:styleId="nfasisintenso1" w:customStyle="1">
    <w:name w:val="Énfasis intenso1"/>
    <w:basedOn w:val="Fuentedeprrafopredeter"/>
    <w:uiPriority w:val="21"/>
    <w:qFormat w:val="1"/>
    <w:rPr>
      <w:b w:val="1"/>
      <w:bCs w:val="1"/>
      <w:i w:val="1"/>
      <w:iCs w:val="1"/>
      <w:color w:val="4f81bd" w:themeColor="accent1"/>
    </w:rPr>
  </w:style>
  <w:style w:type="paragraph" w:styleId="Cita">
    <w:name w:val="Quote"/>
    <w:basedOn w:val="Normal"/>
    <w:next w:val="Normal"/>
    <w:link w:val="CitaCar"/>
    <w:uiPriority w:val="29"/>
    <w:qFormat w:val="1"/>
    <w:rPr>
      <w:i w:val="1"/>
      <w:iCs w:val="1"/>
      <w:color w:val="000000" w:themeColor="text1"/>
    </w:rPr>
  </w:style>
  <w:style w:type="character" w:styleId="CitaCar" w:customStyle="1">
    <w:name w:val="Cita Car"/>
    <w:basedOn w:val="Fuentedeprrafopredeter"/>
    <w:link w:val="Cita"/>
    <w:uiPriority w:val="29"/>
    <w:qFormat w:val="1"/>
    <w:rPr>
      <w:i w:val="1"/>
      <w:iCs w:val="1"/>
      <w:color w:val="000000" w:themeColor="text1"/>
    </w:rPr>
  </w:style>
  <w:style w:type="paragraph" w:styleId="Citadestacada">
    <w:name w:val="Intense Quote"/>
    <w:basedOn w:val="Normal"/>
    <w:next w:val="Normal"/>
    <w:link w:val="CitadestacadaCar"/>
    <w:uiPriority w:val="30"/>
    <w:qFormat w:val="1"/>
    <w:pPr>
      <w:pBdr>
        <w:bottom w:color="4f81bd" w:space="4" w:sz="4" w:themeColor="accent1" w:val="single"/>
      </w:pBdr>
      <w:spacing w:after="280" w:before="200"/>
      <w:ind w:left="936" w:right="936"/>
    </w:pPr>
    <w:rPr>
      <w:b w:val="1"/>
      <w:bCs w:val="1"/>
      <w:i w:val="1"/>
      <w:iCs w:val="1"/>
      <w:color w:val="4f81bd" w:themeColor="accent1"/>
    </w:rPr>
  </w:style>
  <w:style w:type="character" w:styleId="CitadestacadaCar" w:customStyle="1">
    <w:name w:val="Cita destacada Car"/>
    <w:basedOn w:val="Fuentedeprrafopredeter"/>
    <w:link w:val="Citadestacada"/>
    <w:uiPriority w:val="30"/>
    <w:qFormat w:val="1"/>
    <w:rPr>
      <w:b w:val="1"/>
      <w:bCs w:val="1"/>
      <w:i w:val="1"/>
      <w:iCs w:val="1"/>
      <w:color w:val="4f81bd" w:themeColor="accent1"/>
    </w:rPr>
  </w:style>
  <w:style w:type="character" w:styleId="Referenciasutil1" w:customStyle="1">
    <w:name w:val="Referencia sutil1"/>
    <w:basedOn w:val="Fuentedeprrafopredeter"/>
    <w:uiPriority w:val="31"/>
    <w:qFormat w:val="1"/>
    <w:rPr>
      <w:smallCaps w:val="1"/>
      <w:color w:val="c0504d" w:themeColor="accent2"/>
      <w:u w:val="single"/>
    </w:rPr>
  </w:style>
  <w:style w:type="character" w:styleId="Referenciaintensa1" w:customStyle="1">
    <w:name w:val="Referencia intensa1"/>
    <w:basedOn w:val="Fuentedeprrafopredeter"/>
    <w:uiPriority w:val="32"/>
    <w:qFormat w:val="1"/>
    <w:rPr>
      <w:b w:val="1"/>
      <w:bCs w:val="1"/>
      <w:smallCaps w:val="1"/>
      <w:color w:val="c0504d" w:themeColor="accent2"/>
      <w:spacing w:val="5"/>
      <w:u w:val="single"/>
    </w:rPr>
  </w:style>
  <w:style w:type="character" w:styleId="Ttulodellibro1" w:customStyle="1">
    <w:name w:val="Título del libro1"/>
    <w:basedOn w:val="Fuentedeprrafopredeter"/>
    <w:uiPriority w:val="33"/>
    <w:qFormat w:val="1"/>
    <w:rPr>
      <w:b w:val="1"/>
      <w:bCs w:val="1"/>
      <w:smallCaps w:val="1"/>
      <w:spacing w:val="5"/>
    </w:rPr>
  </w:style>
  <w:style w:type="character" w:styleId="TextonotapieCar" w:customStyle="1">
    <w:name w:val="Texto nota pie Car"/>
    <w:basedOn w:val="Fuentedeprrafopredeter"/>
    <w:link w:val="Textonotapie"/>
    <w:uiPriority w:val="99"/>
    <w:semiHidden w:val="1"/>
    <w:qFormat w:val="1"/>
    <w:rPr>
      <w:sz w:val="20"/>
      <w:szCs w:val="20"/>
    </w:rPr>
  </w:style>
  <w:style w:type="character" w:styleId="TextonotaalfinalCar" w:customStyle="1">
    <w:name w:val="Texto nota al final Car"/>
    <w:basedOn w:val="Fuentedeprrafopredeter"/>
    <w:link w:val="Textonotaalfinal"/>
    <w:uiPriority w:val="99"/>
    <w:semiHidden w:val="1"/>
    <w:qFormat w:val="1"/>
    <w:rPr>
      <w:sz w:val="20"/>
      <w:szCs w:val="20"/>
    </w:rPr>
  </w:style>
  <w:style w:type="character" w:styleId="TextosinformatoCar" w:customStyle="1">
    <w:name w:val="Texto sin formato Car"/>
    <w:basedOn w:val="Fuentedeprrafopredeter"/>
    <w:link w:val="Textosinformato"/>
    <w:uiPriority w:val="99"/>
    <w:qFormat w:val="1"/>
    <w:rPr>
      <w:rFonts w:ascii="Courier New" w:cs="Courier New" w:hAnsi="Courier New"/>
      <w:sz w:val="21"/>
      <w:szCs w:val="21"/>
    </w:rPr>
  </w:style>
  <w:style w:type="character" w:styleId="markedcontent0" w:customStyle="1">
    <w:name w:val="markedcontent"/>
    <w:basedOn w:val="Fuentedeprrafopredeter"/>
    <w:qFormat w:val="1"/>
  </w:style>
  <w:style w:type="character" w:styleId="hgkelc0" w:customStyle="1">
    <w:name w:val="hgkelc"/>
    <w:basedOn w:val="Fuentedeprrafopredeter"/>
    <w:qFormat w:val="1"/>
  </w:style>
  <w:style w:type="character" w:styleId="c9dxtc" w:customStyle="1">
    <w:name w:val="c9dxtc"/>
    <w:basedOn w:val="Fuentedeprrafopredeter"/>
    <w:qFormat w:val="1"/>
  </w:style>
  <w:style w:type="paragraph" w:styleId="Subtitle">
    <w:name w:val="Subtitle"/>
    <w:basedOn w:val="Normal"/>
    <w:next w:val="Normal"/>
    <w:pPr/>
    <w:rPr>
      <w:rFonts w:ascii="Cambria" w:cs="Cambria" w:eastAsia="Cambria" w:hAnsi="Cambria"/>
      <w:i w:val="1"/>
      <w:color w:val="4f81bd"/>
    </w:rPr>
  </w:style>
  <w:style w:type="table" w:styleId="Table1">
    <w:basedOn w:val="TableNormal"/>
    <w:rPr>
      <w:rFonts w:ascii="Calibri" w:cs="Calibri" w:eastAsia="Calibri" w:hAnsi="Calibri"/>
      <w:sz w:val="22"/>
      <w:szCs w:val="22"/>
    </w:r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www.academicjournals.org/AJB" TargetMode="External"/><Relationship Id="rId10" Type="http://schemas.openxmlformats.org/officeDocument/2006/relationships/hyperlink" Target="https://www.ecologiaverde.com/" TargetMode="External"/><Relationship Id="rId13" Type="http://schemas.openxmlformats.org/officeDocument/2006/relationships/hyperlink" Target="https://doi.org/10.3390/agronomy9040192" TargetMode="External"/><Relationship Id="rId12" Type="http://schemas.openxmlformats.org/officeDocument/2006/relationships/hyperlink" Target="https://doi.org/10.53365/nrfhh/141292"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researchgate.net/publication/337728526" TargetMode="External"/><Relationship Id="rId15" Type="http://schemas.openxmlformats.org/officeDocument/2006/relationships/hyperlink" Target="http://dx.doi.org/10.1021/acsomega.9b04155" TargetMode="External"/><Relationship Id="rId14" Type="http://schemas.openxmlformats.org/officeDocument/2006/relationships/hyperlink" Target="http://dx.doi.org/10.29303/jbt.v20i3.2048" TargetMode="External"/><Relationship Id="rId5" Type="http://schemas.openxmlformats.org/officeDocument/2006/relationships/styles" Target="styles.xml"/><Relationship Id="rId6" Type="http://schemas.openxmlformats.org/officeDocument/2006/relationships/hyperlink" Target="http://hdl.handle.net/1834/41683" TargetMode="External"/><Relationship Id="rId7" Type="http://schemas.openxmlformats.org/officeDocument/2006/relationships/hyperlink" Target="http://dx.doi.org/10.1016/j.bjbas.2017.08.002" TargetMode="External"/><Relationship Id="rId8" Type="http://schemas.openxmlformats.org/officeDocument/2006/relationships/hyperlink" Target="http://dx.doi.org/10.6024/jmbai.2021.63.1.2244-17"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