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before="0" w:after="280"/>
        <w:jc w:val="both"/>
        <w:rPr>
          <w:rFonts w:ascii="Arial" w:hAnsi="Arial"/>
          <w:sz w:val="24"/>
          <w:szCs w:val="24"/>
        </w:rPr>
      </w:pPr>
      <w:r>
        <w:rPr>
          <w:sz w:val="24"/>
          <w:szCs w:val="24"/>
        </w:rPr>
        <w:t>Revisión bibliográfica LOS MODELOS DE SIMULACIÓN DE CULTIVOS COMO HERRAMIENTA DE INTELIGENCIA ARTIFICIAL</w:t>
      </w:r>
    </w:p>
    <w:p>
      <w:pPr>
        <w:pStyle w:val="Normal"/>
        <w:jc w:val="both"/>
        <w:rPr>
          <w:rFonts w:ascii="Arial" w:hAnsi="Arial"/>
          <w:sz w:val="24"/>
          <w:szCs w:val="24"/>
        </w:rPr>
      </w:pPr>
      <w:r>
        <w:rPr>
          <w:rFonts w:ascii="Arial" w:hAnsi="Arial"/>
          <w:sz w:val="24"/>
          <w:szCs w:val="24"/>
          <w:lang w:val="es-ES"/>
        </w:rPr>
        <w:t>Daniel Fernandez Sotolongo</w:t>
      </w:r>
    </w:p>
    <w:p>
      <w:pPr>
        <w:pStyle w:val="Normal"/>
        <w:jc w:val="left"/>
        <w:rPr>
          <w:rFonts w:ascii="Arial" w:hAnsi="Arial"/>
          <w:sz w:val="24"/>
          <w:szCs w:val="24"/>
        </w:rPr>
      </w:pPr>
      <w:r>
        <w:rPr>
          <w:rFonts w:ascii="Arial" w:hAnsi="Arial"/>
          <w:sz w:val="24"/>
          <w:szCs w:val="24"/>
          <w:lang w:val="es-ES"/>
        </w:rPr>
        <w:t>Instituto Nacional de Ciencias Agrícolas</w:t>
        <w:br/>
        <w:t>https://orcid.org/0009-0005-2267-5193</w:t>
      </w:r>
    </w:p>
    <w:p>
      <w:pPr>
        <w:pStyle w:val="Normal"/>
        <w:jc w:val="left"/>
        <w:rPr>
          <w:rFonts w:ascii="Arial" w:hAnsi="Arial"/>
          <w:sz w:val="24"/>
          <w:szCs w:val="24"/>
        </w:rPr>
      </w:pPr>
      <w:r>
        <w:rPr>
          <w:rFonts w:ascii="Arial" w:hAnsi="Arial"/>
          <w:sz w:val="24"/>
          <w:szCs w:val="24"/>
          <w:lang w:val="es-ES"/>
        </w:rPr>
        <w:t>René Florido Bacallao</w:t>
      </w:r>
    </w:p>
    <w:p>
      <w:pPr>
        <w:pStyle w:val="Normal"/>
        <w:jc w:val="left"/>
        <w:rPr>
          <w:rFonts w:ascii="Arial" w:hAnsi="Arial"/>
          <w:sz w:val="24"/>
          <w:szCs w:val="24"/>
        </w:rPr>
      </w:pPr>
      <w:r>
        <w:rPr>
          <w:rFonts w:ascii="Arial" w:hAnsi="Arial"/>
          <w:sz w:val="24"/>
          <w:szCs w:val="24"/>
          <w:lang w:val="es-ES"/>
        </w:rPr>
        <w:t>Instituto Nacional de Ciencias Agrícolas</w:t>
      </w:r>
    </w:p>
    <w:p>
      <w:pPr>
        <w:pStyle w:val="Normal"/>
        <w:jc w:val="left"/>
        <w:rPr>
          <w:rFonts w:ascii="Arial" w:hAnsi="Arial"/>
          <w:sz w:val="24"/>
          <w:szCs w:val="24"/>
        </w:rPr>
      </w:pPr>
      <w:r>
        <w:rPr>
          <w:rFonts w:ascii="Arial" w:hAnsi="Arial"/>
          <w:sz w:val="24"/>
          <w:szCs w:val="24"/>
          <w:lang w:val="es-ES"/>
        </w:rPr>
        <w:t>https://orcid.org/0000-0003-4494-660X</w:t>
      </w:r>
    </w:p>
    <w:p>
      <w:pPr>
        <w:pStyle w:val="Normal"/>
        <w:jc w:val="left"/>
        <w:rPr>
          <w:rFonts w:ascii="Arial" w:hAnsi="Arial"/>
          <w:sz w:val="24"/>
          <w:szCs w:val="24"/>
        </w:rPr>
      </w:pPr>
      <w:r>
        <w:rPr>
          <w:rFonts w:ascii="Arial" w:hAnsi="Arial"/>
          <w:sz w:val="24"/>
          <w:szCs w:val="24"/>
          <w:lang w:val="es-ES"/>
        </w:rPr>
        <w:t xml:space="preserve">Osmel Rodríguez González </w:t>
      </w:r>
    </w:p>
    <w:p>
      <w:pPr>
        <w:pStyle w:val="Normal"/>
        <w:jc w:val="left"/>
        <w:rPr>
          <w:rFonts w:ascii="Arial" w:hAnsi="Arial"/>
          <w:sz w:val="24"/>
          <w:szCs w:val="24"/>
        </w:rPr>
      </w:pPr>
      <w:r>
        <w:rPr>
          <w:rFonts w:ascii="Arial" w:hAnsi="Arial"/>
          <w:sz w:val="24"/>
          <w:szCs w:val="24"/>
          <w:lang w:val="es-ES"/>
        </w:rPr>
        <w:t>Empresa de Telecomunicaciones de Cuba S.A</w:t>
      </w:r>
    </w:p>
    <w:p>
      <w:pPr>
        <w:pStyle w:val="Normal"/>
        <w:jc w:val="left"/>
        <w:rPr>
          <w:rFonts w:ascii="Arial" w:hAnsi="Arial"/>
          <w:sz w:val="24"/>
          <w:szCs w:val="24"/>
        </w:rPr>
      </w:pPr>
      <w:r>
        <w:rPr>
          <w:rFonts w:ascii="Arial" w:hAnsi="Arial"/>
          <w:sz w:val="24"/>
          <w:szCs w:val="24"/>
          <w:lang w:val="es-ES"/>
        </w:rPr>
        <w:t>https://orcid.org/0000-0002-6480-9971</w:t>
      </w:r>
    </w:p>
    <w:p>
      <w:pPr>
        <w:pStyle w:val="Normal"/>
        <w:jc w:val="both"/>
        <w:rPr>
          <w:rFonts w:ascii="Arial" w:hAnsi="Arial"/>
          <w:sz w:val="24"/>
          <w:szCs w:val="24"/>
          <w:lang w:val="es-ES"/>
        </w:rPr>
      </w:pPr>
      <w:r>
        <w:rPr>
          <w:rFonts w:ascii="Arial" w:hAnsi="Arial"/>
          <w:sz w:val="24"/>
          <w:szCs w:val="24"/>
          <w:lang w:val="es-ES"/>
        </w:rPr>
      </w:r>
    </w:p>
    <w:p>
      <w:pPr>
        <w:pStyle w:val="Normal"/>
        <w:jc w:val="both"/>
        <w:rPr>
          <w:rFonts w:ascii="Arial" w:hAnsi="Arial"/>
          <w:sz w:val="24"/>
          <w:szCs w:val="24"/>
        </w:rPr>
      </w:pPr>
      <w:r>
        <w:rPr>
          <w:rFonts w:ascii="Arial" w:hAnsi="Arial"/>
          <w:sz w:val="24"/>
          <w:szCs w:val="24"/>
          <w:lang w:val="es-ES"/>
        </w:rPr>
        <w:t>Resumen</w:t>
      </w:r>
    </w:p>
    <w:p>
      <w:pPr>
        <w:pStyle w:val="Normal"/>
        <w:jc w:val="both"/>
        <w:rPr>
          <w:rFonts w:ascii="Arial" w:hAnsi="Arial"/>
          <w:sz w:val="24"/>
          <w:szCs w:val="24"/>
        </w:rPr>
      </w:pPr>
      <w:r>
        <w:rPr>
          <w:rFonts w:ascii="Arial" w:hAnsi="Arial"/>
          <w:sz w:val="24"/>
          <w:szCs w:val="24"/>
          <w:lang w:val="es-ES"/>
        </w:rPr>
        <w:t>Se realizó una revisión bibliográfica sobre el uso de los modelos de simulación de cultivos como herramienta de inteligencia artificial, con el objetivo de dar a conocer la importancia del uso de los mismos, los diferentes modelos que se pueden utilizar, sus ventajas y desventajas, así como los impactos económicos, social y ambiental. Se presenta un resumen de algunos conceptos relacionados con la inteligencia artificial y los modelos de simulación de cultivos. Los resultados de esta revisión avizoran sobre el impacto de estas tecnologías para contribuir al desarrollo de sistemas agrícolas más eficientes y sostenibles. Este trabajo ofrece un marco teórico referencial que puede ser útil para orientar investigaciones futuras y orientar a productores hacia prácticas resilientes frente al cambio climático.</w:t>
      </w:r>
    </w:p>
    <w:p>
      <w:pPr>
        <w:pStyle w:val="Normal"/>
        <w:jc w:val="both"/>
        <w:rPr>
          <w:rFonts w:ascii="Arial" w:hAnsi="Arial"/>
          <w:sz w:val="24"/>
          <w:szCs w:val="24"/>
          <w:lang w:val="es-ES"/>
        </w:rPr>
      </w:pPr>
      <w:r>
        <w:rPr>
          <w:rFonts w:ascii="Arial" w:hAnsi="Arial"/>
          <w:sz w:val="24"/>
          <w:szCs w:val="24"/>
          <w:lang w:val="es-ES"/>
        </w:rPr>
      </w:r>
    </w:p>
    <w:p>
      <w:pPr>
        <w:pStyle w:val="Normal"/>
        <w:jc w:val="both"/>
        <w:rPr/>
      </w:pPr>
      <w:r>
        <w:rPr>
          <w:rStyle w:val="Ttulo2Car"/>
          <w:rFonts w:eastAsia="Calibri" w:ascii="Arial" w:hAnsi="Arial" w:eastAsiaTheme="minorHAnsi"/>
          <w:sz w:val="24"/>
          <w:szCs w:val="24"/>
        </w:rPr>
        <w:t>Palabras claves:</w:t>
      </w:r>
      <w:r>
        <w:rPr>
          <w:rFonts w:ascii="Arial" w:hAnsi="Arial"/>
          <w:b/>
          <w:sz w:val="24"/>
          <w:szCs w:val="24"/>
          <w:lang w:val="es-ES"/>
        </w:rPr>
        <w:t xml:space="preserve"> </w:t>
      </w:r>
      <w:r>
        <w:rPr>
          <w:rFonts w:ascii="Arial" w:hAnsi="Arial"/>
          <w:sz w:val="24"/>
          <w:szCs w:val="24"/>
          <w:lang w:val="es-ES"/>
        </w:rPr>
        <w:t>modelos de simulación de cultivos, Inteligencia artificial,</w:t>
      </w:r>
      <w:r>
        <w:rPr>
          <w:rFonts w:ascii="Arial" w:hAnsi="Arial"/>
          <w:b/>
          <w:sz w:val="24"/>
          <w:szCs w:val="24"/>
          <w:lang w:val="es-ES"/>
        </w:rPr>
        <w:t xml:space="preserve"> </w:t>
      </w:r>
      <w:r>
        <w:rPr>
          <w:rFonts w:ascii="Arial" w:hAnsi="Arial"/>
          <w:sz w:val="24"/>
          <w:szCs w:val="24"/>
          <w:lang w:val="es-ES"/>
        </w:rPr>
        <w:t>DSSAT</w:t>
      </w:r>
    </w:p>
    <w:p>
      <w:pPr>
        <w:pStyle w:val="Heading2"/>
        <w:spacing w:before="280" w:after="280"/>
        <w:jc w:val="both"/>
        <w:rPr>
          <w:rFonts w:ascii="Arial" w:hAnsi="Arial"/>
          <w:sz w:val="24"/>
          <w:szCs w:val="24"/>
        </w:rPr>
      </w:pPr>
      <w:r>
        <w:rPr>
          <w:sz w:val="24"/>
          <w:szCs w:val="24"/>
        </w:rPr>
        <w:t>Introducción</w:t>
      </w:r>
    </w:p>
    <w:p>
      <w:pPr>
        <w:pStyle w:val="Normal"/>
        <w:jc w:val="both"/>
        <w:rPr>
          <w:rFonts w:ascii="Arial" w:hAnsi="Arial"/>
          <w:sz w:val="24"/>
          <w:szCs w:val="24"/>
        </w:rPr>
      </w:pPr>
      <w:r>
        <w:rPr>
          <w:rFonts w:ascii="Arial" w:hAnsi="Arial"/>
          <w:sz w:val="24"/>
          <w:szCs w:val="24"/>
          <w:lang w:val="es-ES"/>
        </w:rPr>
        <w:t xml:space="preserve">La Inteligencia Artificial (IA) ha surgido como una herramienta revolucionaria para el desarrollo tecnológico, en sus inicios estuvo relacionada con la comunidad científica y la ciencia ficción, en la actualidad se evidencia su creciente aplicación a todas las actividades humanas, lo que avizora un futuro más exitoso de esta disciplina en todos los sectores de la sociedad. </w:t>
      </w:r>
      <w:r>
        <w:fldChar w:fldCharType="begin"/>
      </w:r>
      <w:r>
        <w:rPr>
          <w:sz w:val="24"/>
          <w:szCs w:val="24"/>
          <w:rFonts w:ascii="Arial" w:hAnsi="Arial"/>
          <w:lang w:val="es-ES"/>
        </w:rPr>
        <w:instrText xml:space="preserve">ADDIN ZOTERO_ITEM CSL_CITATION {"citationID":"D6QiQxav","properties":{"formattedCitation":"(Melgar, 2021)","plainCitation":"(Melgar, 2021)","noteIndex":0},"citationItems":[{"id":3584,"uris":["http://zotero.org/users/13364072/items/442C3VKH"],"itemData":{"id":3584,"type":"document","publisher":"Cengicaña","source":"Google Scholar","title":"Inteligencia artificial aplicada a la agricultura","author":[{"family":"Melgar","given":"Mario"}],"issued":{"date-parts":[["2021"]]},"citation-key":"melgarInteligenciaArtificialAplicada2021"}}],"schema":"https://github.com/citation-style-language/schema/raw/master/csl-citation.json"}</w:instrText>
      </w:r>
      <w:r>
        <w:rPr>
          <w:rFonts w:ascii="Arial" w:hAnsi="Arial"/>
          <w:sz w:val="24"/>
          <w:szCs w:val="24"/>
          <w:lang w:val="es-ES"/>
        </w:rPr>
      </w:r>
      <w:r>
        <w:rPr>
          <w:sz w:val="24"/>
          <w:szCs w:val="24"/>
          <w:rFonts w:ascii="Arial" w:hAnsi="Arial"/>
          <w:lang w:val="es-ES"/>
        </w:rPr>
        <w:fldChar w:fldCharType="separate"/>
      </w:r>
      <w:r>
        <w:rPr>
          <w:rFonts w:ascii="Arial" w:hAnsi="Arial"/>
          <w:sz w:val="24"/>
          <w:szCs w:val="24"/>
          <w:lang w:val="es-ES"/>
        </w:rPr>
      </w:r>
      <w:r>
        <w:rPr>
          <w:rFonts w:cs="Calibri" w:ascii="Arial" w:hAnsi="Arial"/>
          <w:sz w:val="24"/>
          <w:szCs w:val="24"/>
          <w:lang w:val="es-ES"/>
        </w:rPr>
        <w:t>(Melgar, 2021)</w:t>
      </w:r>
      <w:r/>
      <w:r>
        <w:rPr>
          <w:sz w:val="24"/>
          <w:szCs w:val="24"/>
          <w:rFonts w:ascii="Arial" w:hAnsi="Arial"/>
          <w:lang w:val="es-ES"/>
        </w:rPr>
        <w:fldChar w:fldCharType="end"/>
      </w:r>
      <w:r>
        <w:rPr>
          <w:rFonts w:ascii="Arial" w:hAnsi="Arial"/>
          <w:sz w:val="24"/>
          <w:szCs w:val="24"/>
          <w:lang w:val="es-ES"/>
        </w:rPr>
      </w:r>
    </w:p>
    <w:p>
      <w:pPr>
        <w:pStyle w:val="Normal"/>
        <w:jc w:val="both"/>
        <w:rPr>
          <w:rFonts w:ascii="Arial" w:hAnsi="Arial"/>
          <w:sz w:val="24"/>
          <w:szCs w:val="24"/>
        </w:rPr>
      </w:pPr>
      <w:r>
        <w:rPr>
          <w:rFonts w:ascii="Arial" w:hAnsi="Arial"/>
          <w:sz w:val="24"/>
          <w:szCs w:val="24"/>
          <w:lang w:val="es-ES"/>
        </w:rPr>
        <w:t>La IA se ha utilizado para predecir el clima, proporcionando información a los agricultores, decidir cuándo sembrar, protegerlos de condiciones meteorológicas adversas, permite el seguimiento en tiempo real de los cultivos, detectando enfermedades y carencias de nutrientes. Asimismo, estas tecnologías ayudan a los agricultores a tomar acciones preventivas para obtener los mayores rendimientos y los más económicos, permite definir la cantidad de riego y fertilizante, así como el momento más oportuno para aplicarlo</w:t>
      </w:r>
    </w:p>
    <w:p>
      <w:pPr>
        <w:pStyle w:val="Normal"/>
        <w:jc w:val="both"/>
        <w:rPr>
          <w:rFonts w:ascii="Arial" w:hAnsi="Arial"/>
          <w:sz w:val="24"/>
          <w:szCs w:val="24"/>
        </w:rPr>
      </w:pPr>
      <w:r>
        <w:rPr>
          <w:rFonts w:ascii="Arial" w:hAnsi="Arial"/>
          <w:sz w:val="24"/>
          <w:szCs w:val="24"/>
          <w:lang w:val="es-ES"/>
        </w:rPr>
        <w:t>El sector agrícola ha sufrido cambios con el desarrollo de las tecnologías de la Información y las comunicaciones que favorece la utilización de los términos como: sistemas de información para la toma de decisiones, modelación de cultivos, agricultura de precisión e inteligencia artificial. (hover, 2022)</w:t>
      </w:r>
    </w:p>
    <w:p>
      <w:pPr>
        <w:pStyle w:val="Normal"/>
        <w:jc w:val="both"/>
        <w:rPr>
          <w:rFonts w:ascii="Arial" w:hAnsi="Arial"/>
          <w:sz w:val="24"/>
          <w:szCs w:val="24"/>
        </w:rPr>
      </w:pPr>
      <w:r>
        <w:rPr>
          <w:rFonts w:ascii="Arial" w:hAnsi="Arial"/>
          <w:sz w:val="24"/>
          <w:szCs w:val="24"/>
          <w:lang w:val="es-ES"/>
        </w:rPr>
        <w:t>Estas herramientas permiten que la agricultura sea más eficiente y eficaz. Entre las principales aplicaciones de la IA en este sector se encuentra el manejo general del cultivo como el riego, la fertilización, información del suelo y clima, rendimiento y sus componentes (gomez 2020)</w:t>
      </w:r>
      <w:r>
        <w:fldChar w:fldCharType="begin"/>
      </w:r>
      <w:r>
        <w:rPr>
          <w:sz w:val="24"/>
          <w:szCs w:val="24"/>
          <w:rFonts w:ascii="Arial" w:hAnsi="Arial"/>
          <w:lang w:val="es-ES"/>
        </w:rPr>
        <w:instrText xml:space="preserve">ADDIN ZOTERO_ITEM CSL_CITATION {"citationID":"kCLRuPN6","properties":{"formattedCitation":"(Melgar, 2021)","plainCitation":"(Melgar, 2021)","noteIndex":0},"citationItems":[{"id":3584,"uris":["http://zotero.org/users/13364072/items/442C3VKH"],"itemData":{"id":3584,"type":"document","publisher":"Cengicaña","source":"Google Scholar","title":"Inteligencia artificial aplicada a la agricultura","author":[{"family":"Melgar","given":"Mario"}],"issued":{"date-parts":[["2021"]]},"citation-key":"melgarInteligenciaArtificialAplicada2021"}}],"schema":"https://github.com/citation-style-language/schema/raw/master/csl-citation.json"}</w:instrText>
      </w:r>
      <w:r>
        <w:rPr>
          <w:rFonts w:ascii="Arial" w:hAnsi="Arial"/>
          <w:sz w:val="24"/>
          <w:szCs w:val="24"/>
          <w:lang w:val="es-ES"/>
        </w:rPr>
      </w:r>
      <w:r>
        <w:rPr>
          <w:sz w:val="24"/>
          <w:szCs w:val="24"/>
          <w:rFonts w:ascii="Arial" w:hAnsi="Arial"/>
          <w:lang w:val="es-ES"/>
        </w:rPr>
        <w:fldChar w:fldCharType="separate"/>
      </w:r>
      <w:r>
        <w:rPr>
          <w:rFonts w:ascii="Arial" w:hAnsi="Arial"/>
          <w:sz w:val="24"/>
          <w:szCs w:val="24"/>
          <w:lang w:val="es-ES"/>
        </w:rPr>
      </w:r>
      <w:r>
        <w:rPr>
          <w:rFonts w:cs="Calibri" w:ascii="Arial" w:hAnsi="Arial"/>
          <w:sz w:val="24"/>
          <w:szCs w:val="24"/>
          <w:lang w:val="es-ES"/>
        </w:rPr>
        <w:t>(Melgar, 2021)</w:t>
      </w:r>
      <w:r/>
      <w:r>
        <w:rPr>
          <w:sz w:val="24"/>
          <w:szCs w:val="24"/>
          <w:rFonts w:ascii="Arial" w:hAnsi="Arial"/>
          <w:lang w:val="es-ES"/>
        </w:rPr>
        <w:fldChar w:fldCharType="end"/>
      </w:r>
      <w:r>
        <w:rPr>
          <w:rFonts w:ascii="Arial" w:hAnsi="Arial"/>
          <w:sz w:val="24"/>
          <w:szCs w:val="24"/>
          <w:lang w:val="es-ES"/>
        </w:rPr>
      </w:r>
    </w:p>
    <w:p>
      <w:pPr>
        <w:pStyle w:val="Normal"/>
        <w:jc w:val="both"/>
        <w:rPr>
          <w:rFonts w:ascii="Arial" w:hAnsi="Arial"/>
          <w:sz w:val="24"/>
          <w:szCs w:val="24"/>
          <w:lang w:val="es-ES"/>
        </w:rPr>
      </w:pPr>
      <w:r>
        <w:rPr>
          <w:rFonts w:ascii="Arial" w:hAnsi="Arial"/>
          <w:sz w:val="24"/>
          <w:szCs w:val="24"/>
          <w:lang w:val="es-ES"/>
        </w:rPr>
      </w:r>
    </w:p>
    <w:p>
      <w:pPr>
        <w:pStyle w:val="Heading2"/>
        <w:spacing w:before="280" w:after="280"/>
        <w:jc w:val="both"/>
        <w:rPr>
          <w:rFonts w:ascii="Arial" w:hAnsi="Arial"/>
          <w:sz w:val="24"/>
          <w:szCs w:val="24"/>
        </w:rPr>
      </w:pPr>
      <w:r>
        <w:rPr>
          <w:sz w:val="24"/>
          <w:szCs w:val="24"/>
        </w:rPr>
        <w:t>La inteligencia artificial y su aplicación en el sector agrícola</w:t>
      </w:r>
    </w:p>
    <w:p>
      <w:pPr>
        <w:pStyle w:val="Normal"/>
        <w:jc w:val="both"/>
        <w:rPr>
          <w:rFonts w:ascii="Arial" w:hAnsi="Arial"/>
          <w:sz w:val="24"/>
          <w:szCs w:val="24"/>
        </w:rPr>
      </w:pPr>
      <w:r>
        <w:rPr>
          <w:rFonts w:ascii="Arial" w:hAnsi="Arial"/>
          <w:sz w:val="24"/>
          <w:szCs w:val="24"/>
          <w:lang w:val="es-ES"/>
        </w:rPr>
        <w:t>La IA ha emergido como una tecnología disruptiva con aplicaciones en numerosos sectores, desde la salud [1], [2] y la educación hasta la industria y el transporte [3], [4], de esta forma se puede decir que está transformando la forma en que se abordan los desafíos globales [5](</w:t>
      </w:r>
      <w:r>
        <w:fldChar w:fldCharType="begin"/>
      </w:r>
      <w:r>
        <w:rPr>
          <w:sz w:val="24"/>
          <w:szCs w:val="24"/>
          <w:rFonts w:ascii="Arial" w:hAnsi="Arial"/>
          <w:lang w:val="es-ES"/>
        </w:rPr>
        <w:instrText xml:space="preserve">ADDIN ZOTERO_ITEM CSL_CITATION {"citationID":"IC80mCAv","properties":{"formattedCitation":"(Hern\\uc0\\u225{}ndez-Salazar et\\uc0\\u160{}al., 2024)","plainCitation":"(Hernández-Salazar et al., 2024)","noteIndex":0},"citationItems":[{"id":3613,"uris":["http://zotero.org/users/13364072/items/EWNW6IDF"],"itemData":{"id":3613,"type":"article-journal","container-title":"Revista UIS Ingenierías","DOI":"10.18273/revuin.v23n4-2024012","issue":"4","page":"145","source":"Google Scholar","title":"Integración de la inteligencia artificial y la agricultura de precisión en cultivos de café","volume":"23","author":[{"family":"Hernández-Salazar","given":"Cristian Andrés"},{"family":"Estrada","given":"Octavio Andrés González"},{"family":"González-Silva","given":"Germán"}],"issued":{"date-parts":[["2024"]]},"citation-key":"hernandez-salazarIntegracionInteligenciaArtificial2024"}}],"schema":"https://github.com/citation-style-language/schema/raw/master/csl-citation.json"}</w:instrText>
      </w:r>
      <w:r>
        <w:rPr>
          <w:rFonts w:ascii="Arial" w:hAnsi="Arial"/>
          <w:sz w:val="24"/>
          <w:szCs w:val="24"/>
          <w:lang w:val="es-ES"/>
        </w:rPr>
      </w:r>
      <w:r>
        <w:rPr>
          <w:sz w:val="24"/>
          <w:szCs w:val="24"/>
          <w:rFonts w:ascii="Arial" w:hAnsi="Arial"/>
          <w:lang w:val="es-ES"/>
        </w:rPr>
        <w:fldChar w:fldCharType="separate"/>
      </w:r>
      <w:r>
        <w:rPr>
          <w:rFonts w:ascii="Arial" w:hAnsi="Arial"/>
          <w:sz w:val="24"/>
          <w:szCs w:val="24"/>
          <w:lang w:val="es-ES"/>
        </w:rPr>
      </w:r>
      <w:r>
        <w:rPr>
          <w:rFonts w:cs="Calibri" w:ascii="Arial" w:hAnsi="Arial"/>
          <w:sz w:val="24"/>
          <w:szCs w:val="24"/>
          <w:lang w:val="es-ES"/>
        </w:rPr>
        <w:t>(Hernández-Salazar et al., 2024)</w:t>
      </w:r>
      <w:r>
        <w:rPr>
          <w:rFonts w:ascii="Arial" w:hAnsi="Arial"/>
          <w:sz w:val="24"/>
          <w:szCs w:val="24"/>
          <w:lang w:val="es-ES"/>
        </w:rPr>
      </w:r>
      <w:r>
        <w:rPr>
          <w:sz w:val="24"/>
          <w:szCs w:val="24"/>
          <w:rFonts w:ascii="Arial" w:hAnsi="Arial"/>
          <w:lang w:val="es-ES"/>
        </w:rPr>
        <w:fldChar w:fldCharType="end"/>
      </w:r>
      <w:r>
        <w:rPr>
          <w:rFonts w:ascii="Arial" w:hAnsi="Arial"/>
          <w:sz w:val="24"/>
          <w:szCs w:val="24"/>
          <w:lang w:val="es-ES"/>
        </w:rPr>
        <w:t>)</w:t>
      </w:r>
    </w:p>
    <w:p>
      <w:pPr>
        <w:pStyle w:val="Normal"/>
        <w:jc w:val="both"/>
        <w:rPr>
          <w:rFonts w:ascii="Arial" w:hAnsi="Arial"/>
          <w:sz w:val="24"/>
          <w:szCs w:val="24"/>
        </w:rPr>
      </w:pPr>
      <w:r>
        <w:rPr>
          <w:rFonts w:ascii="Arial" w:hAnsi="Arial"/>
          <w:sz w:val="24"/>
          <w:szCs w:val="24"/>
          <w:lang w:val="es-ES"/>
        </w:rPr>
        <w:t xml:space="preserve">El aspecto más importante que define a la IA es la capacidad de procesar grandes volúmenes de datos e información, identificar patrones complejos y optimizar procesos; de forma similar a un comportamiento inteligente que abarca por lo general aspectos de razonamiento, el aprendizaje y la creatividad para predecir o planear; lo antes expuesto demuestra sus potencialidades ya que este sistema informático propicia simular características que son propias de la inteligencia humana como es la toma de decisiones.( </w:t>
      </w:r>
      <w:r>
        <w:fldChar w:fldCharType="begin"/>
      </w:r>
      <w:r>
        <w:rPr>
          <w:sz w:val="24"/>
          <w:szCs w:val="24"/>
          <w:rFonts w:ascii="Arial" w:hAnsi="Arial"/>
          <w:lang w:val="es-ES"/>
        </w:rPr>
        <w:instrText xml:space="preserve">ADDIN ZOTERO_ITEM CSL_CITATION {"citationID":"v5zumxmX","properties":{"formattedCitation":"(Perez-Ugena, 2024)","plainCitation":"(Perez-Ugena, 2024)","noteIndex":0},"citationItems":[{"id":3591,"uris":["http://zotero.org/users/13364072/items/CDZE2EA4"],"itemData":{"id":3591,"type":"article-journal","DOI":"10.18543/ed.3108","note":"publisher: Facultad de Derecho, Universidad de Deusto","source":"Google Scholar","title":"La inteligencia artificial: definición, regulación y riesgos para los derechos fundamentales","title-short":"La inteligencia artificial","URL":"https://burjcdigital.urjc.es/items/8d7be011-5b6d-4ace-a1e7-267746bd3de0","author":[{"family":"Perez-Ugena","given":"María"}],"accessed":{"date-parts":[["2025",9,19]]},"issued":{"date-parts":[["2024"]]},"citation-key":"perez-ugenaInteligenciaArtificialDefinicion2024"}}],"schema":"https://github.com/citation-style-language/schema/raw/master/csl-citation.json"}</w:instrText>
      </w:r>
      <w:r>
        <w:rPr>
          <w:rFonts w:ascii="Arial" w:hAnsi="Arial"/>
          <w:sz w:val="24"/>
          <w:szCs w:val="24"/>
          <w:lang w:val="es-ES"/>
        </w:rPr>
      </w:r>
      <w:r>
        <w:rPr>
          <w:sz w:val="24"/>
          <w:szCs w:val="24"/>
          <w:rFonts w:ascii="Arial" w:hAnsi="Arial"/>
          <w:lang w:val="es-ES"/>
        </w:rPr>
        <w:fldChar w:fldCharType="separate"/>
      </w:r>
      <w:r>
        <w:rPr>
          <w:rFonts w:ascii="Arial" w:hAnsi="Arial"/>
          <w:sz w:val="24"/>
          <w:szCs w:val="24"/>
          <w:lang w:val="es-ES"/>
        </w:rPr>
      </w:r>
      <w:r>
        <w:rPr>
          <w:rFonts w:cs="Calibri" w:ascii="Arial" w:hAnsi="Arial"/>
          <w:sz w:val="24"/>
          <w:szCs w:val="24"/>
          <w:lang w:val="es-ES"/>
        </w:rPr>
        <w:t>(Perez-Ugena, 2024)</w:t>
      </w:r>
      <w:r>
        <w:rPr>
          <w:rFonts w:ascii="Arial" w:hAnsi="Arial"/>
          <w:sz w:val="24"/>
          <w:szCs w:val="24"/>
          <w:lang w:val="es-ES"/>
        </w:rPr>
      </w:r>
      <w:r>
        <w:rPr>
          <w:sz w:val="24"/>
          <w:szCs w:val="24"/>
          <w:rFonts w:ascii="Arial" w:hAnsi="Arial"/>
          <w:lang w:val="es-ES"/>
        </w:rPr>
        <w:fldChar w:fldCharType="end"/>
      </w:r>
      <w:r>
        <w:rPr>
          <w:rFonts w:ascii="Arial" w:hAnsi="Arial"/>
          <w:sz w:val="24"/>
          <w:szCs w:val="24"/>
          <w:lang w:val="es-ES"/>
        </w:rPr>
        <w:t xml:space="preserve">, [5]( </w:t>
      </w:r>
      <w:r>
        <w:fldChar w:fldCharType="begin"/>
      </w:r>
      <w:r>
        <w:rPr>
          <w:sz w:val="24"/>
          <w:szCs w:val="24"/>
          <w:rFonts w:ascii="Arial" w:hAnsi="Arial"/>
          <w:lang w:val="es-ES"/>
        </w:rPr>
        <w:instrText xml:space="preserve">ADDIN ZOTERO_ITEM CSL_CITATION {"citationID":"7jo29Oza","properties":{"formattedCitation":"(Hern\\uc0\\u225{}ndez-Salazar et\\uc0\\u160{}al., 2024)","plainCitation":"(Hernández-Salazar et al., 2024)","noteIndex":0},"citationItems":[{"id":3613,"uris":["http://zotero.org/users/13364072/items/EWNW6IDF"],"itemData":{"id":3613,"type":"article-journal","container-title":"Revista UIS Ingenierías","DOI":"10.18273/revuin.v23n4-2024012","issue":"4","page":"145","source":"Google Scholar","title":"Integración de la inteligencia artificial y la agricultura de precisión en cultivos de café","volume":"23","author":[{"family":"Hernández-Salazar","given":"Cristian Andrés"},{"family":"Estrada","given":"Octavio Andrés González"},{"family":"González-Silva","given":"Germán"}],"issued":{"date-parts":[["2024"]]},"citation-key":"hernandez-salazarIntegracionInteligenciaArtificial2024"}}],"schema":"https://github.com/citation-style-language/schema/raw/master/csl-citation.json"}</w:instrText>
      </w:r>
      <w:r>
        <w:rPr>
          <w:rFonts w:ascii="Arial" w:hAnsi="Arial"/>
          <w:sz w:val="24"/>
          <w:szCs w:val="24"/>
          <w:lang w:val="es-ES"/>
        </w:rPr>
      </w:r>
      <w:r>
        <w:rPr>
          <w:sz w:val="24"/>
          <w:szCs w:val="24"/>
          <w:rFonts w:ascii="Arial" w:hAnsi="Arial"/>
          <w:lang w:val="es-ES"/>
        </w:rPr>
        <w:fldChar w:fldCharType="separate"/>
      </w:r>
      <w:r>
        <w:rPr>
          <w:rFonts w:ascii="Arial" w:hAnsi="Arial"/>
          <w:sz w:val="24"/>
          <w:szCs w:val="24"/>
          <w:lang w:val="es-ES"/>
        </w:rPr>
      </w:r>
      <w:r>
        <w:rPr>
          <w:rFonts w:cs="Calibri" w:ascii="Arial" w:hAnsi="Arial"/>
          <w:sz w:val="24"/>
          <w:szCs w:val="24"/>
          <w:lang w:val="es-ES"/>
        </w:rPr>
        <w:t>(Hernández-Salazar et al., 2024)</w:t>
      </w:r>
      <w:r>
        <w:rPr>
          <w:rFonts w:ascii="Arial" w:hAnsi="Arial"/>
          <w:sz w:val="24"/>
          <w:szCs w:val="24"/>
          <w:lang w:val="es-ES"/>
        </w:rPr>
      </w:r>
      <w:r>
        <w:rPr>
          <w:sz w:val="24"/>
          <w:szCs w:val="24"/>
          <w:rFonts w:ascii="Arial" w:hAnsi="Arial"/>
          <w:lang w:val="es-ES"/>
        </w:rPr>
        <w:fldChar w:fldCharType="end"/>
      </w:r>
      <w:r>
        <w:rPr>
          <w:rFonts w:ascii="Arial" w:hAnsi="Arial"/>
          <w:sz w:val="24"/>
          <w:szCs w:val="24"/>
          <w:lang w:val="es-ES"/>
        </w:rPr>
        <w:t>)</w:t>
      </w:r>
    </w:p>
    <w:p>
      <w:pPr>
        <w:pStyle w:val="Normal"/>
        <w:jc w:val="both"/>
        <w:rPr>
          <w:rFonts w:ascii="Arial" w:hAnsi="Arial"/>
          <w:sz w:val="24"/>
          <w:szCs w:val="24"/>
        </w:rPr>
      </w:pPr>
      <w:r>
        <w:rPr>
          <w:rFonts w:ascii="Arial" w:hAnsi="Arial"/>
          <w:sz w:val="24"/>
          <w:szCs w:val="24"/>
          <w:lang w:val="es-ES"/>
        </w:rPr>
        <w:t xml:space="preserve">El desarrollo tecnológico en los últimos años ha revolucionado el sector agrícola, se incrementan las innovaciones en la recolección de información que resultan de gran interés para comprender las condiciones de las áreas agrícolas y los cultivos. Estas herramientas proporcionan información detallada para optimizar el uso de productos fitosanitarios, fertilizantes, necesidad de riego, densidad de siembra momento ideal de cosecha, manejo de plagas. </w:t>
      </w:r>
      <w:r>
        <w:fldChar w:fldCharType="begin"/>
      </w:r>
      <w:r>
        <w:rPr>
          <w:sz w:val="24"/>
          <w:szCs w:val="24"/>
          <w:rFonts w:ascii="Arial" w:hAnsi="Arial"/>
          <w:lang w:val="es-ES"/>
        </w:rPr>
        <w:instrText xml:space="preserve">ADDIN ZOTERO_ITEM CSL_CITATION {"citationID":"nfT0t1mu","properties":{"formattedCitation":"(P\\uc0\\u233{}rez Madruga et\\uc0\\u160{}al., 2019)","plainCitation":"(Pérez Madruga et al., 2019)","noteIndex":0},"citationItems":[{"id":47,"uris":["http://zotero.org/users/13364072/items/VFHPFYYJ"],"itemData":{"id":47,"type":"article-journal","abstract":"Se realizaron dos experimentos en condiciones de campo, con el objetivo de evaluar los bioestimulantes QuitoMax® y EcoMic®, solos y combinados, en el rendimiento de dos variedades de maíz (Zea mays L.), durante los años 2015 y 2016. En ambos experimentos, los bioestimulantes fueron aplicados por imbibición de granos en soluciones de QuitoMax®, que después fueron peletizadas con EcoMic®, previo a la siembra y, posteriormente, las plantas fueron asperjadas en el área foliar con QuitoMax®. En el primer experimento, las distintas combinaciones de los bioproductos estimularon la mayoría de los componentes del rendimiento del maíz, variedad Criolla. En el segundo, el tratamiento de los granos con QuitoMax® y EcoMic® estimuló el diámetro de la mazorca, el número de hileras de granos y el rendimiento agrícola de la variedad P 7928, conjuntamente con la aspersión foliar de QuitoMax® en el cultivo. En la variedad Criolla, el tratamiento de los granos previo a la siembra con QuitoMax® y EcoMic® seguido de la aspersión foliar de QuitoMax®, aumentó en 62 % el rendimiento respecto al control peletizado con EcoMic®, mientras que en la variedad P 7928, tanto los tratamientos de cada producto solo como sus combinaciones, aumentaron el rendimiento respecto al control no tratado entre 15 y 22 %. En general, el rendimiento del maíz aumentó significativamente con el empleo de los bioestimulantes, lo que sugiere que la aplicación en el campo de EcoMic® y QuitoMax®, solos y combinados, es una opción recomendable para aumentar los rendimientos del cultivo, en dependencia de la variedad. Palabras clave: bioestimulantes; biofertilizantes; micorrizas; polímeros","container-title":"Cultivos Tropicales","ISSN":"0258-5936","issue":"4","note":"publisher: Ediciones INCA","source":"SciELO","title":"Aplicación combinada de quitosano y HMA en el rendimiento de maíz","URL":"http://scielo.sld.cu/scielo.php?script=sci_abstract&amp;pid=S0258-59362019000400006&amp;lng=es&amp;nrm=iso&amp;tlng=pt","volume":"40","author":[{"family":"Pérez Madruga","given":"Yanebis"},{"family":"Rosales Jenquis","given":"Pedro Rafael"},{"family":"Menéndez","given":"Daimy Costales-"},{"family":"Falcón-Rodríguez","given":"Alejandro"},{"family":"Pérez-Madruga","given":"Yanebis"},{"family":"Rosales-Jenquis","given":"Pedro Rafael"},{"family":"Menéndez","given":"Daimy Costales-"},{"family":"Falcón-Rodríguez","given":"Alejandro"}],"accessed":{"date-parts":[["2024",1,31]]},"issued":{"date-parts":[["2019",12]]},"citation-key":"perezmadrugaAplicacionCombinadaQuitosano2019"}}],"schema":"https://github.com/citation-style-language/schema/raw/master/csl-citation.json"}</w:instrText>
      </w:r>
      <w:r>
        <w:rPr>
          <w:rFonts w:ascii="Arial" w:hAnsi="Arial"/>
          <w:sz w:val="24"/>
          <w:szCs w:val="24"/>
          <w:lang w:val="es-ES"/>
        </w:rPr>
      </w:r>
      <w:r>
        <w:rPr>
          <w:sz w:val="24"/>
          <w:szCs w:val="24"/>
          <w:rFonts w:ascii="Arial" w:hAnsi="Arial"/>
          <w:lang w:val="es-ES"/>
        </w:rPr>
        <w:fldChar w:fldCharType="separate"/>
      </w:r>
      <w:r>
        <w:rPr>
          <w:rFonts w:ascii="Arial" w:hAnsi="Arial"/>
          <w:sz w:val="24"/>
          <w:szCs w:val="24"/>
          <w:lang w:val="es-ES"/>
        </w:rPr>
      </w:r>
      <w:r>
        <w:rPr>
          <w:rFonts w:cs="Calibri" w:ascii="Arial" w:hAnsi="Arial"/>
          <w:sz w:val="24"/>
          <w:szCs w:val="24"/>
          <w:lang w:val="es-ES"/>
        </w:rPr>
        <w:t>(Pérez Madruga et al., 2019)</w:t>
      </w:r>
      <w:r>
        <w:rPr>
          <w:rFonts w:ascii="Arial" w:hAnsi="Arial"/>
          <w:sz w:val="24"/>
          <w:szCs w:val="24"/>
          <w:lang w:val="es-ES"/>
        </w:rPr>
      </w:r>
      <w:r>
        <w:rPr>
          <w:sz w:val="24"/>
          <w:szCs w:val="24"/>
          <w:rFonts w:ascii="Arial" w:hAnsi="Arial"/>
          <w:lang w:val="es-ES"/>
        </w:rPr>
        <w:fldChar w:fldCharType="end"/>
      </w:r>
      <w:r>
        <w:rPr>
          <w:rFonts w:ascii="Arial" w:hAnsi="Arial"/>
          <w:sz w:val="24"/>
          <w:szCs w:val="24"/>
          <w:lang w:val="es-ES"/>
        </w:rPr>
        <w:t>.</w:t>
      </w:r>
    </w:p>
    <w:p>
      <w:pPr>
        <w:pStyle w:val="Normal"/>
        <w:jc w:val="both"/>
        <w:rPr>
          <w:rFonts w:ascii="Arial" w:hAnsi="Arial"/>
          <w:sz w:val="24"/>
          <w:szCs w:val="24"/>
        </w:rPr>
      </w:pPr>
      <w:r>
        <w:rPr>
          <w:rFonts w:ascii="Arial" w:hAnsi="Arial"/>
          <w:sz w:val="24"/>
          <w:szCs w:val="24"/>
          <w:lang w:val="es-ES"/>
        </w:rPr>
        <w:t>La IA para la recopilación de datos requiere de máquinas, sensores, dispositivos de monitoreo o computadoras capaces de ejecutar tareas con alta precisión, esta tecnología puedes ser utilizada para determinar qué cultivos plantar, su ubicación, el momento de siembra, rendimiento y sus componentes. Estas herramientas pueden facilitar la producción de cultivos más saludables con seguimiento en tiempo real, el control de plagas y con un seguimiento continua del estado del suelo.</w:t>
      </w:r>
    </w:p>
    <w:p>
      <w:pPr>
        <w:pStyle w:val="Normal"/>
        <w:jc w:val="both"/>
        <w:rPr>
          <w:rFonts w:ascii="Arial" w:hAnsi="Arial"/>
          <w:sz w:val="24"/>
          <w:szCs w:val="24"/>
        </w:rPr>
      </w:pPr>
      <w:r>
        <w:rPr>
          <w:rFonts w:ascii="Arial" w:hAnsi="Arial"/>
          <w:sz w:val="24"/>
          <w:szCs w:val="24"/>
          <w:lang w:val="es-ES"/>
        </w:rPr>
        <w:t>Uno de los aspectos más aplicados de la IA en la agricultura es el análisis predictivo, que contribuye a mantener una producción agrícola eficiente. Ejemplo de ello lo constituyen las técnicas de reconocimiento de patrones y el estudio de las variaciones en las hojas de cultivos saludables y enfermas para determinar dónde aplicar herbicidas. Estos algoritmos también ayudan a identificar brotes de enfermedades mediante el procesamiento y análisis de imágenes obtenida de drones o satélites, las técnicas de IA pueden evaluar el estado de los cultivos, la presencia de malezas y elaborar mapas que identifican áreas con diferentes niveles de humedad, lo que facilita la optimización de la cantidad de riego necesaria para cada área (Rambauth, 2021).</w:t>
      </w:r>
    </w:p>
    <w:p>
      <w:pPr>
        <w:pStyle w:val="Normal"/>
        <w:jc w:val="both"/>
        <w:rPr>
          <w:rFonts w:ascii="Arial" w:hAnsi="Arial"/>
          <w:sz w:val="24"/>
          <w:szCs w:val="24"/>
        </w:rPr>
      </w:pPr>
      <w:r>
        <w:rPr>
          <w:rFonts w:ascii="Arial" w:hAnsi="Arial"/>
          <w:sz w:val="24"/>
          <w:szCs w:val="24"/>
          <w:lang w:val="es-ES"/>
        </w:rPr>
        <w:t>La IA requiere de un gran volumen de información que también está presente en los modelos de simulación de cultivos o sistemas de Información para la Toma de Decisiones, los cuales proporcionan información valiosa a productores y decisores para optimizar recursos.</w:t>
      </w:r>
    </w:p>
    <w:p>
      <w:pPr>
        <w:pStyle w:val="Heading2"/>
        <w:spacing w:before="280" w:after="280"/>
        <w:jc w:val="both"/>
        <w:rPr>
          <w:rFonts w:ascii="Arial" w:hAnsi="Arial"/>
          <w:sz w:val="24"/>
          <w:szCs w:val="24"/>
        </w:rPr>
      </w:pPr>
      <w:r>
        <w:rPr>
          <w:sz w:val="24"/>
          <w:szCs w:val="24"/>
        </w:rPr>
        <w:t>Definición de modelos de simulación de cultivos</w:t>
      </w:r>
    </w:p>
    <w:p>
      <w:pPr>
        <w:pStyle w:val="Normal"/>
        <w:jc w:val="both"/>
        <w:rPr>
          <w:rFonts w:ascii="Arial" w:hAnsi="Arial"/>
          <w:sz w:val="24"/>
          <w:szCs w:val="24"/>
        </w:rPr>
      </w:pPr>
      <w:r>
        <w:rPr>
          <w:rFonts w:ascii="Arial" w:hAnsi="Arial"/>
          <w:sz w:val="24"/>
          <w:szCs w:val="24"/>
          <w:lang w:val="es-ES"/>
        </w:rPr>
        <w:t>Es de gran importancia el uso de modelos en la agricultura ya que como plantean Gormley y Sinclair (2003), en el desarrollo científico se han diseñado y aplicado durante siglos los modelos en diferentes disciplinas; aunque los vinculados a los procesos agrícolas y ambientales se han implementado en las últimas décadas. Lo antes mencionado evidencia que es más fácil trabajar con los modelos de simulación que con los sistemas reales, ya que estos últimos requieren de más recursos humanos y económicos.</w:t>
      </w:r>
    </w:p>
    <w:p>
      <w:pPr>
        <w:pStyle w:val="Normal"/>
        <w:jc w:val="both"/>
        <w:rPr>
          <w:rFonts w:ascii="Arial" w:hAnsi="Arial"/>
          <w:sz w:val="24"/>
          <w:szCs w:val="24"/>
        </w:rPr>
      </w:pPr>
      <w:r>
        <w:rPr>
          <w:rFonts w:ascii="Arial" w:hAnsi="Arial"/>
          <w:sz w:val="24"/>
          <w:szCs w:val="24"/>
          <w:lang w:val="es-ES"/>
        </w:rPr>
        <w:t>Es una práctica habitual el uso de modelos de simulación, sustentada en la información científica disponible, para la planificación agrícola en diferentes procesos, estos modelos son útiles para proporcionar resultados en situaciones específicas y tomar alternativas tempranas por parte de los decisores.</w:t>
      </w:r>
    </w:p>
    <w:p>
      <w:pPr>
        <w:pStyle w:val="Normal"/>
        <w:jc w:val="both"/>
        <w:rPr>
          <w:rFonts w:ascii="Arial" w:hAnsi="Arial"/>
          <w:sz w:val="24"/>
          <w:szCs w:val="24"/>
        </w:rPr>
      </w:pPr>
      <w:r>
        <w:fldChar w:fldCharType="begin"/>
      </w:r>
      <w:r>
        <w:rPr>
          <w:sz w:val="24"/>
          <w:szCs w:val="24"/>
          <w:rFonts w:ascii="Arial" w:hAnsi="Arial"/>
          <w:lang w:val="es-ES"/>
        </w:rPr>
        <w:instrText xml:space="preserve">ADDIN ZOTERO_ITEM CSL_CITATION {"citationID":"oOvACRAz","properties":{"formattedCitation":"(Candelaria Mart\\uc0\\u237{}nez et\\uc0\\u160{}al., 2011)","plainCitation":"(Candelaria Martínez et al., 2011)","noteIndex":0},"citationItems":[{"id":3585,"uris":["http://zotero.org/users/13364072/items/GWKNUDLH"],"itemData":{"id":3585,"type":"article-journal","container-title":"Tropical and subtropical agroecosystems","ISSN":"1870-0462","issue":"3","language":"es","note":"publisher: Universidad Autónoma de Yucatán, Facultad de Medicina Veterinaria","page":"999-1010","source":"SciELO","title":"Aplicación de modelos de simulación en el estudio y planificación de la agricultura, una revisión","volume":"14","author":[{"family":"Candelaria Martínez","given":"Bernardino"},{"family":"Ruiz Rosado","given":"Octavio"},{"family":"Gallardo López","given":"Felipe"},{"family":"Pérez Hernández","given":"Ponciano"},{"family":"Martínez Becerra","given":"Ángel"},{"family":"Vargas Villamil","given":"Luis"}],"issued":{"date-parts":[["2011",12]]},"citation-key":"candelariamartinezAplicacionModelosSimulacion2011"}}],"schema":"https://github.com/citation-style-language/schema/raw/master/csl-citation.json"}</w:instrText>
      </w:r>
      <w:r>
        <w:rPr>
          <w:rFonts w:ascii="Arial" w:hAnsi="Arial"/>
          <w:sz w:val="24"/>
          <w:szCs w:val="24"/>
          <w:lang w:val="es-ES"/>
        </w:rPr>
      </w:r>
      <w:r>
        <w:rPr>
          <w:sz w:val="24"/>
          <w:szCs w:val="24"/>
          <w:rFonts w:ascii="Arial" w:hAnsi="Arial"/>
          <w:lang w:val="es-ES"/>
        </w:rPr>
        <w:fldChar w:fldCharType="separate"/>
      </w:r>
      <w:r>
        <w:rPr>
          <w:rFonts w:ascii="Arial" w:hAnsi="Arial"/>
          <w:sz w:val="24"/>
          <w:szCs w:val="24"/>
          <w:lang w:val="es-ES"/>
        </w:rPr>
      </w:r>
      <w:r>
        <w:rPr>
          <w:rFonts w:cs="Calibri" w:ascii="Arial" w:hAnsi="Arial"/>
          <w:sz w:val="24"/>
          <w:szCs w:val="24"/>
          <w:lang w:val="es-ES"/>
        </w:rPr>
        <w:t>(Candelaria Martínez et al., 2011)</w:t>
      </w:r>
      <w:r>
        <w:rPr>
          <w:rFonts w:ascii="Arial" w:hAnsi="Arial"/>
          <w:sz w:val="24"/>
          <w:szCs w:val="24"/>
          <w:lang w:val="es-ES"/>
        </w:rPr>
      </w:r>
      <w:r>
        <w:rPr>
          <w:sz w:val="24"/>
          <w:szCs w:val="24"/>
          <w:rFonts w:ascii="Arial" w:hAnsi="Arial"/>
          <w:lang w:val="es-ES"/>
        </w:rPr>
        <w:fldChar w:fldCharType="end"/>
      </w:r>
      <w:r>
        <w:rPr>
          <w:rFonts w:ascii="Arial" w:hAnsi="Arial"/>
          <w:sz w:val="24"/>
          <w:szCs w:val="24"/>
          <w:lang w:val="es-ES"/>
        </w:rPr>
        <w:t xml:space="preserve"> plantean que un modelo es una representación conceptual, numérica o gráfica de un objeto, sistema, proceso, actividad o pensamiento; se utilizan para analizar cada una de sus relaciones e interacciones, con base en su análisis, predecir posibles escenarios futuros, de igual forma considera que un modelo puede describirse como una representación simplificada de un sistema real y es en esencia, una descripción de entidades y la relación entre ellas</w:t>
      </w:r>
    </w:p>
    <w:p>
      <w:pPr>
        <w:pStyle w:val="Normal"/>
        <w:jc w:val="both"/>
        <w:rPr>
          <w:rFonts w:ascii="Arial" w:hAnsi="Arial"/>
          <w:sz w:val="24"/>
          <w:szCs w:val="24"/>
        </w:rPr>
      </w:pPr>
      <w:r>
        <w:rPr>
          <w:rFonts w:ascii="Arial" w:hAnsi="Arial"/>
          <w:sz w:val="24"/>
          <w:szCs w:val="24"/>
          <w:lang w:val="es-ES"/>
        </w:rPr>
        <w:t>(</w:t>
      </w:r>
      <w:r>
        <w:fldChar w:fldCharType="begin"/>
      </w:r>
      <w:r>
        <w:rPr>
          <w:sz w:val="24"/>
          <w:szCs w:val="24"/>
          <w:rFonts w:ascii="Arial" w:hAnsi="Arial"/>
          <w:lang w:val="es-ES"/>
        </w:rPr>
        <w:instrText xml:space="preserve">ADDIN ZOTERO_ITEM CSL_CITATION {"citationID":"dQojRmmg","properties":{"formattedCitation":"(Candelaria Mart\\uc0\\u237{}nez et\\uc0\\u160{}al., 2011)","plainCitation":"(Candelaria Martínez et al., 2011)","noteIndex":0},"citationItems":[{"id":3585,"uris":["http://zotero.org/users/13364072/items/GWKNUDLH"],"itemData":{"id":3585,"type":"article-journal","container-title":"Tropical and subtropical agroecosystems","ISSN":"1870-0462","issue":"3","language":"es","note":"publisher: Universidad Autónoma de Yucatán, Facultad de Medicina Veterinaria","page":"999-1010","source":"SciELO","title":"Aplicación de modelos de simulación en el estudio y planificación de la agricultura, una revisión","volume":"14","author":[{"family":"Candelaria Martínez","given":"Bernardino"},{"family":"Ruiz Rosado","given":"Octavio"},{"family":"Gallardo López","given":"Felipe"},{"family":"Pérez Hernández","given":"Ponciano"},{"family":"Martínez Becerra","given":"Ángel"},{"family":"Vargas Villamil","given":"Luis"}],"issued":{"date-parts":[["2011",12]]},"citation-key":"candelariamartinezAplicacionModelosSimulacion2011"}}],"schema":"https://github.com/citation-style-language/schema/raw/master/csl-citation.json"}</w:instrText>
      </w:r>
      <w:r>
        <w:rPr>
          <w:rFonts w:ascii="Arial" w:hAnsi="Arial"/>
          <w:sz w:val="24"/>
          <w:szCs w:val="24"/>
          <w:lang w:val="es-ES"/>
        </w:rPr>
      </w:r>
      <w:r>
        <w:rPr>
          <w:sz w:val="24"/>
          <w:szCs w:val="24"/>
          <w:rFonts w:ascii="Arial" w:hAnsi="Arial"/>
          <w:lang w:val="es-ES"/>
        </w:rPr>
        <w:fldChar w:fldCharType="separate"/>
      </w:r>
      <w:r>
        <w:rPr>
          <w:rFonts w:ascii="Arial" w:hAnsi="Arial"/>
          <w:sz w:val="24"/>
          <w:szCs w:val="24"/>
          <w:lang w:val="es-ES"/>
        </w:rPr>
      </w:r>
      <w:r>
        <w:rPr>
          <w:rFonts w:cs="Calibri" w:ascii="Arial" w:hAnsi="Arial"/>
          <w:sz w:val="24"/>
          <w:szCs w:val="24"/>
          <w:lang w:val="es-ES"/>
        </w:rPr>
        <w:t>(Candelaria Martínez et al., 2011)</w:t>
      </w:r>
      <w:r>
        <w:rPr>
          <w:rFonts w:ascii="Arial" w:hAnsi="Arial"/>
          <w:sz w:val="24"/>
          <w:szCs w:val="24"/>
          <w:lang w:val="es-ES"/>
        </w:rPr>
      </w:r>
      <w:r>
        <w:rPr>
          <w:sz w:val="24"/>
          <w:szCs w:val="24"/>
          <w:rFonts w:ascii="Arial" w:hAnsi="Arial"/>
          <w:lang w:val="es-ES"/>
        </w:rPr>
        <w:fldChar w:fldCharType="end"/>
      </w:r>
      <w:r>
        <w:rPr>
          <w:rFonts w:ascii="Arial" w:hAnsi="Arial"/>
          <w:sz w:val="24"/>
          <w:szCs w:val="24"/>
          <w:lang w:val="es-ES"/>
        </w:rPr>
        <w:t>).</w:t>
      </w:r>
    </w:p>
    <w:p>
      <w:pPr>
        <w:pStyle w:val="Normal"/>
        <w:jc w:val="both"/>
        <w:rPr>
          <w:rFonts w:ascii="Arial" w:hAnsi="Arial"/>
          <w:sz w:val="24"/>
          <w:szCs w:val="24"/>
        </w:rPr>
      </w:pPr>
      <w:r>
        <w:rPr>
          <w:rFonts w:ascii="Arial" w:hAnsi="Arial"/>
          <w:sz w:val="24"/>
          <w:szCs w:val="24"/>
          <w:lang w:val="es-ES"/>
        </w:rPr>
        <w:t xml:space="preserve">De forma similar autores como </w:t>
      </w:r>
      <w:r>
        <w:fldChar w:fldCharType="begin"/>
      </w:r>
      <w:r>
        <w:rPr>
          <w:sz w:val="24"/>
          <w:szCs w:val="24"/>
          <w:rFonts w:ascii="Arial" w:hAnsi="Arial"/>
          <w:lang w:val="es-ES"/>
        </w:rPr>
        <w:instrText xml:space="preserve">ADDIN ZOTERO_ITEM CSL_CITATION {"citationID":"AQgL3bvL","properties":{"formattedCitation":"(Hern\\uc0\\u225{}ndez et\\uc0\\u160{}al., 2009)","plainCitation":"(Hernández et al., 2009)","noteIndex":0},"citationItems":[{"id":3607,"uris":["http://zotero.org/users/13364072/items/PVLK6EZ3"],"itemData":{"id":3607,"type":"article-journal","container-title":"Cultivos tropicales","issue":"1","note":"publisher: Ediciones INCA","page":"00–00","source":"Google Scholar","title":"Modelos de simulación de cultivos: Características y usos","title-short":"Modelos de simulación de cultivos","volume":"30","author":[{"family":"Hernández","given":"Naivy"},{"family":"Soto","given":"F."},{"family":"Caballero","given":"A."}],"issued":{"date-parts":[["2009"]]},"citation-key":"hernandezModelosSimulacionCultivos2009a"}}],"schema":"https://github.com/citation-style-language/schema/raw/master/csl-citation.json"}</w:instrText>
      </w:r>
      <w:r>
        <w:rPr>
          <w:rFonts w:ascii="Arial" w:hAnsi="Arial"/>
          <w:sz w:val="24"/>
          <w:szCs w:val="24"/>
          <w:lang w:val="es-ES"/>
        </w:rPr>
      </w:r>
      <w:r>
        <w:rPr>
          <w:sz w:val="24"/>
          <w:szCs w:val="24"/>
          <w:rFonts w:ascii="Arial" w:hAnsi="Arial"/>
          <w:lang w:val="es-ES"/>
        </w:rPr>
        <w:fldChar w:fldCharType="separate"/>
      </w:r>
      <w:r>
        <w:rPr>
          <w:rFonts w:ascii="Arial" w:hAnsi="Arial"/>
          <w:sz w:val="24"/>
          <w:szCs w:val="24"/>
          <w:lang w:val="es-ES"/>
        </w:rPr>
      </w:r>
      <w:r>
        <w:rPr>
          <w:rFonts w:cs="Calibri" w:ascii="Arial" w:hAnsi="Arial"/>
          <w:sz w:val="24"/>
          <w:szCs w:val="24"/>
          <w:lang w:val="es-ES"/>
        </w:rPr>
        <w:t>(Hernández et al., 2009)</w:t>
      </w:r>
      <w:r>
        <w:rPr>
          <w:rFonts w:ascii="Arial" w:hAnsi="Arial"/>
          <w:sz w:val="24"/>
          <w:szCs w:val="24"/>
          <w:lang w:val="es-ES"/>
        </w:rPr>
      </w:r>
      <w:r>
        <w:rPr>
          <w:sz w:val="24"/>
          <w:szCs w:val="24"/>
          <w:rFonts w:ascii="Arial" w:hAnsi="Arial"/>
          <w:lang w:val="es-ES"/>
        </w:rPr>
        <w:fldChar w:fldCharType="end"/>
      </w:r>
      <w:r>
        <w:rPr>
          <w:rFonts w:ascii="Arial" w:hAnsi="Arial"/>
          <w:sz w:val="24"/>
          <w:szCs w:val="24"/>
          <w:lang w:val="es-ES"/>
        </w:rPr>
        <w:t>, García, 2008, esbozan que un modelo se describe como una representación simplificada de un sistema real y es en esencia, una descripción de relación entre ellas, para explicar mejor la realidad, cuando es difícil trabajar directamente en la realidad en sí.</w:t>
      </w:r>
    </w:p>
    <w:p>
      <w:pPr>
        <w:pStyle w:val="Normal"/>
        <w:jc w:val="both"/>
        <w:rPr>
          <w:rFonts w:ascii="Arial" w:hAnsi="Arial"/>
          <w:sz w:val="24"/>
          <w:szCs w:val="24"/>
        </w:rPr>
      </w:pPr>
      <w:r>
        <w:rPr>
          <w:rFonts w:ascii="Arial" w:hAnsi="Arial"/>
          <w:sz w:val="24"/>
          <w:szCs w:val="24"/>
          <w:lang w:val="es-ES"/>
        </w:rPr>
        <w:t xml:space="preserve">Los modelos de simulación son un conjunto de ecuaciones matemáticas que representan procesos, variables y relaciones entre variables de un fenómeno del mundo real y que proporciona conjeturas aproximadas de su comportamiento con diferentes variaciones de sus variables. </w:t>
      </w:r>
      <w:r>
        <w:fldChar w:fldCharType="begin"/>
      </w:r>
      <w:r>
        <w:rPr>
          <w:sz w:val="24"/>
          <w:b/>
          <w:szCs w:val="24"/>
          <w:bCs/>
          <w:rFonts w:ascii="Arial" w:hAnsi="Arial"/>
          <w:lang w:val="es-ES"/>
        </w:rPr>
        <w:instrText xml:space="preserve">ADDIN ZOTERO_ITEM CSL_CITATION {"citationID":"9W0BMnqr","properties":{"formattedCitation":"(Candelaria Mart\\uc0\\u237{}nez et\\uc0\\u160{}al., 2011)","plainCitation":"(Candelaria Martínez et al., 2011)","noteIndex":0},"citationItems":[{"id":3585,"uris":["http://zotero.org/users/13364072/items/GWKNUDLH"],"itemData":{"id":3585,"type":"article-journal","container-title":"Tropical and subtropical agroecosystems","ISSN":"1870-0462","issue":"3","language":"es","note":"publisher: Universidad Autónoma de Yucatán, Facultad de Medicina Veterinaria","page":"999-1010","source":"SciELO","title":"Aplicación de modelos de simulación en el estudio y planificación de la agricultura, una revisión","volume":"14","author":[{"family":"Candelaria Martínez","given":"Bernardino"},{"family":"Ruiz Rosado","given":"Octavio"},{"family":"Gallardo López","given":"Felipe"},{"family":"Pérez Hernández","given":"Ponciano"},{"family":"Martínez Becerra","given":"Ángel"},{"family":"Vargas Villamil","given":"Luis"}],"issued":{"date-parts":[["2011",12]]},"citation-key":"candelariamartinezAplicacionModelosSimulacion2011"}}],"schema":"https://github.com/citation-style-language/schema/raw/master/csl-citation.json"}</w:instrText>
      </w:r>
      <w:r>
        <w:rPr>
          <w:rFonts w:ascii="Arial" w:hAnsi="Arial"/>
          <w:b/>
          <w:bCs/>
          <w:sz w:val="24"/>
          <w:szCs w:val="24"/>
          <w:lang w:val="es-ES"/>
        </w:rPr>
      </w:r>
      <w:r>
        <w:rPr>
          <w:sz w:val="24"/>
          <w:b/>
          <w:szCs w:val="24"/>
          <w:bCs/>
          <w:rFonts w:ascii="Arial" w:hAnsi="Arial"/>
          <w:lang w:val="es-ES"/>
        </w:rPr>
        <w:fldChar w:fldCharType="separate"/>
      </w:r>
      <w:r>
        <w:rPr>
          <w:rFonts w:ascii="Arial" w:hAnsi="Arial"/>
          <w:b/>
          <w:bCs/>
          <w:sz w:val="24"/>
          <w:szCs w:val="24"/>
          <w:lang w:val="es-ES"/>
        </w:rPr>
      </w:r>
      <w:r>
        <w:rPr>
          <w:rFonts w:cs="Times New Roman" w:ascii="Arial" w:hAnsi="Arial"/>
          <w:sz w:val="24"/>
          <w:szCs w:val="24"/>
          <w:lang w:val="es-ES"/>
        </w:rPr>
        <w:t>(Candelaria Martínez et al., 2011)</w:t>
      </w:r>
      <w:r/>
      <w:r>
        <w:rPr>
          <w:sz w:val="24"/>
          <w:b/>
          <w:szCs w:val="24"/>
          <w:bCs/>
          <w:rFonts w:ascii="Arial" w:hAnsi="Arial"/>
          <w:lang w:val="es-ES"/>
        </w:rPr>
        <w:fldChar w:fldCharType="end"/>
      </w:r>
      <w:r>
        <w:rPr>
          <w:rFonts w:ascii="Arial" w:hAnsi="Arial"/>
          <w:b/>
          <w:bCs/>
          <w:sz w:val="24"/>
          <w:szCs w:val="24"/>
          <w:lang w:val="es-ES"/>
        </w:rPr>
      </w:r>
    </w:p>
    <w:p>
      <w:pPr>
        <w:pStyle w:val="Normal"/>
        <w:jc w:val="both"/>
        <w:rPr>
          <w:rFonts w:ascii="Arial" w:hAnsi="Arial"/>
          <w:sz w:val="24"/>
          <w:szCs w:val="24"/>
        </w:rPr>
      </w:pPr>
      <w:r>
        <w:rPr>
          <w:rFonts w:ascii="Arial" w:hAnsi="Arial"/>
          <w:sz w:val="24"/>
          <w:szCs w:val="24"/>
          <w:lang w:val="es-ES"/>
        </w:rPr>
        <w:t>Lo antes expuesto permite evidenciar que los modelos de simulación de cultivo, permiten ayudar a comprender mejor la interacción genética-fisiológica-ambiental, con una integración interdisciplinaria.</w:t>
      </w:r>
    </w:p>
    <w:p>
      <w:pPr>
        <w:pStyle w:val="Normal"/>
        <w:jc w:val="both"/>
        <w:rPr>
          <w:rFonts w:ascii="Arial" w:hAnsi="Arial"/>
          <w:sz w:val="24"/>
          <w:szCs w:val="24"/>
        </w:rPr>
      </w:pPr>
      <w:r>
        <w:rPr>
          <w:rFonts w:ascii="Arial" w:hAnsi="Arial"/>
          <w:sz w:val="24"/>
          <w:szCs w:val="24"/>
          <w:lang w:val="es-ES"/>
        </w:rPr>
        <w:t xml:space="preserve">La agricultura es una actividad con múltiples implicaciones: sociales, biológicas, económicas, culturales, humanas, políticas y de mercado; por lo que obtener modelos que logren abarcarlas, representarlas y relacionarlas totalmente como sistema, es una tarea difícil de conseguir, pero con gran implicación para complementar los esfuerzos realizados en diferentes campos y lograr el desarrollo agrícola. Estos modelos de simulación de cultivos ofrecen grandes ventajas para los sistemas productivos como se muestra a continuación </w:t>
      </w:r>
      <w:r>
        <w:fldChar w:fldCharType="begin"/>
      </w:r>
      <w:r>
        <w:rPr>
          <w:sz w:val="24"/>
          <w:szCs w:val="24"/>
          <w:rFonts w:ascii="Arial" w:hAnsi="Arial"/>
          <w:lang w:val="es-ES"/>
        </w:rPr>
        <w:instrText xml:space="preserve">ADDIN ZOTERO_ITEM CSL_CITATION {"citationID":"7SS4mmIt","properties":{"formattedCitation":"(Sinclair &amp; Seligman, 1996)","plainCitation":"(Sinclair &amp; Seligman, 1996)","noteIndex":0},"citationItems":[{"id":3640,"uris":["http://zotero.org/users/13364072/items/GBG279EN"],"itemData":{"id":3640,"type":"article-journal","abstract":"Abstract\n            Crop modeling, the computerized simulation of dynamic crop systems, was born about 30 years ago, when systems analysis and modern computers presented a new technique to crop scientists. Since then, crop modeling has gone through a number of developmental stages, similar to those of living organisms. From its infancy, crop modeling seemed to promise a well‐behaved, elegant surrogate for ambiguous and cumbersome field experimentation. Indeed, some of the earliest models proved to be among the most notable achievements to date. During the juvenile stage that followed, there was an impressive increase in complexity and computer sophistication, accompanied by some of the growing pains of childhood. Greater expectations led to more and more detailed descriptions of the functioning of the biotic and abiotic components of cropping systems. The results were often trivial, and the big payoff tended to recede into the future, but the need for predicting future crop performance for management and hypothesis testing, together with progress in crop science and computer technology, spurred crop modeling. The next phase, adolescence, a period marked by intense activity, confusion, and excessive confidence‐sometimes challenged by doubt‐appears to be extending into the present. Not only is the original promise turning out to be elusive, but widely accepted guidelines for scientific modeling, such as greater reductionism, universality, and validation, are being questioned. Maturity may be emerging as expectations become pragmatically adjusted to reality. Crop modeling, like advanced ecological modeling, is proving to be more a heuristic tool than a surrogate for reality. In academic, research, and applied roles, such models can be of great value when used as aids to reasoning about the functioning and response of crop systems under many relevant, nontrivial scenarios.","container-title":"Agronomy Journal","DOI":"10.2134/agronj1996.00021962008800050004x","ISSN":"0002-1962, 1435-0645","issue":"5","journalAbbreviation":"Agronomy Journal","language":"en","page":"698-704","source":"DOI.org (Crossref)","title":"Crop Modeling: From Infancy to Maturity","title-short":"Crop Modeling","volume":"88","author":[{"family":"Sinclair","given":"Thomas R."},{"family":"Seligman","given":"No'am G."}],"issued":{"date-parts":[["1996",9]]},"citation-key":"sinclairCropModelingInfancy1996a"}}],"schema":"https://github.com/citation-style-language/schema/raw/master/csl-citation.json"}</w:instrText>
      </w:r>
      <w:r>
        <w:rPr>
          <w:rFonts w:ascii="Arial" w:hAnsi="Arial"/>
          <w:sz w:val="24"/>
          <w:szCs w:val="24"/>
          <w:lang w:val="es-ES"/>
        </w:rPr>
      </w:r>
      <w:r>
        <w:rPr>
          <w:sz w:val="24"/>
          <w:szCs w:val="24"/>
          <w:rFonts w:ascii="Arial" w:hAnsi="Arial"/>
          <w:lang w:val="es-ES"/>
        </w:rPr>
        <w:fldChar w:fldCharType="separate"/>
      </w:r>
      <w:r>
        <w:rPr>
          <w:rFonts w:ascii="Arial" w:hAnsi="Arial"/>
          <w:sz w:val="24"/>
          <w:szCs w:val="24"/>
          <w:lang w:val="es-ES"/>
        </w:rPr>
      </w:r>
      <w:r>
        <w:rPr>
          <w:rFonts w:cs="Calibri" w:ascii="Arial" w:hAnsi="Arial"/>
          <w:sz w:val="24"/>
          <w:szCs w:val="24"/>
        </w:rPr>
        <w:t>(Sinclair &amp; Seligman, 1996)</w:t>
      </w:r>
      <w:r>
        <w:rPr>
          <w:rFonts w:ascii="Arial" w:hAnsi="Arial"/>
          <w:sz w:val="24"/>
          <w:szCs w:val="24"/>
          <w:lang w:val="es-ES"/>
        </w:rPr>
      </w:r>
      <w:r>
        <w:rPr>
          <w:sz w:val="24"/>
          <w:szCs w:val="24"/>
          <w:rFonts w:ascii="Arial" w:hAnsi="Arial"/>
          <w:lang w:val="es-ES"/>
        </w:rPr>
        <w:fldChar w:fldCharType="end"/>
      </w:r>
      <w:r>
        <w:rPr>
          <w:rFonts w:ascii="Arial" w:hAnsi="Arial"/>
          <w:b/>
          <w:bCs/>
          <w:sz w:val="24"/>
          <w:szCs w:val="24"/>
        </w:rPr>
        <w:t xml:space="preserve"> </w:t>
      </w:r>
      <w:r>
        <w:fldChar w:fldCharType="begin"/>
      </w:r>
      <w:r>
        <w:rPr>
          <w:sz w:val="24"/>
          <w:b/>
          <w:szCs w:val="24"/>
          <w:bCs/>
          <w:rFonts w:ascii="Arial" w:hAnsi="Arial"/>
          <w:lang w:val="es-ES"/>
        </w:rPr>
        <w:instrText xml:space="preserve">ADDIN ZOTERO_ITEM CSL_CITATION {"citationID":"guJLSTk1","properties":{"formattedCitation":"(Candelaria Mart\\uc0\\u237{}nez et\\uc0\\u160{}al., 2011; Rodr\\uc0\\u237{}guez Gonz\\uc0\\u225{}lez et\\uc0\\u160{}al., 2021)","plainCitation":"(Candelaria Martínez et al., 2011; Rodríguez González et al., 2021)","noteIndex":0},"citationItems":[{"id":"pdNbDfP3/JTJDOSnT","uris":["http://zotero.org/users/13364072/items/GWKNUDLH"],"itemData":{"id":3585,"type":"article-journal","container-title":"Tropical and subtropical agroecosystems","ISSN":"1870-0462","issue":"3","language":"es","note":"publisher: Universidad Autónoma de Yucatán, Facultad de Medicina Veterinaria","page":"999-1010","source":"SciELO","title":"Aplicación de modelos de simulación en el estudio y planificación de la agricultura, una revisión","volume":"14","author":[{"family":"Candelaria Martínez","given":"Bernardino"},{"family":"Ruiz Rosado","given":"Octavio"},{"family":"Gallardo López","given":"Felipe"},{"family":"Pérez Hernández","given":"Ponciano"},{"family":"Martínez Becerra","given":"Ángel"},{"family":"Vargas Villamil","given":"Luis"}],"issued":{"date-parts":[["2011",12]]},"citation-key":"candelariamartinezAplicacionModelosSimulacion2011"}},{"id":3602,"uris":["http://zotero.org/users/13364072/items/4PN52NKV"],"itemData":{"id":3602,"type":"article-journal","container-title":"Cuban Journal of Agricultural Science","issue":"2","note":"publisher: Instituto de Ciencia Animal","source":"Google Scholar","title":"Simulación de estrategias de manejo a partir del modelo DSSAT para incrementar los rendimientos de un cultivar de maíz","URL":"http://scielo.sld.cu/scielo.php?pid=S2079-34802021000200008&amp;script=sci_arttext","volume":"55","author":[{"family":"Rodríguez González","given":"O."},{"family":"Florido Bacallao","given":"R."},{"family":"Hernández Córdova","given":"Naivy"},{"family":"Soto Carreño","given":"F."},{"family":"Jeréz Mompié","given":"E. I."},{"family":"González Viera","given":"Deborah"},{"family":"Vázquez Montenegro","given":"R. J."}],"accessed":{"date-parts":[["2025",9,19]]},"issued":{"date-parts":[["2021"]]},"citation-key":"rodriguezgonzalezSimulacionEstrategiasManejo2021a"}}],"schema":"https://github.com/citation-style-language/schema/raw/master/csl-citation.json"}</w:instrText>
      </w:r>
      <w:r>
        <w:rPr>
          <w:rFonts w:ascii="Arial" w:hAnsi="Arial"/>
          <w:b/>
          <w:bCs/>
          <w:sz w:val="24"/>
          <w:szCs w:val="24"/>
          <w:lang w:val="es-ES"/>
        </w:rPr>
      </w:r>
      <w:r>
        <w:rPr>
          <w:sz w:val="24"/>
          <w:b/>
          <w:szCs w:val="24"/>
          <w:bCs/>
          <w:rFonts w:ascii="Arial" w:hAnsi="Arial"/>
          <w:lang w:val="es-ES"/>
        </w:rPr>
        <w:fldChar w:fldCharType="separate"/>
      </w:r>
      <w:r>
        <w:rPr>
          <w:rFonts w:ascii="Arial" w:hAnsi="Arial"/>
          <w:b/>
          <w:bCs/>
          <w:sz w:val="24"/>
          <w:szCs w:val="24"/>
          <w:lang w:val="es-ES"/>
        </w:rPr>
      </w:r>
      <w:r>
        <w:rPr>
          <w:rFonts w:cs="Times New Roman" w:ascii="Arial" w:hAnsi="Arial"/>
          <w:sz w:val="24"/>
          <w:szCs w:val="24"/>
        </w:rPr>
        <w:t>(Candelaria Martínez et al., 2011; Rodríguez González et al., 2021)</w:t>
      </w:r>
      <w:r/>
      <w:r>
        <w:rPr>
          <w:sz w:val="24"/>
          <w:b/>
          <w:szCs w:val="24"/>
          <w:bCs/>
          <w:rFonts w:ascii="Arial" w:hAnsi="Arial"/>
          <w:lang w:val="es-ES"/>
        </w:rPr>
        <w:fldChar w:fldCharType="end"/>
      </w:r>
      <w:r>
        <w:rPr>
          <w:rFonts w:ascii="Arial" w:hAnsi="Arial"/>
          <w:b/>
          <w:bCs/>
          <w:sz w:val="24"/>
          <w:szCs w:val="24"/>
          <w:lang w:val="es-ES"/>
        </w:rPr>
      </w:r>
    </w:p>
    <w:p>
      <w:pPr>
        <w:pStyle w:val="Normal"/>
        <w:numPr>
          <w:ilvl w:val="0"/>
          <w:numId w:val="1"/>
        </w:numPr>
        <w:jc w:val="both"/>
        <w:rPr>
          <w:rFonts w:ascii="Arial" w:hAnsi="Arial"/>
          <w:sz w:val="24"/>
          <w:szCs w:val="24"/>
        </w:rPr>
      </w:pPr>
      <w:r>
        <w:rPr>
          <w:rFonts w:ascii="Arial" w:hAnsi="Arial"/>
          <w:sz w:val="24"/>
          <w:szCs w:val="24"/>
          <w:lang w:val="es-ES"/>
        </w:rPr>
        <w:t>Permiten estudiar sistemas reales que no se pueden evaluar analíticamente. En la práctica, la mayoría de los sistemas reales se estudian mediante simulación. De hecho  la simulación es la técnica de Investigación Operativa más utilizada.</w:t>
      </w:r>
    </w:p>
    <w:p>
      <w:pPr>
        <w:pStyle w:val="Normal"/>
        <w:numPr>
          <w:ilvl w:val="0"/>
          <w:numId w:val="1"/>
        </w:numPr>
        <w:jc w:val="both"/>
        <w:rPr>
          <w:rFonts w:ascii="Arial" w:hAnsi="Arial"/>
          <w:sz w:val="24"/>
          <w:szCs w:val="24"/>
        </w:rPr>
      </w:pPr>
      <w:r>
        <w:rPr>
          <w:rFonts w:ascii="Arial" w:hAnsi="Arial"/>
          <w:sz w:val="24"/>
          <w:szCs w:val="24"/>
          <w:lang w:val="es-ES"/>
        </w:rPr>
        <w:t>Hacen posible estimar el comportamiento de un sistema existente si se modifican algunas de las condiciones de funcionamiento actuales. Además para probar si esos cambios producen mejoras, no es necesario interrumpir el funcionamiento del sistema real.</w:t>
      </w:r>
    </w:p>
    <w:p>
      <w:pPr>
        <w:pStyle w:val="Normal"/>
        <w:numPr>
          <w:ilvl w:val="0"/>
          <w:numId w:val="1"/>
        </w:numPr>
        <w:jc w:val="both"/>
        <w:rPr>
          <w:rFonts w:ascii="Arial" w:hAnsi="Arial"/>
          <w:sz w:val="24"/>
          <w:szCs w:val="24"/>
        </w:rPr>
      </w:pPr>
      <w:r>
        <w:rPr>
          <w:rFonts w:ascii="Arial" w:hAnsi="Arial"/>
          <w:sz w:val="24"/>
          <w:szCs w:val="24"/>
          <w:lang w:val="es-ES"/>
        </w:rPr>
        <w:t>Se pueden comparar distintas alternativas de diseño (o de formas de operar de un sistema), antes de construirlo, para ver cual se comporta mejor.</w:t>
      </w:r>
    </w:p>
    <w:p>
      <w:pPr>
        <w:pStyle w:val="Normal"/>
        <w:numPr>
          <w:ilvl w:val="0"/>
          <w:numId w:val="1"/>
        </w:numPr>
        <w:jc w:val="both"/>
        <w:rPr>
          <w:rFonts w:ascii="Arial" w:hAnsi="Arial"/>
          <w:sz w:val="24"/>
          <w:szCs w:val="24"/>
        </w:rPr>
      </w:pPr>
      <w:r>
        <w:rPr>
          <w:rFonts w:ascii="Arial" w:hAnsi="Arial"/>
          <w:sz w:val="24"/>
          <w:szCs w:val="24"/>
          <w:lang w:val="es-ES"/>
        </w:rPr>
        <w:t>Permiten estudiar en poco tiempo la evolución de un sistema en un periodo largo de tiempo: se pueden evaluar años de experiencia en el sistema real en unos pocos minutos de simulación. Alternativamente también permiten lo contrario: estudiar los trabajos detallados de un sistema en un periodo de tiempo extendido.</w:t>
      </w:r>
    </w:p>
    <w:p>
      <w:pPr>
        <w:pStyle w:val="ListParagraph"/>
        <w:numPr>
          <w:ilvl w:val="0"/>
          <w:numId w:val="1"/>
        </w:numPr>
        <w:jc w:val="both"/>
        <w:rPr>
          <w:rFonts w:ascii="Arial" w:hAnsi="Arial"/>
          <w:sz w:val="24"/>
          <w:szCs w:val="24"/>
        </w:rPr>
      </w:pPr>
      <w:r>
        <w:rPr>
          <w:rFonts w:ascii="Arial" w:hAnsi="Arial"/>
          <w:sz w:val="24"/>
          <w:szCs w:val="24"/>
          <w:lang w:val="es-ES"/>
        </w:rPr>
        <w:t xml:space="preserve">Permiten definir estrategias de producción en la etapa de planificación de un cultivo futuro o ayudar a tomar decisiones tácticas durante el ciclo del cultivo tales como: prácticas culturales, fertilización, riego y el uso de plaguicidas </w:t>
      </w:r>
    </w:p>
    <w:p>
      <w:pPr>
        <w:pStyle w:val="Normal"/>
        <w:numPr>
          <w:ilvl w:val="0"/>
          <w:numId w:val="1"/>
        </w:numPr>
        <w:jc w:val="both"/>
        <w:rPr>
          <w:rFonts w:ascii="Arial" w:hAnsi="Arial"/>
          <w:sz w:val="24"/>
          <w:szCs w:val="24"/>
        </w:rPr>
      </w:pPr>
      <w:r>
        <w:rPr>
          <w:rFonts w:ascii="Arial" w:hAnsi="Arial"/>
          <w:sz w:val="24"/>
          <w:szCs w:val="24"/>
          <w:lang w:val="es-ES"/>
        </w:rPr>
        <w:t xml:space="preserve">Permiten evaluar diferentes planteos productivos, o analizar un factor manteniendo los otros constantes, por ejemplo la variación del rendimiento por efecto del clima sin modificar el manejo, el genotipo y el suelo. </w:t>
      </w:r>
    </w:p>
    <w:p>
      <w:pPr>
        <w:pStyle w:val="Normal"/>
        <w:ind w:left="360"/>
        <w:jc w:val="both"/>
        <w:rPr>
          <w:rFonts w:ascii="Arial" w:hAnsi="Arial"/>
          <w:sz w:val="24"/>
          <w:szCs w:val="24"/>
        </w:rPr>
      </w:pPr>
      <w:r>
        <w:rPr>
          <w:rFonts w:ascii="Arial" w:hAnsi="Arial"/>
          <w:sz w:val="24"/>
          <w:szCs w:val="24"/>
          <w:lang w:val="es-ES"/>
        </w:rPr>
        <w:t>Otros aspectos importantes a destacar de los modelos de simulación son los fenómenos meteorológicos como el ENOS (El Niño Oscilación del Sur) que analizan de forma interactiva el impacto de la variabilidad climática y las decisiones de manejo sobre la productividad de los cultivos .</w:t>
      </w:r>
    </w:p>
    <w:p>
      <w:pPr>
        <w:pStyle w:val="Normal"/>
        <w:jc w:val="both"/>
        <w:rPr>
          <w:rFonts w:ascii="Arial" w:hAnsi="Arial"/>
          <w:sz w:val="24"/>
          <w:szCs w:val="24"/>
        </w:rPr>
      </w:pPr>
      <w:r>
        <w:rPr>
          <w:rFonts w:ascii="Arial" w:hAnsi="Arial"/>
          <w:sz w:val="24"/>
          <w:szCs w:val="24"/>
          <w:lang w:val="es-ES"/>
        </w:rPr>
        <w:t>Los modelos de simulación de cultivos, al igual que cualquier herramienta empleada para procesar información resulta una actividad compleja y presenta limitaciones para su aplicación en los sistemas productivos.( Ortega etal., 1999)</w:t>
      </w:r>
      <w:r>
        <w:fldChar w:fldCharType="begin"/>
      </w:r>
      <w:r>
        <w:rPr>
          <w:sz w:val="24"/>
          <w:szCs w:val="24"/>
          <w:rFonts w:ascii="Arial" w:hAnsi="Arial"/>
          <w:lang w:val="es-ES"/>
        </w:rPr>
        <w:instrText xml:space="preserve">ADDIN ZOTERO_ITEM CSL_CITATION {"citationID":"86sBH4oq","properties":{"formattedCitation":"(Rodr\\uc0\\u237{}guez Gonz\\uc0\\u225{}lez et\\uc0\\u160{}al., 2021)","plainCitation":"(Rodríguez González et al., 2021)","noteIndex":0},"citationItems":[{"id":3602,"uris":["http://zotero.org/users/13364072/items/4PN52NKV"],"itemData":{"id":3602,"type":"article-journal","container-title":"Cuban Journal of Agricultural Science","issue":"2","note":"publisher: Instituto de Ciencia Animal","source":"Google Scholar","title":"Simulación de estrategias de manejo a partir del modelo DSSAT para incrementar los rendimientos de un cultivar de maíz","URL":"http://scielo.sld.cu/scielo.php?pid=S2079-34802021000200008&amp;script=sci_arttext","volume":"55","author":[{"family":"Rodríguez González","given":"O."},{"family":"Florido Bacallao","given":"R."},{"family":"Hernández Córdova","given":"Naivy"},{"family":"Soto Carreño","given":"F."},{"family":"Jeréz Mompié","given":"E. I."},{"family":"González Viera","given":"Deborah"},{"family":"Vázquez Montenegro","given":"R. J."}],"accessed":{"date-parts":[["2025",9,19]]},"issued":{"date-parts":[["2021"]]},"citation-key":"rodriguezgonzalezSimulacionEstrategiasManejo2021a"}}],"schema":"https://github.com/citation-style-language/schema/raw/master/csl-citation.json"}</w:instrText>
      </w:r>
      <w:r>
        <w:rPr>
          <w:rFonts w:ascii="Arial" w:hAnsi="Arial"/>
          <w:sz w:val="24"/>
          <w:szCs w:val="24"/>
          <w:lang w:val="es-ES"/>
        </w:rPr>
      </w:r>
      <w:r>
        <w:rPr>
          <w:sz w:val="24"/>
          <w:szCs w:val="24"/>
          <w:rFonts w:ascii="Arial" w:hAnsi="Arial"/>
          <w:lang w:val="es-ES"/>
        </w:rPr>
        <w:fldChar w:fldCharType="separate"/>
      </w:r>
      <w:r>
        <w:rPr>
          <w:rFonts w:ascii="Arial" w:hAnsi="Arial"/>
          <w:sz w:val="24"/>
          <w:szCs w:val="24"/>
          <w:lang w:val="es-ES"/>
        </w:rPr>
      </w:r>
      <w:r>
        <w:rPr>
          <w:rFonts w:cs="Calibri" w:ascii="Arial" w:hAnsi="Arial"/>
          <w:sz w:val="24"/>
          <w:szCs w:val="24"/>
        </w:rPr>
        <w:t>(Rodríguez González et al., 2021)</w:t>
      </w:r>
      <w:r/>
      <w:r>
        <w:rPr>
          <w:sz w:val="24"/>
          <w:szCs w:val="24"/>
          <w:rFonts w:ascii="Arial" w:hAnsi="Arial"/>
          <w:lang w:val="es-ES"/>
        </w:rPr>
        <w:fldChar w:fldCharType="end"/>
      </w:r>
      <w:r>
        <w:rPr>
          <w:rFonts w:ascii="Arial" w:hAnsi="Arial"/>
          <w:sz w:val="24"/>
          <w:szCs w:val="24"/>
          <w:lang w:val="es-ES"/>
        </w:rPr>
      </w:r>
    </w:p>
    <w:p>
      <w:pPr>
        <w:pStyle w:val="Normal"/>
        <w:numPr>
          <w:ilvl w:val="0"/>
          <w:numId w:val="2"/>
        </w:numPr>
        <w:jc w:val="both"/>
        <w:rPr>
          <w:rFonts w:ascii="Arial" w:hAnsi="Arial"/>
          <w:sz w:val="24"/>
          <w:szCs w:val="24"/>
        </w:rPr>
      </w:pPr>
      <w:r>
        <w:rPr>
          <w:rFonts w:ascii="Arial" w:hAnsi="Arial"/>
          <w:sz w:val="24"/>
          <w:szCs w:val="24"/>
          <w:lang w:val="es-ES"/>
        </w:rPr>
        <w:t>No produce resultados exactos, sino estimaciones. Esto hará necesario utilizar las técnicas estadísticas para saber, por ej., cuantas veces hay que ejecutar la simulación (número de muestras), para cada conjunto de datos de entrada y realizar estimaciones fiables de los parámetros de interés.</w:t>
      </w:r>
    </w:p>
    <w:p>
      <w:pPr>
        <w:pStyle w:val="Normal"/>
        <w:numPr>
          <w:ilvl w:val="0"/>
          <w:numId w:val="2"/>
        </w:numPr>
        <w:jc w:val="both"/>
        <w:rPr>
          <w:rFonts w:ascii="Arial" w:hAnsi="Arial"/>
          <w:sz w:val="24"/>
          <w:szCs w:val="24"/>
        </w:rPr>
      </w:pPr>
      <w:r>
        <w:rPr>
          <w:rFonts w:ascii="Arial" w:hAnsi="Arial"/>
          <w:sz w:val="24"/>
          <w:szCs w:val="24"/>
          <w:lang w:val="es-ES"/>
        </w:rPr>
        <w:t>Desarrollar un modelo de simulación suele ser caro y lleva tiempo.</w:t>
      </w:r>
    </w:p>
    <w:p>
      <w:pPr>
        <w:pStyle w:val="Normal"/>
        <w:numPr>
          <w:ilvl w:val="0"/>
          <w:numId w:val="2"/>
        </w:numPr>
        <w:jc w:val="both"/>
        <w:rPr>
          <w:rFonts w:ascii="Arial" w:hAnsi="Arial"/>
          <w:sz w:val="24"/>
          <w:szCs w:val="24"/>
        </w:rPr>
      </w:pPr>
      <w:r>
        <w:rPr>
          <w:rFonts w:ascii="Arial" w:hAnsi="Arial"/>
          <w:sz w:val="24"/>
          <w:szCs w:val="24"/>
          <w:lang w:val="es-ES"/>
        </w:rPr>
        <w:t>Es difícil demostrar la validez del modelo. Si el modelo no es válido, los resultados son poco útiles, ya que la información que se obtiene del modelo de simulación no es representativa del sistema real que interesa estudiar.</w:t>
      </w:r>
    </w:p>
    <w:p>
      <w:pPr>
        <w:pStyle w:val="Heading2"/>
        <w:spacing w:before="0" w:after="280"/>
        <w:jc w:val="both"/>
        <w:rPr>
          <w:rFonts w:ascii="Arial" w:hAnsi="Arial"/>
          <w:sz w:val="24"/>
          <w:szCs w:val="24"/>
        </w:rPr>
      </w:pPr>
      <w:r>
        <w:rPr>
          <w:sz w:val="24"/>
          <w:szCs w:val="24"/>
        </w:rPr>
        <w:t xml:space="preserve">Diferentes modelos de simulación de cultivos </w:t>
      </w:r>
    </w:p>
    <w:p>
      <w:pPr>
        <w:pStyle w:val="Normal"/>
        <w:jc w:val="both"/>
        <w:rPr>
          <w:rFonts w:ascii="Arial" w:hAnsi="Arial"/>
          <w:sz w:val="24"/>
          <w:szCs w:val="24"/>
        </w:rPr>
      </w:pPr>
      <w:r>
        <w:rPr>
          <w:rFonts w:ascii="Arial" w:hAnsi="Arial"/>
          <w:sz w:val="24"/>
          <w:szCs w:val="24"/>
          <w:lang w:val="es-ES"/>
        </w:rPr>
        <w:t>En la actualidad se utilizan varios modelos de simulación de cultivos con propósitos diferentes, entre ellos se destacan los siguientes: AquaCrop  (modelo de crecimiento de cultivos para mejorar la productividad hídrica, desarrollado por la FAO), CropSyst (Cropping Systems simulator), InfoCrop (modelo dinámico de rendimiento de cultivos desarrollado por la Universidad de Wageningen en Holanda) y WOFOST (WOrld FOod STudies, desarrollado por la Universidad de Wageningen en Holanda), CropWat (Crop Water Productivity Model), DSSAT-CERES-Maize (Decision Support System for Agrotechnology Transfer-Crop Environment Resource Synthesis)</w:t>
      </w:r>
    </w:p>
    <w:p>
      <w:pPr>
        <w:pStyle w:val="Normal"/>
        <w:jc w:val="both"/>
        <w:rPr>
          <w:rFonts w:ascii="Arial" w:hAnsi="Arial"/>
          <w:sz w:val="24"/>
          <w:szCs w:val="24"/>
        </w:rPr>
      </w:pPr>
      <w:r>
        <w:rPr>
          <w:rFonts w:ascii="Arial" w:hAnsi="Arial"/>
          <w:sz w:val="24"/>
          <w:szCs w:val="24"/>
          <w:lang w:val="es-ES"/>
        </w:rPr>
        <w:t xml:space="preserve">El modelo de simulación de cultivos CropSyst permite realizar simulaciones de cultivos durante varios años, simula el balance de nitrógeno y agua en el suelo, fenología del cultivo, absorción de nitrógeno y agua; el crecimiento y desarrollo del área foliar, la producción de biomasa, el rendimiento final, así como la producción y descomposición de residuos de cultivo y la erosión del suelo. </w:t>
      </w:r>
    </w:p>
    <w:p>
      <w:pPr>
        <w:pStyle w:val="Normal"/>
        <w:jc w:val="both"/>
        <w:rPr>
          <w:rFonts w:ascii="Arial" w:hAnsi="Arial"/>
          <w:sz w:val="24"/>
          <w:szCs w:val="24"/>
        </w:rPr>
      </w:pPr>
      <w:r>
        <w:rPr>
          <w:rFonts w:ascii="Arial" w:hAnsi="Arial"/>
          <w:sz w:val="24"/>
          <w:szCs w:val="24"/>
          <w:lang w:val="es-ES"/>
        </w:rPr>
        <w:t xml:space="preserve">Este modelo incorpora los efectos sobre estos procesos en dependencia de las variables climáticas, tipo de suelo y características del cultivo, de igual forma incluye variedad de opciones agronómicas de manejo (riego, fertilización, manejo de residuos, elección varietal y rotación), un apecto importante de este modelo es la posibilidad de realizar análisis de impacto ambiental (erosión, lixiviación y cambio climático). </w:t>
      </w:r>
      <w:r>
        <w:fldChar w:fldCharType="begin"/>
      </w:r>
      <w:r>
        <w:rPr>
          <w:sz w:val="24"/>
          <w:szCs w:val="24"/>
          <w:rFonts w:ascii="Arial" w:hAnsi="Arial"/>
          <w:lang w:val="es-ES"/>
        </w:rPr>
        <w:instrText xml:space="preserve">ADDIN ZOTERO_ITEM CSL_CITATION {"citationID":"MbctgQbf","properties":{"formattedCitation":"(Ferrer et\\uc0\\u160{}al., 2000)","plainCitation":"(Ferrer et al., 2000)","noteIndex":0},"citationItems":[{"id":3593,"uris":["http://zotero.org/users/13364072/items/FEVKQE7W"],"itemData":{"id":3593,"type":"article-journal","container-title":"Invest. Agr.: Prod. Prot. Veg","issue":"3","page":"237–251","source":"Google Scholar","title":"Evaluación del modelo de simulación CropSyst para maíz de regadío en el valle del Ebro","volume":"15","author":[{"family":"Ferrer","given":"F."},{"family":"Villar","given":"J. M."},{"family":"Stockle","given":"C. O."}],"issued":{"date-parts":[["2000"]]},"citation-key":"ferrerEvaluacionModeloSimulacion2000"}}],"schema":"https://github.com/citation-style-language/schema/raw/master/csl-citation.json"}</w:instrText>
      </w:r>
      <w:r>
        <w:rPr>
          <w:rFonts w:ascii="Arial" w:hAnsi="Arial"/>
          <w:sz w:val="24"/>
          <w:szCs w:val="24"/>
          <w:lang w:val="es-ES"/>
        </w:rPr>
      </w:r>
      <w:r>
        <w:rPr>
          <w:sz w:val="24"/>
          <w:szCs w:val="24"/>
          <w:rFonts w:ascii="Arial" w:hAnsi="Arial"/>
          <w:lang w:val="es-ES"/>
        </w:rPr>
        <w:fldChar w:fldCharType="separate"/>
      </w:r>
      <w:r>
        <w:rPr>
          <w:rFonts w:ascii="Arial" w:hAnsi="Arial"/>
          <w:sz w:val="24"/>
          <w:szCs w:val="24"/>
          <w:lang w:val="es-ES"/>
        </w:rPr>
      </w:r>
      <w:r>
        <w:rPr>
          <w:rFonts w:cs="Calibri" w:ascii="Arial" w:hAnsi="Arial"/>
          <w:sz w:val="24"/>
          <w:szCs w:val="24"/>
          <w:lang w:val="es-ES"/>
        </w:rPr>
        <w:t>(Ferrer et al., 2000)</w:t>
      </w:r>
      <w:r/>
      <w:r>
        <w:rPr>
          <w:sz w:val="24"/>
          <w:szCs w:val="24"/>
          <w:rFonts w:ascii="Arial" w:hAnsi="Arial"/>
          <w:lang w:val="es-ES"/>
        </w:rPr>
        <w:fldChar w:fldCharType="end"/>
      </w:r>
      <w:r>
        <w:rPr>
          <w:rFonts w:ascii="Arial" w:hAnsi="Arial"/>
          <w:sz w:val="24"/>
          <w:szCs w:val="24"/>
          <w:lang w:val="es-ES"/>
        </w:rPr>
      </w:r>
    </w:p>
    <w:p>
      <w:pPr>
        <w:pStyle w:val="Normal"/>
        <w:jc w:val="both"/>
        <w:rPr>
          <w:rFonts w:ascii="Arial" w:hAnsi="Arial"/>
          <w:sz w:val="24"/>
          <w:szCs w:val="24"/>
        </w:rPr>
      </w:pPr>
      <w:r>
        <w:rPr>
          <w:rFonts w:ascii="Arial" w:hAnsi="Arial"/>
          <w:sz w:val="24"/>
          <w:szCs w:val="24"/>
          <w:lang w:val="es-ES"/>
        </w:rPr>
        <w:t>En la actualidad se ha incrementado el uso del modelo AquaCrop de la FAO, debido a que es un software de libre acceso, requiere una menor cantidad de detalles y especificaciones de las variables de entrada, por lo que es de gran utilidad donde no existe abundante acceso a datos de entrada de clima, suelo o del cultivo y que éstos sean de buena calidad y en cantidad suficiente para realizar las simulaciones.</w:t>
      </w:r>
    </w:p>
    <w:p>
      <w:pPr>
        <w:pStyle w:val="Normal"/>
        <w:jc w:val="both"/>
        <w:rPr>
          <w:rFonts w:ascii="Arial" w:hAnsi="Arial"/>
          <w:sz w:val="24"/>
          <w:szCs w:val="24"/>
        </w:rPr>
      </w:pPr>
      <w:r>
        <w:rPr>
          <w:rFonts w:ascii="Arial" w:hAnsi="Arial"/>
          <w:sz w:val="24"/>
          <w:szCs w:val="24"/>
          <w:lang w:val="es-ES"/>
        </w:rPr>
        <w:t xml:space="preserve">El modelo CropWat de la FAO, es muy poco utilizado con fines de simulación del cambio climático, es más utilizado para estudios de riego, el consumo de agua del cultivo y su consecuente lámina de riego. </w:t>
      </w:r>
    </w:p>
    <w:p>
      <w:pPr>
        <w:pStyle w:val="Normal"/>
        <w:jc w:val="both"/>
        <w:rPr>
          <w:rFonts w:ascii="Arial" w:hAnsi="Arial"/>
          <w:sz w:val="24"/>
          <w:szCs w:val="24"/>
        </w:rPr>
      </w:pPr>
      <w:r>
        <w:rPr>
          <w:rFonts w:ascii="Arial" w:hAnsi="Arial"/>
          <w:sz w:val="24"/>
          <w:szCs w:val="24"/>
          <w:lang w:val="es-ES"/>
        </w:rPr>
        <w:t>El modelo WOFOST, tiene la ventaja de ser un programa abierto, de acceso libre, permite modificar el código fuente de su estructura, lo que facilita realizar ajustes para condiciones particulares por parte del usuario.</w:t>
      </w:r>
    </w:p>
    <w:p>
      <w:pPr>
        <w:pStyle w:val="NormalWeb"/>
        <w:spacing w:before="280" w:after="280"/>
        <w:jc w:val="both"/>
        <w:rPr>
          <w:rFonts w:ascii="Arial" w:hAnsi="Arial"/>
          <w:sz w:val="24"/>
          <w:szCs w:val="24"/>
        </w:rPr>
      </w:pPr>
      <w:r>
        <w:rPr>
          <w:rFonts w:ascii="Arial" w:hAnsi="Arial"/>
          <w:sz w:val="24"/>
          <w:szCs w:val="24"/>
        </w:rPr>
        <w:t xml:space="preserve">El Sistema de Apoyo para Decisiones de Transferencia de Agrotecnología (DSSAT) desarrollado en Universidades de Georgia y Florida, es una plataforma que incluye 42 modelos y se ha aplicado para simular los efectos que tienen en el rendimiento diferentes condiciones de manejo: fechas de siembra </w:t>
      </w:r>
      <w:r>
        <w:fldChar w:fldCharType="begin"/>
      </w:r>
      <w:r>
        <w:rPr>
          <w:vertAlign w:val="superscript"/>
          <w:sz w:val="24"/>
          <w:szCs w:val="24"/>
          <w:rFonts w:ascii="Arial" w:hAnsi="Arial"/>
        </w:rPr>
        <w:instrText xml:space="preserve">ADDIN ZOTERO_ITEM CSL_CITATION {"citationID":"vYQAMeJU","properties":{"formattedCitation":"(Tofa et\\uc0\\u160{}al., 2020)","plainCitation":"(Tofa et al., 2020)","noteIndex":0},"citationItems":[{"id":2324,"uris":["http://zotero.org/users/13364072/items/AMBQBWAZ"],"itemData":{"id":2324,"type":"article-journal","abstract":"The Crop Environment Resource Synthesis (CERES)-Maize model in Decision Support System for Agricultural Technology Transfer (DSSAT) was calibrated and evaluated with experimental data for simulation of response of two intermediate-maturing maize varieties to different sowing dates in the Nigerian savannas. The calibration experiments involved 14 consecutive field trials conducted in the rainy and dry seasons in Bayero University Kano (BUK), Dambatta, and Zaria between 2014–2019. Two sets of field experiments were conducted simultaneously for model evaluation in Iburu in the southern Guinea savanna zone and Zaria in the northern Guinea savanna zone during 2015 and 2016 cropping seasons. The experiments for calibration had two maize (SAMMAZ-15 and SAMMAZ-16) varieties planted under optimum conditions with no water and nutrients stresses. The trials for model evaluation were conducted using the same varieties under four different nitrogen (N) rates (0, 60, 120 and 180 kg N ha−1). A 30-year (1985–2014) term simulation was performed to determine effect of varying sowing dates on yields of two maize varieties (SAMMAZ-15 and SAMMAZ-16) in the Sudan savanna (SS), northern Guinea savanna (NGS), and southern Guinea savanna (SGS) zones. The calibration results showed that the cultivar coefficients of the two maize varieties resulted in simulated growth and development parameters that were in good agreement with observed parameters. Model evaluation showed a good agreement between simulated and observed data for phenology and growth of maize. This demonstrated the potential of the CERES-Maize model to simulate growth and yield of maize in the Nigeria savannas. Results of 30-year sensitivity analysis with 9 different sowing windows showed that in SS, sowing the intermediate maize varieties from early to mid-June produced the highest grain yields. In NGS, the optimum sowing windows were found between late June and late July for the both varieties. In SGS, the optimum sowing window is from early June to late July for SAMMAZ-15 and mid-June to late July for SAMMAZ-16. These planting windows gave the highest long-term average yields for each variety. The variety SAMMAZ-15 was found to be best performing across the three agro-ecologies. Maize performance was generally higher in NGS than in SGS. SS in the Sudan savanna recorded the lowest yield compared with other locations.","container-title":"Agronomy","DOI":"10.3390/agronomy10060871","ISSN":"2073-4395","issue":"6","language":"en","license":"http://creativecommons.org/licenses/by/3.0/","note":"number: 6\npublisher: Multidisciplinary Digital Publishing Institute","page":"871","source":"www.mdpi.com","title":"Modeling Planting-Date Effects on Intermediate-Maturing Maize in Contrasting Environments in the Nigerian Savanna: An Application of DSSAT Model","title-short":"Modeling Planting-Date Effects on Intermediate-Maturing Maize in Contrasting Environments in the Nigerian Savanna","volume":"10","author":[{"family":"Tofa","given":"Abdullahi I."},{"family":"Chiezey","given":"Uche F."},{"family":"Babaji","given":"Bashir A."},{"family":"Kamara","given":"Alpha Y."},{"family":"Adnan","given":"Adnan A."},{"family":"Beah","given":"Aloysius"},{"family":"Adam","given":"Adam M."}],"issued":{"date-parts":[["2020",6]]},"citation-key":"tofaModelingPlantingDateEffects2020"}}],"schema":"https://github.com/citation-style-language/schema/raw/master/csl-citation.json"}</w:instrText>
      </w:r>
      <w:r>
        <w:rPr>
          <w:rFonts w:ascii="Arial" w:hAnsi="Arial"/>
          <w:sz w:val="24"/>
          <w:szCs w:val="24"/>
          <w:vertAlign w:val="superscript"/>
        </w:rPr>
      </w:r>
      <w:r>
        <w:rPr>
          <w:vertAlign w:val="superscript"/>
          <w:sz w:val="24"/>
          <w:szCs w:val="24"/>
          <w:rFonts w:ascii="Arial" w:hAnsi="Arial"/>
        </w:rPr>
        <w:fldChar w:fldCharType="separate"/>
      </w:r>
      <w:r>
        <w:rPr>
          <w:rFonts w:ascii="Arial" w:hAnsi="Arial"/>
          <w:sz w:val="24"/>
          <w:szCs w:val="24"/>
          <w:vertAlign w:val="superscript"/>
        </w:rPr>
      </w:r>
      <w:r>
        <w:rPr>
          <w:rFonts w:ascii="Arial" w:hAnsi="Arial"/>
          <w:sz w:val="24"/>
          <w:szCs w:val="24"/>
        </w:rPr>
        <w:t>(Tofa et al., 2020)</w:t>
      </w:r>
      <w:r>
        <w:rPr>
          <w:rFonts w:ascii="Arial" w:hAnsi="Arial"/>
          <w:sz w:val="24"/>
          <w:szCs w:val="24"/>
          <w:vertAlign w:val="superscript"/>
        </w:rPr>
      </w:r>
      <w:r>
        <w:rPr>
          <w:vertAlign w:val="superscript"/>
          <w:sz w:val="24"/>
          <w:szCs w:val="24"/>
          <w:rFonts w:ascii="Arial" w:hAnsi="Arial"/>
        </w:rPr>
        <w:fldChar w:fldCharType="end"/>
      </w:r>
      <w:r>
        <w:rPr>
          <w:rFonts w:ascii="Arial" w:hAnsi="Arial"/>
          <w:sz w:val="24"/>
          <w:szCs w:val="24"/>
        </w:rPr>
        <w:t xml:space="preserve"> y </w:t>
      </w:r>
      <w:r>
        <w:fldChar w:fldCharType="begin"/>
      </w:r>
      <w:r>
        <w:rPr>
          <w:sz w:val="24"/>
          <w:szCs w:val="24"/>
          <w:rFonts w:ascii="Arial" w:hAnsi="Arial"/>
        </w:rPr>
        <w:instrText xml:space="preserve">ADDIN ZOTERO_ITEM CSL_CITATION {"citationID":"rq4qVNvt","properties":{"formattedCitation":"(Jovanovic et\\uc0\\u160{}al., 2020)","plainCitation":"(Jovanovic et al., 2020)","noteIndex":0},"citationItems":[{"id":3660,"uris":["http://zotero.org/users/13364072/items/FSDVUHR4"],"itemData":{"id":3660,"type":"article-journal","abstract":"In the past few decades, research has developed a multitude of strategies, methods and technologies to reduce consumptive water use on farms for adaptation to the increasing incidence of water scarcity, agricultural droughts and multi-sectoral competition for water. The adoption of these water-saving practices implies accurate quantification of crop water requirements with the FAO56 crop coefficient approach, under diverse water availability and management practices. This paper critically reviews notions and means for maintaining high levels of water consumed through transpiration, land and water productivity, and for minimizing non-beneficial water consumption at farm level. Literature published on sound and quantified experimentation was used to evaluate water-saving practices related to irrigation methods, irrigation management and scheduling, crop management, remote sensing, plant conditioners, mulching, soil management and micro-climate regulation. Summary tables were developed on the benefits of these practices, their effects on non-beneficial water consumption, crop yields and crop water productivity, and the directions for adjustment of FAO56 crop coefficients when they are adopted. The main message is that on-farm application of these practices can result in water savings to a limited extent (usually &lt;20%) compared to sound conventional practices, however this may translate into large volumes of water at catchment scale. The need to streamline data collection internationally was identified due to the insufficient number of sound field experiments and modelling work on the FAO56 crop water requirements that would allow an improved use of crop coefficients for different field conditions and practices. Optimization is required for the application of some practices that involve a large number of possible combinations (e.g. wetted area in micro-irrigation, row spacing and orientation, plant density, different types of mulching, in-field water harvesting) and for strategies such as deficit irrigation that aim at balancing water productivity, the economics of production, infrastructural and irrigation system requirements. Further research is required on promising technologies such as plant and soil conditioners, and remote sensing applications.","container-title":"Agricultural Water Management","DOI":"10.1016/j.agwat.2020.106267","ISSN":"0378-3774","journalAbbreviation":"Agricultural Water Management","page":"106267","source":"ScienceDirect","title":"A review of strategies, methods and technologies to reduce non-beneficial consumptive water use on farms considering the FAO56 methods","volume":"239","author":[{"family":"Jovanovic","given":"N."},{"family":"Pereira","given":"L. S."},{"family":"Paredes","given":"P."},{"family":"Pôças","given":"I."},{"family":"Cantore","given":"V."},{"family":"Todorovic","given":"M."}],"issued":{"date-parts":[["2020",9,1]]},"citation-key":"jovanovicReviewStrategiesMethods2020"}}],"schema":"https://github.com/citation-style-language/schema/raw/master/csl-citation.json"}</w:instrText>
      </w:r>
      <w:r>
        <w:rPr>
          <w:rFonts w:ascii="Arial" w:hAnsi="Arial"/>
          <w:sz w:val="24"/>
          <w:szCs w:val="24"/>
        </w:rPr>
      </w:r>
      <w:r>
        <w:rPr>
          <w:sz w:val="24"/>
          <w:szCs w:val="24"/>
          <w:rFonts w:ascii="Arial" w:hAnsi="Arial"/>
        </w:rPr>
        <w:fldChar w:fldCharType="separate"/>
      </w:r>
      <w:r>
        <w:rPr>
          <w:rFonts w:ascii="Arial" w:hAnsi="Arial"/>
          <w:sz w:val="24"/>
          <w:szCs w:val="24"/>
        </w:rPr>
        <w:t>(Jovanovic et al., 2020)</w:t>
      </w:r>
      <w:r>
        <w:rPr>
          <w:rFonts w:ascii="Arial" w:hAnsi="Arial"/>
          <w:sz w:val="24"/>
          <w:szCs w:val="24"/>
        </w:rPr>
      </w:r>
      <w:r>
        <w:rPr>
          <w:sz w:val="24"/>
          <w:szCs w:val="24"/>
          <w:rFonts w:ascii="Arial" w:hAnsi="Arial"/>
        </w:rPr>
        <w:fldChar w:fldCharType="end"/>
      </w:r>
      <w:r>
        <w:rPr>
          <w:rFonts w:ascii="Arial" w:hAnsi="Arial"/>
          <w:sz w:val="24"/>
          <w:szCs w:val="24"/>
        </w:rPr>
        <w:t xml:space="preserve">, niveles de riego, fertilización nitrogenada </w:t>
      </w:r>
      <w:r>
        <w:fldChar w:fldCharType="begin"/>
      </w:r>
      <w:r>
        <w:rPr>
          <w:sz w:val="24"/>
          <w:szCs w:val="24"/>
          <w:rFonts w:ascii="Arial" w:hAnsi="Arial"/>
        </w:rPr>
        <w:instrText xml:space="preserve">ADDIN ZOTERO_ITEM CSL_CITATION {"citationID":"YBGHScZk","properties":{"formattedCitation":"(Waldrip et\\uc0\\u160{}al., 2017)","plainCitation":"(Waldrip et al., 2017)","noteIndex":0},"citationItems":[{"id":3665,"uris":["http://zotero.org/users/13364072/items/ATY5WGMC"],"itemData":{"id":3665,"type":"article-journal","abstract":"The Texas Panhandle produces approximately 42% of finished beef in the U.S., and cattle production is estimated to contribute 8 Tg carbon dioxide equivalents (CO2e) from nitrous oxide (N2O). Production of N2O in manure is largely a result of biochemical processes that are not static: N2O emission rates are dependent on numerous environmental and chemical factors. Process-based models that estimate N2O emissions from manure in open-lot cattle production systems typically rely on information derived from studies of soil biochemistry. Limited study has been conducted on manure-derived N2O in open-lot beef feedyards. The objectives of this study were to determine variables related to N2O losses from Texas Panhandle feedyards and develop empirical models to predict N2O emissions. Nitrous oxide flux data were collected from a series of 15 non-flow-through, non-steady-state (NFT-NSS) chamber studies (ten chambers per study) conducted from 2012 to 2014 on two commercial beef cattle feedyards. Manure samples (loose surface manure and the underlying manure pack) were analyzed for basic physicochemical properties, soluble carbon (C) and nitrogen (N), and ultraviolet-visible (UV-vis) spectral characteristics related to degree of organic matter (OM) stability and humification. Measured N2O emissions ranged from below detection to 101 mg m-2 h-1 (average 4.8 Â±12 mg m-2 h-1) and were positively related to manure H2O content, temperature, and nitrate (NO3-) concentration (p &amp;lt; 0.01). Emissions were negatively related to manure OM, ammonia/ammonium (NH3/NH4+), dissolved C and dissolved N concentrations, and UV-vis parameters related to OM stability (p &amp;lt; 0.05). Based on these data, empirical models were developed and evaluated to predict manure-derived N2O emissions. Model predictions were not significantly different from observed N2O emissions (p &amp;lt; 0.05). The unbounded index of agreement (IA) indicated that model predictions were within 52% to 61% agreement with observations. Inclusion of OM characteristics improved model predictions of high (&amp;gt;30 mg m-2 h-1) N2O emissions but tended to overestimate low emission rates (&amp;lt;20 mg N2O m-2 h-1). This provides evidence for the importance of C stability in limiting manure N2O production. These models may improve parameterization of existing process-based models and are novel methods for predicting feedyard N2O emissions.","container-title":"Transactions of the ASABE","DOI":"10.13031/trans.12085","ISSN":"2151-0032","issue":"4","journalAbbreviation":"Transactions of the ASABE","note":"publisher-place: St. Joseph, MI\npublisher: ASABE","page":"1209-1221","title":"Nitrous Oxide Emissions from Southern High Plains Beef Cattle Feedyards: Measurement and Modeling","volume":"60","author":[{"family":"Waldrip","given":"Heidi M."},{"family":"Casey","given":"Kenneth D."},{"family":"Todd","given":"Richard W."},{"family":"Parker","given":"David   B."}],"issued":{"date-parts":[["2017"]]},"citation-key":"waldripNitrousOxideEmissions2017"}}],"schema":"https://github.com/citation-style-language/schema/raw/master/csl-citation.json"}</w:instrText>
      </w:r>
      <w:r>
        <w:rPr>
          <w:rFonts w:ascii="Arial" w:hAnsi="Arial"/>
          <w:sz w:val="24"/>
          <w:szCs w:val="24"/>
        </w:rPr>
      </w:r>
      <w:r>
        <w:rPr>
          <w:sz w:val="24"/>
          <w:szCs w:val="24"/>
          <w:rFonts w:ascii="Arial" w:hAnsi="Arial"/>
        </w:rPr>
        <w:fldChar w:fldCharType="separate"/>
      </w:r>
      <w:r>
        <w:rPr>
          <w:rFonts w:ascii="Arial" w:hAnsi="Arial"/>
          <w:sz w:val="24"/>
          <w:szCs w:val="24"/>
        </w:rPr>
        <w:t>(Waldrip et al., 2017)</w:t>
      </w:r>
      <w:r>
        <w:rPr>
          <w:rFonts w:ascii="Arial" w:hAnsi="Arial"/>
          <w:sz w:val="24"/>
          <w:szCs w:val="24"/>
        </w:rPr>
      </w:r>
      <w:r>
        <w:rPr>
          <w:sz w:val="24"/>
          <w:szCs w:val="24"/>
          <w:rFonts w:ascii="Arial" w:hAnsi="Arial"/>
        </w:rPr>
        <w:fldChar w:fldCharType="end"/>
      </w:r>
      <w:r>
        <w:rPr>
          <w:rFonts w:ascii="Arial" w:hAnsi="Arial"/>
          <w:sz w:val="24"/>
          <w:szCs w:val="24"/>
        </w:rPr>
        <w:t>y</w:t>
      </w:r>
      <w:r>
        <w:fldChar w:fldCharType="begin"/>
      </w:r>
      <w:r>
        <w:rPr>
          <w:sz w:val="24"/>
          <w:szCs w:val="24"/>
          <w:rFonts w:ascii="Arial" w:hAnsi="Arial"/>
        </w:rPr>
        <w:instrText xml:space="preserve">ADDIN ZOTERO_ITEM CSL_CITATION {"citationID":"dVZNGMRm","properties":{"formattedCitation":"(de Frutos Cachorro et\\uc0\\u160{}al., 2018)","plainCitation":"(de Frutos Cachorro et al., 2018)","noteIndex":0},"citationItems":[{"id":3666,"uris":["http://zotero.org/users/13364072/items/Q3ISWGWJ"],"itemData":{"id":3666,"type":"article-journal","abstract":"Few studies have addressed the topic of farmers' adaptation to climate change from a multidisciplinary perspective, because of the difficulty in assessing their impacts. In view of the growing concern in the agricultural sector on this issue, we analyzed farm-level adaptation through arable land-use changes in the specific case of the Loam region in Belgium. With this aim, we used an agro-economic model which considered 20-year series of current and projected simulated yields with and without considering additional farming practices to reduce crop stress, such as irrigation and soil and water conservation techniques. Agronomic results show that climate change will negatively affect summer crop yields, particularly sugar beet and potatoes. However, we also show that adaptation to climate change through land-use changes can compensate for crop yield losses and lead to utility gains. These are obtained by reducing the share of land allocated to summer crops and barley and by increasing the surface allocated to less vulnerable crops such as winter wheat. Finally, irrigation practices would not be justified in the Loam region under climate change, since their use would incur important financial costs for farmers.","container-title":"Agricultural Systems","DOI":"10.1016/j.agsy.2018.06.007","ISSN":"0308-521X","journalAbbreviation":"Agricultural Systems","page":"164-176","source":"ScienceDirect","title":"Farm-level adaptation to climate change: The case of the Loam region in Belgium","title-short":"Farm-level adaptation to climate change","volume":"165","author":[{"family":"Frutos Cachorro","given":"Julia","non-dropping-particle":"de"},{"family":"Gobin","given":"Anne"},{"family":"Buysse","given":"Jeroen"}],"issued":{"date-parts":[["2018",9,1]]},"citation-key":"defrutoscachorroFarmlevelAdaptationClimate2018"}}],"schema":"https://github.com/citation-style-language/schema/raw/master/csl-citation.json"}</w:instrText>
      </w:r>
      <w:r>
        <w:rPr>
          <w:rFonts w:ascii="Arial" w:hAnsi="Arial"/>
          <w:sz w:val="24"/>
          <w:szCs w:val="24"/>
        </w:rPr>
      </w:r>
      <w:r>
        <w:rPr>
          <w:sz w:val="24"/>
          <w:szCs w:val="24"/>
          <w:rFonts w:ascii="Arial" w:hAnsi="Arial"/>
        </w:rPr>
        <w:fldChar w:fldCharType="separate"/>
      </w:r>
      <w:r>
        <w:rPr>
          <w:rFonts w:ascii="Arial" w:hAnsi="Arial"/>
          <w:sz w:val="24"/>
          <w:szCs w:val="24"/>
        </w:rPr>
        <w:t>(de Frutos Cachorro et al., 2018)</w:t>
      </w:r>
      <w:r>
        <w:rPr>
          <w:rFonts w:ascii="Arial" w:hAnsi="Arial"/>
          <w:sz w:val="24"/>
          <w:szCs w:val="24"/>
        </w:rPr>
      </w:r>
      <w:r>
        <w:rPr>
          <w:sz w:val="24"/>
          <w:szCs w:val="24"/>
          <w:rFonts w:ascii="Arial" w:hAnsi="Arial"/>
        </w:rPr>
        <w:fldChar w:fldCharType="end"/>
      </w:r>
      <w:r>
        <w:rPr>
          <w:rFonts w:ascii="Arial" w:hAnsi="Arial"/>
          <w:sz w:val="24"/>
          <w:szCs w:val="24"/>
        </w:rPr>
        <w:t xml:space="preserve"> y densidad de siembra </w:t>
      </w:r>
      <w:r>
        <w:fldChar w:fldCharType="begin"/>
      </w:r>
      <w:r>
        <w:rPr>
          <w:sz w:val="24"/>
          <w:szCs w:val="24"/>
          <w:rFonts w:ascii="Arial" w:hAnsi="Arial"/>
        </w:rPr>
        <w:instrText xml:space="preserve">ADDIN ZOTERO_ITEM CSL_CITATION {"citationID":"z6p4FTho","properties":{"formattedCitation":"(Waldrip et\\uc0\\u160{}al., 2017)","plainCitation":"(Waldrip et al., 2017)","noteIndex":0},"citationItems":[{"id":3665,"uris":["http://zotero.org/users/13364072/items/ATY5WGMC"],"itemData":{"id":3665,"type":"article-journal","abstract":"The Texas Panhandle produces approximately 42% of finished beef in the U.S., and cattle production is estimated to contribute 8 Tg carbon dioxide equivalents (CO2e) from nitrous oxide (N2O). Production of N2O in manure is largely a result of biochemical processes that are not static: N2O emission rates are dependent on numerous environmental and chemical factors. Process-based models that estimate N2O emissions from manure in open-lot cattle production systems typically rely on information derived from studies of soil biochemistry. Limited study has been conducted on manure-derived N2O in open-lot beef feedyards. The objectives of this study were to determine variables related to N2O losses from Texas Panhandle feedyards and develop empirical models to predict N2O emissions. Nitrous oxide flux data were collected from a series of 15 non-flow-through, non-steady-state (NFT-NSS) chamber studies (ten chambers per study) conducted from 2012 to 2014 on two commercial beef cattle feedyards. Manure samples (loose surface manure and the underlying manure pack) were analyzed for basic physicochemical properties, soluble carbon (C) and nitrogen (N), and ultraviolet-visible (UV-vis) spectral characteristics related to degree of organic matter (OM) stability and humification. Measured N2O emissions ranged from below detection to 101 mg m-2 h-1 (average 4.8 Â±12 mg m-2 h-1) and were positively related to manure H2O content, temperature, and nitrate (NO3-) concentration (p &amp;lt; 0.01). Emissions were negatively related to manure OM, ammonia/ammonium (NH3/NH4+), dissolved C and dissolved N concentrations, and UV-vis parameters related to OM stability (p &amp;lt; 0.05). Based on these data, empirical models were developed and evaluated to predict manure-derived N2O emissions. Model predictions were not significantly different from observed N2O emissions (p &amp;lt; 0.05). The unbounded index of agreement (IA) indicated that model predictions were within 52% to 61% agreement with observations. Inclusion of OM characteristics improved model predictions of high (&amp;gt;30 mg m-2 h-1) N2O emissions but tended to overestimate low emission rates (&amp;lt;20 mg N2O m-2 h-1). This provides evidence for the importance of C stability in limiting manure N2O production. These models may improve parameterization of existing process-based models and are novel methods for predicting feedyard N2O emissions.","container-title":"Transactions of the ASABE","DOI":"10.13031/trans.12085","ISSN":"2151-0032","issue":"4","journalAbbreviation":"Transactions of the ASABE","note":"publisher-place: St. Joseph, MI\npublisher: ASABE","page":"1209-1221","title":"Nitrous Oxide Emissions from Southern High Plains Beef Cattle Feedyards: Measurement and Modeling","volume":"60","author":[{"family":"Waldrip","given":"Heidi M."},{"family":"Casey","given":"Kenneth D."},{"family":"Todd","given":"Richard W."},{"family":"Parker","given":"David   B."}],"issued":{"date-parts":[["2017"]]},"citation-key":"waldripNitrousOxideEmissions2017"}}],"schema":"https://github.com/citation-style-language/schema/raw/master/csl-citation.json"}</w:instrText>
      </w:r>
      <w:r>
        <w:rPr>
          <w:rFonts w:ascii="Arial" w:hAnsi="Arial"/>
          <w:sz w:val="24"/>
          <w:szCs w:val="24"/>
        </w:rPr>
      </w:r>
      <w:r>
        <w:rPr>
          <w:sz w:val="24"/>
          <w:szCs w:val="24"/>
          <w:rFonts w:ascii="Arial" w:hAnsi="Arial"/>
        </w:rPr>
        <w:fldChar w:fldCharType="separate"/>
      </w:r>
      <w:r>
        <w:rPr>
          <w:rFonts w:ascii="Arial" w:hAnsi="Arial"/>
          <w:sz w:val="24"/>
          <w:szCs w:val="24"/>
        </w:rPr>
        <w:t>(Waldrip et al., 2017)</w:t>
      </w:r>
      <w:r>
        <w:rPr>
          <w:rFonts w:ascii="Arial" w:hAnsi="Arial"/>
          <w:sz w:val="24"/>
          <w:szCs w:val="24"/>
        </w:rPr>
      </w:r>
      <w:r>
        <w:rPr>
          <w:sz w:val="24"/>
          <w:szCs w:val="24"/>
          <w:rFonts w:ascii="Arial" w:hAnsi="Arial"/>
        </w:rPr>
        <w:fldChar w:fldCharType="end"/>
      </w:r>
      <w:r>
        <w:rPr>
          <w:rFonts w:ascii="Arial" w:hAnsi="Arial"/>
          <w:sz w:val="24"/>
          <w:szCs w:val="24"/>
        </w:rPr>
        <w:t xml:space="preserve">. En la literatura consultada al respecto se destaca el potencial de DSSAT para estimar el crecimiento y rendimiento de cultivos en diferentes condiciones ambientales y de manejo. </w:t>
      </w:r>
    </w:p>
    <w:p>
      <w:pPr>
        <w:pStyle w:val="NormalWeb"/>
        <w:spacing w:before="280" w:after="280"/>
        <w:jc w:val="both"/>
        <w:rPr>
          <w:rFonts w:ascii="Arial" w:hAnsi="Arial"/>
          <w:sz w:val="24"/>
          <w:szCs w:val="24"/>
        </w:rPr>
      </w:pPr>
      <w:r>
        <w:rPr>
          <w:rFonts w:ascii="Arial" w:hAnsi="Arial"/>
          <w:sz w:val="24"/>
          <w:szCs w:val="24"/>
        </w:rPr>
        <w:t xml:space="preserve">El modelo DSSAT requiere ser calibrado y validado para poder realizar simulaciones de la respuesta del cultivo a diferentes factores. En la calibración, los parámetros en la base de datos del modelo se ajustan: (i) mediante varios escenarios de simulación hasta obtener un ajuste aceptable entre valores simulados y observados en experimentos de campo, y también (ii) a partir de datos experimentales de la literatura para la región en la que se validará. </w:t>
      </w:r>
    </w:p>
    <w:p>
      <w:pPr>
        <w:pStyle w:val="NormalWeb"/>
        <w:spacing w:before="280" w:after="280"/>
        <w:jc w:val="both"/>
        <w:rPr>
          <w:rFonts w:ascii="Arial" w:hAnsi="Arial"/>
          <w:sz w:val="24"/>
          <w:szCs w:val="24"/>
        </w:rPr>
      </w:pPr>
      <w:r>
        <w:rPr>
          <w:rFonts w:ascii="Arial" w:hAnsi="Arial"/>
          <w:sz w:val="24"/>
          <w:szCs w:val="24"/>
        </w:rPr>
        <w:t>La validación del modelo es el procedimiento mediante el cual se mide el desempeño del modelo, contrastando los valores simulados de una determinada variable con datos reales obtenidos en experimentos de campo. El objetivo principal al evaluar el desempeño de un modelo de simulación de cultivos es valorar su utilidad práctica como herramienta de investigación o apoyo en la toma de decisiones acerca del manejo y planificación a nivel local o nacional (</w:t>
      </w:r>
      <w:r>
        <w:fldChar w:fldCharType="begin"/>
      </w:r>
      <w:r>
        <w:rPr>
          <w:sz w:val="24"/>
          <w:szCs w:val="24"/>
          <w:rFonts w:ascii="Arial" w:hAnsi="Arial"/>
        </w:rPr>
        <w:instrText xml:space="preserve">ADDIN ZOTERO_ITEM CSL_CITATION {"citationID":"Qx6fbNSn","properties":{"formattedCitation":"(Soto-Bravo &amp; Gonz\\uc0\\u225{}lez-Lutz, 2019)","plainCitation":"(Soto-Bravo &amp; González-Lutz, 2019)","noteIndex":0},"citationItems":[{"id":3672,"uris":["http://zotero.org/users/13364072/items/FVNFGZ2E"],"itemData":{"id":3672,"type":"article-journal","abstract":"Introducción. Todo modelo de simulación debe ser calibrado y validado, de lo contrario las conclusiones pueden ser especulativas y erróneas. Los métodos para evaluar modelos de simulación habitualmente se aplican “por costumbre”, evitando entrar en detalles metodológicos básicos, lo cual ha sido causa de que se utilice terminología y simbología que conllevan a la confusión. Objetivo. El objetivo del presente estudio fue analizar los diferentes métodos estadísticos utilizados para evaluar el desempeño de modelos de simulación en agricultura, y así proponer el método más apropiado desde el punto de vista práctico. Materiales y métodos. Se analizaron métodos estadísticos basados en el análisis de diferencias y en el análisis de regresión, entre valores medidos y simulados. El análisis de diferencias, incluyó la raíz cuadrada del error medio estándar (RMSE), el error medio absoluto (EMA), el error relativo (ER), el índice de ajuste (d), el sesgo medio del error (MBE) y la eficiencia del modelo (E). En el análisis de regresión se analizó el intercepto, los coeficientes de regresión lineal (b) y de determinación (R2), y los límites de confianza de la estimación. Resultados. El ER, el d y la E, son medidas cuyo objetivo es más la comparación entre diferentes modelos que la evaluación del desempeño de un modelo como tal. La raíz cuadrada del error medio usualmente utilizada para evaluar diferencias entre valores observados y simulados, es diferente al RMSE de una regresión. En los diferentes casos ilustrados con el modelo “Eurotate_N”, demostraron la correcta aplicación práctica del análisis de regresión como herramienta estadística para evaluar su capacidad para simular rendimiento de fruto, humedad volumétrica del suelo, evapotranspiración y materia seca del cultivo de tomate bajo invernadero. Conclusión. El método estadístico propuesto más apropiado para evaluar un modelo de simulación en tomate fue el análisis de regresión.","container-title":"Agronomía Mesoamericana","ISSN":", 2215-3608","issue":"2","language":"Español","note":"publisher: Universidad de Costa Rica","source":"www.redalyc.org","title":"Análisis de métodos estadísticos para evaluar el desempeño de modelos de simulación en cultivos hortícolas","URL":"https://www.redalyc.org/articulo.oa?id=43759027015","volume":"30","author":[{"family":"Soto-Bravo","given":"Freddy"},{"family":"González-Lutz","given":"María Isabel"}],"accessed":{"date-parts":[["2025",9,19]]},"issued":{"date-parts":[["2019"]]},"citation-key":"soto-bravoAnalisisMetodosEstadisticos2019a"}}],"schema":"https://github.com/citation-style-language/schema/raw/master/csl-citation.json"}</w:instrText>
      </w:r>
      <w:r>
        <w:rPr>
          <w:rFonts w:ascii="Arial" w:hAnsi="Arial"/>
          <w:sz w:val="24"/>
          <w:szCs w:val="24"/>
        </w:rPr>
      </w:r>
      <w:r>
        <w:rPr>
          <w:sz w:val="24"/>
          <w:szCs w:val="24"/>
          <w:rFonts w:ascii="Arial" w:hAnsi="Arial"/>
        </w:rPr>
        <w:fldChar w:fldCharType="separate"/>
      </w:r>
      <w:r>
        <w:rPr>
          <w:rFonts w:ascii="Arial" w:hAnsi="Arial"/>
          <w:sz w:val="24"/>
          <w:szCs w:val="24"/>
        </w:rPr>
      </w:r>
      <w:r>
        <w:rPr>
          <w:rFonts w:ascii="Arial" w:hAnsi="Arial"/>
          <w:sz w:val="24"/>
          <w:szCs w:val="24"/>
        </w:rPr>
        <w:t>(Soto-Bravo &amp; González-Lutz, 2019)</w:t>
      </w:r>
      <w:r>
        <w:rPr>
          <w:rFonts w:ascii="Arial" w:hAnsi="Arial"/>
          <w:sz w:val="24"/>
          <w:szCs w:val="24"/>
        </w:rPr>
      </w:r>
      <w:r>
        <w:rPr>
          <w:sz w:val="24"/>
          <w:szCs w:val="24"/>
          <w:rFonts w:ascii="Arial" w:hAnsi="Arial"/>
        </w:rPr>
        <w:fldChar w:fldCharType="end"/>
      </w:r>
      <w:r>
        <w:rPr>
          <w:rFonts w:ascii="Arial" w:hAnsi="Arial"/>
          <w:sz w:val="24"/>
          <w:szCs w:val="24"/>
        </w:rPr>
        <w:t xml:space="preserve">). </w:t>
      </w:r>
    </w:p>
    <w:p>
      <w:pPr>
        <w:pStyle w:val="NormalWeb"/>
        <w:spacing w:before="280" w:after="280"/>
        <w:jc w:val="both"/>
        <w:rPr>
          <w:rFonts w:ascii="Arial" w:hAnsi="Arial"/>
          <w:sz w:val="24"/>
          <w:szCs w:val="24"/>
        </w:rPr>
      </w:pPr>
      <w:r>
        <w:rPr>
          <w:rFonts w:ascii="Arial" w:hAnsi="Arial"/>
          <w:sz w:val="24"/>
          <w:szCs w:val="24"/>
        </w:rPr>
        <w:t>La modelación posibilita investigar las consecuencias de posibles escenarios futuros y permite prepararse para los cambios antes de que ocurran. La influencia del cambio climático en la agricultura representa un reto para decidir las políticas a partir de modelos cuantitativos, que consideran la agricultura en su contexto específico (</w:t>
      </w:r>
      <w:r>
        <w:fldChar w:fldCharType="begin"/>
      </w:r>
      <w:r>
        <w:rPr>
          <w:sz w:val="24"/>
          <w:szCs w:val="24"/>
          <w:rFonts w:ascii="Arial" w:hAnsi="Arial"/>
        </w:rPr>
        <w:instrText xml:space="preserve">ADDIN ZOTERO_ITEM CSL_CITATION {"citationID":"D4dv8DJm","properties":{"formattedCitation":"(V\\uc0\\u225{}zquez-Montenegro et\\uc0\\u160{}al., 2015)","plainCitation":"(Vázquez-Montenegro et al., 2015)","noteIndex":0},"citationItems":[{"id":3677,"uris":["http://zotero.org/users/13364072/items/DXZHM3CZ"],"itemData":{"id":3677,"type":"article-journal","abstract":"La presente reseña o recopilación de estudios realizados en Cuba y Nicaragua, tiene como\npropósito examinar, los impactos potenciales del cambio climático sobre el sector agropecuario\nmediante el uso de la modelación, con el fin de brindar elementos que puedan tomarse en cuenta\npara la formulación de políticas agropecuarias y ambientales, ya que conocer los posibles\nimpactos del cambio climático, es un primer paso hacia la acción eficaz.\nSe analizan los posibles impactos de las variaciones de las variables climáticas sobre el sector\nagropecuario, sobre algunos de los cultivos más importantes. Asimismo se contabilizan los\nimpactos económicos a través escenarios climáticos futuros.\nEl estudio en el sector de agricultura arrojó una amplia gama de resultados que abarcan tanto\nconsecuencias perjudiciales como beneficiosas, en función de que los niveles del efecto de\nfertilización por CO2 (estimados en los laboratorios) se alcancen en la práctica para las plantas\nde ciclo fotosintético C3","collection-title":"Vol (1) pp 1-50 2015","DOI":"10.5377/ribcc.v1i1.2140","language":"spa","note":"number-of-pages: 50","source":"AgEcon Search","title":"Modelos de impacto en la agricultura teniendo en cuenta los escenarios de la agricultura del cambio climático","URL":"https://ageconsearch.umn.edu/record/232573","author":[{"family":"Vázquez-Montenegro","given":"Ranses José"},{"family":"Durán-Zarabozo","given":"Odil"},{"family":"Baca","given":"Marcio"}],"accessed":{"date-parts":[["2025",9,19]]},"issued":{"date-parts":[["2015"]]},"citation-key":"vazquez-montenegroModelosImpactoAgricultura2015"}}],"schema":"https://github.com/citation-style-language/schema/raw/master/csl-citation.json"}</w:instrText>
      </w:r>
      <w:r>
        <w:rPr>
          <w:rFonts w:ascii="Arial" w:hAnsi="Arial"/>
          <w:sz w:val="24"/>
          <w:szCs w:val="24"/>
        </w:rPr>
      </w:r>
      <w:r>
        <w:rPr>
          <w:sz w:val="24"/>
          <w:szCs w:val="24"/>
          <w:rFonts w:ascii="Arial" w:hAnsi="Arial"/>
        </w:rPr>
        <w:fldChar w:fldCharType="separate"/>
      </w:r>
      <w:r>
        <w:rPr>
          <w:rFonts w:ascii="Arial" w:hAnsi="Arial"/>
          <w:sz w:val="24"/>
          <w:szCs w:val="24"/>
        </w:rPr>
      </w:r>
      <w:r>
        <w:rPr>
          <w:rFonts w:ascii="Arial" w:hAnsi="Arial"/>
          <w:sz w:val="24"/>
          <w:szCs w:val="24"/>
        </w:rPr>
        <w:t>(Vázquez-Montenegro et al., 2015)</w:t>
      </w:r>
      <w:r>
        <w:rPr>
          <w:rFonts w:ascii="Arial" w:hAnsi="Arial"/>
          <w:sz w:val="24"/>
          <w:szCs w:val="24"/>
        </w:rPr>
      </w:r>
      <w:r>
        <w:rPr>
          <w:sz w:val="24"/>
          <w:szCs w:val="24"/>
          <w:rFonts w:ascii="Arial" w:hAnsi="Arial"/>
        </w:rPr>
        <w:fldChar w:fldCharType="end"/>
      </w:r>
      <w:r>
        <w:rPr>
          <w:rFonts w:ascii="Arial" w:hAnsi="Arial"/>
          <w:sz w:val="24"/>
          <w:szCs w:val="24"/>
        </w:rPr>
        <w:t xml:space="preserve"> y </w:t>
      </w:r>
      <w:r>
        <w:fldChar w:fldCharType="begin"/>
      </w:r>
      <w:r>
        <w:rPr>
          <w:sz w:val="24"/>
          <w:szCs w:val="24"/>
          <w:rFonts w:ascii="Arial" w:hAnsi="Arial"/>
        </w:rPr>
        <w:instrText xml:space="preserve">ADDIN ZOTERO_ITEM CSL_CITATION {"citationID":"gEWQ3RQW","properties":{"formattedCitation":"(Morug\\uc0\\u225{}n-Coronado et\\uc0\\u160{}al., 2020)","plainCitation":"(Morugán-Coronado et al., 2020)","noteIndex":0},"citationItems":[{"id":3674,"uris":["http://zotero.org/users/13364072/items/S3VZM7IP"],"itemData":{"id":3674,"type":"article-journal","abstract":"A meta-analysis specially based on tree crops was conducted to evaluate the changes in soil organic carbon (SOC), soil N and P, and crop yield in a Mediterranean climate, which are affected by: (i) management practices (crop diversification, tillage, fertilization); (ii) environmental characteristics, such as soil clay and climatic variables; and (iii) study length. The aim of this study was to assess the benefits of crop diversification, conservation tillage (minimum tillage/no-tillage) and organic fertilization as alternatives to intensive conventional mono-cropping in field studies. All the diversified systems and conservation tillage systems and the use of organic fertilizers induced positive effects on SOC. The highest response in SOC was achieved by the growth of permanent crops in the alleys. Soil N showed a similar trend to that of SOC, but the effect of no-tillage was not significant compared to conventional tillage. No significant effect was observed in soil P except for the cultivation of permanent crops in the alleys, which had a negative effect. No effect was observed in tree crop yield due to the growth of alley crops, conservation tillage or organic fertilization. However, the response of crop yield was related to the specific climatic conditions of each region, with possible negative effects in warm and dry areas. Overall, the use of intercropping, conservation tillage and organic fertilization led to improvements in soil quality and fertility and maintenance of a ground cover that can protect soil. However, to avoid possible negative effects on soil P and N availability, the growth of annual alley crops with minimum tillage is suggested instead of permanent crops with no-tillage, especially in dry and warm areas. Our results also suggested that the soil properties evaluated were not the main drivers of long-term yield variability.","container-title":"Agricultural Systems","DOI":"10.1016/j.agsy.2019.102736","ISSN":"0308-521X","journalAbbreviation":"Agricultural Systems","page":"102736","source":"ScienceDirect","title":"The impact of intercropping, tillage and fertilizer type on soil and crop yield in fruit orchards under Mediterranean conditions: A meta-analysis of field studies","title-short":"The impact of intercropping, tillage and fertilizer type on soil and crop yield in fruit orchards under Mediterranean conditions","volume":"178","author":[{"family":"Morugán-Coronado","given":"Alicia"},{"family":"Linares","given":"Carlos"},{"family":"Gómez-López","given":"María Dolores"},{"family":"Faz","given":"Ángel"},{"family":"Zornoza","given":"Raúl"}],"issued":{"date-parts":[["2020",2,1]]},"citation-key":"morugan-coronadoImpactIntercroppingTillage2020"}}],"schema":"https://github.com/citation-style-language/schema/raw/master/csl-citation.json"}</w:instrText>
      </w:r>
      <w:r>
        <w:rPr>
          <w:rFonts w:ascii="Arial" w:hAnsi="Arial"/>
          <w:sz w:val="24"/>
          <w:szCs w:val="24"/>
        </w:rPr>
      </w:r>
      <w:r>
        <w:rPr>
          <w:sz w:val="24"/>
          <w:szCs w:val="24"/>
          <w:rFonts w:ascii="Arial" w:hAnsi="Arial"/>
        </w:rPr>
        <w:fldChar w:fldCharType="separate"/>
      </w:r>
      <w:r>
        <w:rPr>
          <w:rFonts w:ascii="Arial" w:hAnsi="Arial"/>
          <w:sz w:val="24"/>
          <w:szCs w:val="24"/>
        </w:rPr>
        <w:t>(Morugán-Coronado et al., 2020)</w:t>
      </w:r>
      <w:r>
        <w:rPr>
          <w:rFonts w:ascii="Arial" w:hAnsi="Arial"/>
          <w:sz w:val="24"/>
          <w:szCs w:val="24"/>
        </w:rPr>
      </w:r>
      <w:r>
        <w:rPr>
          <w:sz w:val="24"/>
          <w:szCs w:val="24"/>
          <w:rFonts w:ascii="Arial" w:hAnsi="Arial"/>
        </w:rPr>
        <w:fldChar w:fldCharType="end"/>
      </w:r>
      <w:r>
        <w:rPr>
          <w:rFonts w:ascii="Arial" w:hAnsi="Arial"/>
          <w:sz w:val="24"/>
          <w:szCs w:val="24"/>
        </w:rPr>
        <w:t xml:space="preserve">). </w:t>
      </w:r>
    </w:p>
    <w:p>
      <w:pPr>
        <w:pStyle w:val="Heading2"/>
        <w:spacing w:before="280" w:after="280"/>
        <w:jc w:val="both"/>
        <w:rPr>
          <w:rFonts w:ascii="Arial" w:hAnsi="Arial"/>
          <w:sz w:val="24"/>
          <w:szCs w:val="24"/>
        </w:rPr>
      </w:pPr>
      <w:r>
        <w:rPr>
          <w:sz w:val="24"/>
          <w:szCs w:val="24"/>
        </w:rPr>
        <w:t>Conclusiones</w:t>
      </w:r>
    </w:p>
    <w:p>
      <w:pPr>
        <w:pStyle w:val="Normal"/>
        <w:jc w:val="both"/>
        <w:rPr>
          <w:rFonts w:ascii="Arial" w:hAnsi="Arial"/>
          <w:sz w:val="24"/>
          <w:szCs w:val="24"/>
        </w:rPr>
      </w:pPr>
      <w:r>
        <w:rPr>
          <w:rFonts w:ascii="Arial" w:hAnsi="Arial"/>
          <w:sz w:val="24"/>
          <w:szCs w:val="24"/>
          <w:lang w:val="es-ES"/>
        </w:rPr>
        <w:t xml:space="preserve">Las aplicaciones de Inteligencia Artificial en la agricultura están avanzando rápidamente, lo que le propicia a los agricultores hacer un uso más eficiente y sostenible de todos los recursos. </w:t>
      </w:r>
    </w:p>
    <w:p>
      <w:pPr>
        <w:pStyle w:val="Normal"/>
        <w:jc w:val="both"/>
        <w:rPr>
          <w:rFonts w:ascii="Arial" w:hAnsi="Arial"/>
          <w:sz w:val="24"/>
          <w:szCs w:val="24"/>
        </w:rPr>
      </w:pPr>
      <w:r>
        <w:rPr>
          <w:rFonts w:ascii="Arial" w:hAnsi="Arial"/>
          <w:sz w:val="24"/>
          <w:szCs w:val="24"/>
          <w:lang w:val="es-ES"/>
        </w:rPr>
        <w:t xml:space="preserve">La IA permite a lo agricultores tener información de cultivos y maquinaria en tiempo real para facilitar la toma de decisiones, lo cual ayuda a la sostenibilidad. </w:t>
      </w:r>
    </w:p>
    <w:p>
      <w:pPr>
        <w:pStyle w:val="Normal"/>
        <w:jc w:val="both"/>
        <w:rPr>
          <w:rFonts w:ascii="Arial" w:hAnsi="Arial"/>
          <w:sz w:val="24"/>
          <w:szCs w:val="24"/>
        </w:rPr>
      </w:pPr>
      <w:r>
        <w:rPr>
          <w:rFonts w:ascii="Arial" w:hAnsi="Arial"/>
          <w:sz w:val="24"/>
          <w:szCs w:val="24"/>
          <w:lang w:val="es-ES"/>
        </w:rPr>
        <w:t>El avance de los sistemas de información en la agricultura, unido al desarrollo de la computación ha permitido un desarrollo acelerado de la modelación de cultivos agrícolas. Estos constituyen una herramienta útil para poder predecir el comportamiento de los cultivos en condiciones específicas; integrando conocimientos de fisiología, ciencias del suelo y datos meteorológicos. Además permiten el desarrollo de una agricultura eficiente.</w:t>
      </w:r>
    </w:p>
    <w:p>
      <w:pPr>
        <w:pStyle w:val="Normal"/>
        <w:jc w:val="both"/>
        <w:rPr>
          <w:rFonts w:ascii="Arial" w:hAnsi="Arial"/>
          <w:sz w:val="24"/>
          <w:szCs w:val="24"/>
          <w:lang w:val="es-ES"/>
        </w:rPr>
      </w:pPr>
      <w:r>
        <w:rPr>
          <w:rFonts w:ascii="Arial" w:hAnsi="Arial"/>
          <w:sz w:val="24"/>
          <w:szCs w:val="24"/>
          <w:lang w:val="es-ES"/>
        </w:rPr>
      </w:r>
    </w:p>
    <w:p>
      <w:pPr>
        <w:pStyle w:val="Normal"/>
        <w:jc w:val="both"/>
        <w:rPr>
          <w:lang w:val="es-ES"/>
        </w:rPr>
      </w:pPr>
      <w:r>
        <w:rPr>
          <w:lang w:val="es-ES"/>
        </w:rPr>
      </w:r>
    </w:p>
    <w:p>
      <w:pPr>
        <w:pStyle w:val="Normal"/>
        <w:jc w:val="both"/>
        <w:rPr>
          <w:lang w:val="es-ES"/>
        </w:rPr>
      </w:pPr>
      <w:r>
        <w:rPr>
          <w:lang w:val="es-ES"/>
        </w:rPr>
      </w:r>
    </w:p>
    <w:p>
      <w:pPr>
        <w:pStyle w:val="Normal"/>
        <w:jc w:val="both"/>
        <w:rPr>
          <w:lang w:val="es-ES"/>
        </w:rPr>
      </w:pPr>
      <w:r>
        <w:rPr>
          <w:lang w:val="es-ES"/>
        </w:rPr>
      </w:r>
      <w:r>
        <w:br w:type="page"/>
      </w:r>
    </w:p>
    <w:p>
      <w:pPr>
        <w:pStyle w:val="Heading2"/>
        <w:spacing w:before="0" w:after="280"/>
        <w:jc w:val="both"/>
        <w:rPr/>
      </w:pPr>
      <w:r>
        <w:rPr/>
        <w:t>Referencias</w:t>
      </w:r>
    </w:p>
    <w:p>
      <w:pPr>
        <w:pStyle w:val="Bibliography"/>
        <w:jc w:val="both"/>
        <w:rPr/>
      </w:pPr>
      <w:r>
        <w:fldChar w:fldCharType="begin"/>
      </w:r>
      <w:r>
        <w:rPr>
          <w:lang w:val="es-ES"/>
        </w:rPr>
        <w:instrText xml:space="preserve">ADDIN ZOTERO_BIBL {"uncited":[],"omitted":[],"custom":[]} CSL_BIBLIOGRAPHY</w:instrText>
      </w:r>
      <w:r>
        <w:rPr>
          <w:lang w:val="es-ES"/>
        </w:rPr>
      </w:r>
      <w:r>
        <w:rPr>
          <w:lang w:val="es-ES"/>
        </w:rPr>
        <w:fldChar w:fldCharType="separate"/>
      </w:r>
      <w:r>
        <w:rPr>
          <w:lang w:val="es-ES"/>
        </w:rPr>
      </w:r>
      <w:r>
        <w:rPr>
          <w:rFonts w:cs="Calibri"/>
          <w:lang w:val="es-ES"/>
        </w:rPr>
        <w:t xml:space="preserve">Candelaria Martínez, B., Ruiz Rosado, O., Gallardo López, F., Pérez Hernández, P., Martínez Becerra, Á., &amp; Vargas Villamil, L. (2011). Aplicación de modelos de simulación en el estudio y planificación de la agricultura, una revisión. </w:t>
      </w:r>
      <w:r>
        <w:rPr>
          <w:rFonts w:cs="Calibri"/>
          <w:i/>
          <w:iCs/>
          <w:lang w:val="es-ES"/>
        </w:rPr>
        <w:t>Tropical and subtropical agroecosystems</w:t>
      </w:r>
      <w:r>
        <w:rPr>
          <w:rFonts w:cs="Calibri"/>
          <w:lang w:val="es-ES"/>
        </w:rPr>
        <w:t xml:space="preserve">, </w:t>
      </w:r>
      <w:r>
        <w:rPr>
          <w:rFonts w:cs="Calibri"/>
          <w:i/>
          <w:iCs/>
          <w:lang w:val="es-ES"/>
        </w:rPr>
        <w:t>14</w:t>
      </w:r>
      <w:r>
        <w:rPr>
          <w:rFonts w:cs="Calibri"/>
          <w:lang w:val="es-ES"/>
        </w:rPr>
        <w:t>(3), 999-1010.</w:t>
      </w:r>
    </w:p>
    <w:p>
      <w:pPr>
        <w:pStyle w:val="Bibliography"/>
        <w:jc w:val="both"/>
        <w:rPr/>
      </w:pPr>
      <w:r>
        <w:rPr>
          <w:rFonts w:cs="Calibri"/>
          <w:lang w:val="es-ES"/>
        </w:rPr>
        <w:t xml:space="preserve">de Frutos Cachorro, J., Gobin, A., &amp; Buysse, J. (2018). </w:t>
      </w:r>
      <w:r>
        <w:rPr>
          <w:rFonts w:cs="Calibri"/>
        </w:rPr>
        <w:t xml:space="preserve">Farm-level adaptation to climate change: The case of the Loam region in Belgium. </w:t>
      </w:r>
      <w:r>
        <w:rPr>
          <w:rFonts w:cs="Calibri"/>
          <w:i/>
          <w:iCs/>
        </w:rPr>
        <w:t>Agricultural Systems</w:t>
      </w:r>
      <w:r>
        <w:rPr>
          <w:rFonts w:cs="Calibri"/>
        </w:rPr>
        <w:t xml:space="preserve">, </w:t>
      </w:r>
      <w:r>
        <w:rPr>
          <w:rFonts w:cs="Calibri"/>
          <w:i/>
          <w:iCs/>
        </w:rPr>
        <w:t>165</w:t>
      </w:r>
      <w:r>
        <w:rPr>
          <w:rFonts w:cs="Calibri"/>
        </w:rPr>
        <w:t>, 164-176. https://doi.org/10.1016/j.agsy.2018.06.007</w:t>
      </w:r>
    </w:p>
    <w:p>
      <w:pPr>
        <w:pStyle w:val="Bibliography"/>
        <w:jc w:val="both"/>
        <w:rPr/>
      </w:pPr>
      <w:r>
        <w:rPr>
          <w:rFonts w:cs="Calibri"/>
        </w:rPr>
        <w:t xml:space="preserve">Ferrer, F., Villar, J. M., &amp; Stockle, C. O. (2000). </w:t>
      </w:r>
      <w:r>
        <w:rPr>
          <w:rFonts w:cs="Calibri"/>
          <w:lang w:val="es-ES"/>
        </w:rPr>
        <w:t xml:space="preserve">Evaluación del modelo de simulación CropSyst para maíz de regadío en el valle del Ebro. </w:t>
      </w:r>
      <w:r>
        <w:rPr>
          <w:rFonts w:cs="Calibri"/>
          <w:i/>
          <w:iCs/>
          <w:lang w:val="es-ES"/>
        </w:rPr>
        <w:t>Invest. Agr.: Prod. Prot. Veg</w:t>
      </w:r>
      <w:r>
        <w:rPr>
          <w:rFonts w:cs="Calibri"/>
          <w:lang w:val="es-ES"/>
        </w:rPr>
        <w:t xml:space="preserve">, </w:t>
      </w:r>
      <w:r>
        <w:rPr>
          <w:rFonts w:cs="Calibri"/>
          <w:i/>
          <w:iCs/>
          <w:lang w:val="es-ES"/>
        </w:rPr>
        <w:t>15</w:t>
      </w:r>
      <w:r>
        <w:rPr>
          <w:rFonts w:cs="Calibri"/>
          <w:lang w:val="es-ES"/>
        </w:rPr>
        <w:t>(3), 237-251.</w:t>
      </w:r>
    </w:p>
    <w:p>
      <w:pPr>
        <w:pStyle w:val="Bibliography"/>
        <w:jc w:val="both"/>
        <w:rPr/>
      </w:pPr>
      <w:r>
        <w:rPr>
          <w:rFonts w:cs="Calibri"/>
          <w:lang w:val="es-ES"/>
        </w:rPr>
        <w:t xml:space="preserve">Hernández, N., Soto, F., &amp; Caballero, A. (2009). Modelos de simulación de cultivos: Características y usos. </w:t>
      </w:r>
      <w:r>
        <w:rPr>
          <w:rFonts w:cs="Calibri"/>
          <w:i/>
          <w:iCs/>
          <w:lang w:val="es-ES"/>
        </w:rPr>
        <w:t>Cultivos tropicales</w:t>
      </w:r>
      <w:r>
        <w:rPr>
          <w:rFonts w:cs="Calibri"/>
          <w:lang w:val="es-ES"/>
        </w:rPr>
        <w:t xml:space="preserve">, </w:t>
      </w:r>
      <w:r>
        <w:rPr>
          <w:rFonts w:cs="Calibri"/>
          <w:i/>
          <w:iCs/>
          <w:lang w:val="es-ES"/>
        </w:rPr>
        <w:t>30</w:t>
      </w:r>
      <w:r>
        <w:rPr>
          <w:rFonts w:cs="Calibri"/>
          <w:lang w:val="es-ES"/>
        </w:rPr>
        <w:t>(1), 00-00.</w:t>
      </w:r>
    </w:p>
    <w:p>
      <w:pPr>
        <w:pStyle w:val="Bibliography"/>
        <w:jc w:val="both"/>
        <w:rPr/>
      </w:pPr>
      <w:r>
        <w:rPr>
          <w:rFonts w:cs="Calibri"/>
          <w:lang w:val="es-ES"/>
        </w:rPr>
        <w:t xml:space="preserve">Hernández-Salazar, C. A., Estrada, O. A. G., &amp; González-Silva, G. (2024). Integración de la inteligencia artificial y la agricultura de precisión en cultivos de café. </w:t>
      </w:r>
      <w:r>
        <w:rPr>
          <w:rFonts w:cs="Calibri"/>
          <w:i/>
          <w:iCs/>
          <w:lang w:val="es-ES"/>
        </w:rPr>
        <w:t>Revista UIS Ingenierías</w:t>
      </w:r>
      <w:r>
        <w:rPr>
          <w:rFonts w:cs="Calibri"/>
          <w:lang w:val="es-ES"/>
        </w:rPr>
        <w:t xml:space="preserve">, </w:t>
      </w:r>
      <w:r>
        <w:rPr>
          <w:rFonts w:cs="Calibri"/>
          <w:i/>
          <w:iCs/>
          <w:lang w:val="es-ES"/>
        </w:rPr>
        <w:t>23</w:t>
      </w:r>
      <w:r>
        <w:rPr>
          <w:rFonts w:cs="Calibri"/>
          <w:lang w:val="es-ES"/>
        </w:rPr>
        <w:t>(4), 145. https://doi.org/10.18273/revuin.v23n4-2024012</w:t>
      </w:r>
    </w:p>
    <w:p>
      <w:pPr>
        <w:pStyle w:val="Bibliography"/>
        <w:jc w:val="both"/>
        <w:rPr/>
      </w:pPr>
      <w:r>
        <w:rPr>
          <w:rFonts w:cs="Calibri"/>
          <w:lang w:val="es-ES"/>
        </w:rPr>
        <w:t xml:space="preserve">Jovanovic, N., Pereira, L. S., Paredes, P., Pôças, I., Cantore, V., &amp; Todorovic, M. (2020). </w:t>
      </w:r>
      <w:r>
        <w:rPr>
          <w:rFonts w:cs="Calibri"/>
        </w:rPr>
        <w:t xml:space="preserve">A review of strategies, methods and technologies to reduce non-beneficial consumptive water use on farms considering the FAO56 methods. </w:t>
      </w:r>
      <w:r>
        <w:rPr>
          <w:rFonts w:cs="Calibri"/>
          <w:i/>
          <w:iCs/>
        </w:rPr>
        <w:t>Agricultural Water Management</w:t>
      </w:r>
      <w:r>
        <w:rPr>
          <w:rFonts w:cs="Calibri"/>
        </w:rPr>
        <w:t xml:space="preserve">, </w:t>
      </w:r>
      <w:r>
        <w:rPr>
          <w:rFonts w:cs="Calibri"/>
          <w:i/>
          <w:iCs/>
        </w:rPr>
        <w:t>239</w:t>
      </w:r>
      <w:r>
        <w:rPr>
          <w:rFonts w:cs="Calibri"/>
        </w:rPr>
        <w:t>, 106267. https://doi.org/10.1016/j.agwat.2020.106267</w:t>
      </w:r>
    </w:p>
    <w:p>
      <w:pPr>
        <w:pStyle w:val="Bibliography"/>
        <w:jc w:val="both"/>
        <w:rPr/>
      </w:pPr>
      <w:r>
        <w:rPr>
          <w:rFonts w:cs="Calibri"/>
        </w:rPr>
        <w:t xml:space="preserve">Melgar, M. (2021). </w:t>
      </w:r>
      <w:r>
        <w:rPr>
          <w:rFonts w:cs="Calibri"/>
          <w:i/>
          <w:iCs/>
          <w:lang w:val="es-ES"/>
        </w:rPr>
        <w:t>Inteligencia artificial aplicada a la agricultura</w:t>
      </w:r>
      <w:r>
        <w:rPr>
          <w:rFonts w:cs="Calibri"/>
          <w:lang w:val="es-ES"/>
        </w:rPr>
        <w:t>. Cengicaña.</w:t>
      </w:r>
    </w:p>
    <w:p>
      <w:pPr>
        <w:pStyle w:val="Bibliography"/>
        <w:jc w:val="both"/>
        <w:rPr/>
      </w:pPr>
      <w:r>
        <w:rPr>
          <w:rFonts w:cs="Calibri"/>
          <w:lang w:val="es-ES"/>
        </w:rPr>
        <w:t xml:space="preserve">Morugán-Coronado, A., Linares, C., Gómez-López, M. D., Faz, Á., &amp; Zornoza, R. (2020). </w:t>
      </w:r>
      <w:r>
        <w:rPr>
          <w:rFonts w:cs="Calibri"/>
        </w:rPr>
        <w:t xml:space="preserve">The impact of intercropping, tillage and fertilizer type on soil and crop yield in fruit orchards under Mediterranean conditions: A meta-analysis of field studies. </w:t>
      </w:r>
      <w:r>
        <w:rPr>
          <w:rFonts w:cs="Calibri"/>
          <w:i/>
          <w:iCs/>
          <w:lang w:val="es-ES"/>
        </w:rPr>
        <w:t>Agricultural Systems</w:t>
      </w:r>
      <w:r>
        <w:rPr>
          <w:rFonts w:cs="Calibri"/>
          <w:lang w:val="es-ES"/>
        </w:rPr>
        <w:t xml:space="preserve">, </w:t>
      </w:r>
      <w:r>
        <w:rPr>
          <w:rFonts w:cs="Calibri"/>
          <w:i/>
          <w:iCs/>
          <w:lang w:val="es-ES"/>
        </w:rPr>
        <w:t>178</w:t>
      </w:r>
      <w:r>
        <w:rPr>
          <w:rFonts w:cs="Calibri"/>
          <w:lang w:val="es-ES"/>
        </w:rPr>
        <w:t>, 102736. https://doi.org/10.1016/j.agsy.2019.102736</w:t>
      </w:r>
    </w:p>
    <w:p>
      <w:pPr>
        <w:pStyle w:val="Bibliography"/>
        <w:jc w:val="both"/>
        <w:rPr/>
      </w:pPr>
      <w:r>
        <w:rPr>
          <w:rFonts w:cs="Calibri"/>
          <w:lang w:val="es-ES"/>
        </w:rPr>
        <w:t xml:space="preserve">Pérez Madruga, Y., Rosales Jenquis, P. R., Menéndez, D. C.-, Falcón-Rodríguez, A., Pérez-Madruga, Y., Rosales-Jenquis, P. R., Menéndez, D. C.-, &amp; Falcón-Rodríguez, A. (2019). Aplicación combinada de quitosano y HMA en el rendimiento de maíz. </w:t>
      </w:r>
      <w:r>
        <w:rPr>
          <w:rFonts w:cs="Calibri"/>
          <w:i/>
          <w:iCs/>
          <w:lang w:val="es-ES"/>
        </w:rPr>
        <w:t>Cultivos Tropicales</w:t>
      </w:r>
      <w:r>
        <w:rPr>
          <w:rFonts w:cs="Calibri"/>
          <w:lang w:val="es-ES"/>
        </w:rPr>
        <w:t xml:space="preserve">, </w:t>
      </w:r>
      <w:r>
        <w:rPr>
          <w:rFonts w:cs="Calibri"/>
          <w:i/>
          <w:iCs/>
          <w:lang w:val="es-ES"/>
        </w:rPr>
        <w:t>40</w:t>
      </w:r>
      <w:r>
        <w:rPr>
          <w:rFonts w:cs="Calibri"/>
          <w:lang w:val="es-ES"/>
        </w:rPr>
        <w:t>(4). http://scielo.sld.cu/scielo.php?script=sci_abstract&amp;pid=S0258-59362019000400006&amp;lng=es&amp;nrm=iso&amp;tlng=pt</w:t>
      </w:r>
    </w:p>
    <w:p>
      <w:pPr>
        <w:pStyle w:val="Bibliography"/>
        <w:jc w:val="both"/>
        <w:rPr/>
      </w:pPr>
      <w:r>
        <w:rPr>
          <w:rFonts w:cs="Calibri"/>
          <w:lang w:val="es-ES"/>
        </w:rPr>
        <w:t xml:space="preserve">Perez-Ugena, M. (2024). </w:t>
      </w:r>
      <w:r>
        <w:rPr>
          <w:rFonts w:cs="Calibri"/>
          <w:i/>
          <w:iCs/>
          <w:lang w:val="es-ES"/>
        </w:rPr>
        <w:t>La inteligencia artificial: Definición, regulación y riesgos para los derechos fundamentales</w:t>
      </w:r>
      <w:r>
        <w:rPr>
          <w:rFonts w:cs="Calibri"/>
          <w:lang w:val="es-ES"/>
        </w:rPr>
        <w:t>. https://doi.org/10.18543/ed.3108</w:t>
      </w:r>
    </w:p>
    <w:p>
      <w:pPr>
        <w:pStyle w:val="Bibliography"/>
        <w:jc w:val="both"/>
        <w:rPr/>
      </w:pPr>
      <w:r>
        <w:rPr>
          <w:rFonts w:cs="Calibri"/>
          <w:lang w:val="es-ES"/>
        </w:rPr>
        <w:t xml:space="preserve">Rodríguez González, O., Florido Bacallao, R., Hernández Córdova, N., Soto Carreño, F., Jeréz Mompié, E. I., González Viera, D., &amp; Vázquez Montenegro, R. J. (2021). Simulación de estrategias de manejo a partir del modelo DSSAT para incrementar los rendimientos de un cultivar de maíz. </w:t>
      </w:r>
      <w:r>
        <w:rPr>
          <w:rFonts w:cs="Calibri"/>
          <w:i/>
          <w:iCs/>
        </w:rPr>
        <w:t>Cuban Journal of Agricultural Science</w:t>
      </w:r>
      <w:r>
        <w:rPr>
          <w:rFonts w:cs="Calibri"/>
        </w:rPr>
        <w:t xml:space="preserve">, </w:t>
      </w:r>
      <w:r>
        <w:rPr>
          <w:rFonts w:cs="Calibri"/>
          <w:i/>
          <w:iCs/>
        </w:rPr>
        <w:t>55</w:t>
      </w:r>
      <w:r>
        <w:rPr>
          <w:rFonts w:cs="Calibri"/>
        </w:rPr>
        <w:t>(2). http://scielo.sld.cu/scielo.php?pid=S2079-34802021000200008&amp;script=sci_arttext</w:t>
      </w:r>
    </w:p>
    <w:p>
      <w:pPr>
        <w:pStyle w:val="Bibliography"/>
        <w:jc w:val="both"/>
        <w:rPr/>
      </w:pPr>
      <w:r>
        <w:rPr>
          <w:rFonts w:cs="Calibri"/>
        </w:rPr>
        <w:t xml:space="preserve">Sinclair, T. R., &amp; Seligman, N. G. (1996). Crop Modeling: From Infancy to Maturity. </w:t>
      </w:r>
      <w:r>
        <w:rPr>
          <w:rFonts w:cs="Calibri"/>
          <w:i/>
          <w:iCs/>
          <w:lang w:val="es-ES"/>
        </w:rPr>
        <w:t>Agronomy Journal</w:t>
      </w:r>
      <w:r>
        <w:rPr>
          <w:rFonts w:cs="Calibri"/>
          <w:lang w:val="es-ES"/>
        </w:rPr>
        <w:t xml:space="preserve">, </w:t>
      </w:r>
      <w:r>
        <w:rPr>
          <w:rFonts w:cs="Calibri"/>
          <w:i/>
          <w:iCs/>
          <w:lang w:val="es-ES"/>
        </w:rPr>
        <w:t>88</w:t>
      </w:r>
      <w:r>
        <w:rPr>
          <w:rFonts w:cs="Calibri"/>
          <w:lang w:val="es-ES"/>
        </w:rPr>
        <w:t>(5), 698-704. https://doi.org/10.2134/agronj1996.00021962008800050004x</w:t>
      </w:r>
    </w:p>
    <w:p>
      <w:pPr>
        <w:pStyle w:val="Bibliography"/>
        <w:jc w:val="both"/>
        <w:rPr/>
      </w:pPr>
      <w:r>
        <w:rPr>
          <w:rFonts w:cs="Calibri"/>
          <w:lang w:val="es-ES"/>
        </w:rPr>
        <w:t xml:space="preserve">Soto-Bravo, F., &amp; González-Lutz, M. I. (2019). Análisis de métodos estadísticos para evaluar el desempeño de modelos de simulación en cultivos hortícolas. </w:t>
      </w:r>
      <w:r>
        <w:rPr>
          <w:rFonts w:cs="Calibri"/>
          <w:i/>
          <w:iCs/>
          <w:lang w:val="es-ES"/>
        </w:rPr>
        <w:t>Agronomía Mesoamericana</w:t>
      </w:r>
      <w:r>
        <w:rPr>
          <w:rFonts w:cs="Calibri"/>
          <w:lang w:val="es-ES"/>
        </w:rPr>
        <w:t xml:space="preserve">, </w:t>
      </w:r>
      <w:r>
        <w:rPr>
          <w:rFonts w:cs="Calibri"/>
          <w:i/>
          <w:iCs/>
          <w:lang w:val="es-ES"/>
        </w:rPr>
        <w:t>30</w:t>
      </w:r>
      <w:r>
        <w:rPr>
          <w:rFonts w:cs="Calibri"/>
          <w:lang w:val="es-ES"/>
        </w:rPr>
        <w:t>(2). https://www.redalyc.org/articulo.oa?id=43759027015</w:t>
      </w:r>
    </w:p>
    <w:p>
      <w:pPr>
        <w:pStyle w:val="Bibliography"/>
        <w:jc w:val="both"/>
        <w:rPr/>
      </w:pPr>
      <w:r>
        <w:rPr>
          <w:rFonts w:cs="Calibri"/>
          <w:lang w:val="es-ES"/>
        </w:rPr>
        <w:t xml:space="preserve">Tofa, A. I., Chiezey, U. F., Babaji, B. A., Kamara, A. Y., Adnan, A. A., Beah, A., &amp; Adam, A. M. (2020). </w:t>
      </w:r>
      <w:r>
        <w:rPr>
          <w:rFonts w:cs="Calibri"/>
        </w:rPr>
        <w:t xml:space="preserve">Modeling Planting-Date Effects on Intermediate-Maturing Maize in Contrasting Environments in the Nigerian Savanna: An Application of DSSAT Model. </w:t>
      </w:r>
      <w:r>
        <w:rPr>
          <w:rFonts w:cs="Calibri"/>
          <w:i/>
          <w:iCs/>
          <w:lang w:val="es-ES"/>
        </w:rPr>
        <w:t>Agronomy</w:t>
      </w:r>
      <w:r>
        <w:rPr>
          <w:rFonts w:cs="Calibri"/>
          <w:lang w:val="es-ES"/>
        </w:rPr>
        <w:t xml:space="preserve">, </w:t>
      </w:r>
      <w:r>
        <w:rPr>
          <w:rFonts w:cs="Calibri"/>
          <w:i/>
          <w:iCs/>
          <w:lang w:val="es-ES"/>
        </w:rPr>
        <w:t>10</w:t>
      </w:r>
      <w:r>
        <w:rPr>
          <w:rFonts w:cs="Calibri"/>
          <w:lang w:val="es-ES"/>
        </w:rPr>
        <w:t>(6), Article 6. https://doi.org/10.3390/agronomy10060871</w:t>
      </w:r>
    </w:p>
    <w:p>
      <w:pPr>
        <w:pStyle w:val="Bibliography"/>
        <w:jc w:val="both"/>
        <w:rPr/>
      </w:pPr>
      <w:r>
        <w:rPr>
          <w:rFonts w:cs="Calibri"/>
          <w:lang w:val="es-ES"/>
        </w:rPr>
        <w:t xml:space="preserve">Vázquez-Montenegro, R. J., Durán-Zarabozo, O., &amp; Baca, M. (2015). </w:t>
      </w:r>
      <w:r>
        <w:rPr>
          <w:rFonts w:cs="Calibri"/>
          <w:i/>
          <w:iCs/>
          <w:lang w:val="es-ES"/>
        </w:rPr>
        <w:t>Modelos de impacto en la agricultura teniendo en cuenta los escenarios de la agricultura del cambio climático</w:t>
      </w:r>
      <w:r>
        <w:rPr>
          <w:rFonts w:cs="Calibri"/>
          <w:lang w:val="es-ES"/>
        </w:rPr>
        <w:t>. https://doi.org/10.5377/ribcc.v1i1.2140</w:t>
      </w:r>
    </w:p>
    <w:p>
      <w:pPr>
        <w:pStyle w:val="Bibliography"/>
        <w:jc w:val="both"/>
        <w:rPr/>
      </w:pPr>
      <w:r>
        <w:rPr>
          <w:rFonts w:cs="Calibri"/>
        </w:rPr>
        <w:t xml:space="preserve">Waldrip, H. M., Casey, K. D., Todd, R. W., &amp; Parker, D. B. (2017). Nitrous Oxide Emissions from Southern High Plains Beef Cattle Feedyards: Measurement and Modeling. </w:t>
      </w:r>
      <w:r>
        <w:rPr>
          <w:rFonts w:cs="Calibri"/>
          <w:i/>
          <w:iCs/>
        </w:rPr>
        <w:t>Transactions of the ASABE</w:t>
      </w:r>
      <w:r>
        <w:rPr>
          <w:rFonts w:cs="Calibri"/>
        </w:rPr>
        <w:t xml:space="preserve">, </w:t>
      </w:r>
      <w:r>
        <w:rPr>
          <w:rFonts w:cs="Calibri"/>
          <w:i/>
          <w:iCs/>
        </w:rPr>
        <w:t>60</w:t>
      </w:r>
      <w:r>
        <w:rPr>
          <w:rFonts w:cs="Calibri"/>
        </w:rPr>
        <w:t>(4), 1209-1221. https://doi.org/10.13031/trans.12085</w:t>
      </w:r>
    </w:p>
    <w:p>
      <w:pPr>
        <w:pStyle w:val="Normal"/>
        <w:spacing w:before="0" w:after="160"/>
        <w:jc w:val="both"/>
        <w:rPr/>
      </w:pPr>
      <w:r/>
      <w:r>
        <w:rPr>
          <w:lang w:val="es-ES"/>
        </w:rPr>
        <w:fldChar w:fldCharType="end"/>
      </w:r>
      <w:r>
        <w:rPr>
          <w:lang w:val="es-ES"/>
        </w:rPr>
      </w:r>
    </w:p>
    <w:sectPr>
      <w:type w:val="nextPage"/>
      <w:pgSz w:w="12240" w:h="15840"/>
      <w:pgMar w:left="1701" w:right="1701"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Times New Roman">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Times New Roman" w:hAnsi="Times New Roman" w:cs="Times New Roman" w:hint="default"/>
      </w:rPr>
    </w:lvl>
    <w:lvl w:ilvl="1">
      <w:start w:val="1"/>
      <w:numFmt w:val="bullet"/>
      <w:lvlText w:val="•"/>
      <w:lvlJc w:val="left"/>
      <w:pPr>
        <w:tabs>
          <w:tab w:val="num" w:pos="1440"/>
        </w:tabs>
        <w:ind w:left="1440" w:hanging="360"/>
      </w:pPr>
      <w:rPr>
        <w:rFonts w:ascii="Times New Roman" w:hAnsi="Times New Roman" w:cs="Times New Roman" w:hint="default"/>
      </w:rPr>
    </w:lvl>
    <w:lvl w:ilvl="2">
      <w:start w:val="1"/>
      <w:numFmt w:val="bullet"/>
      <w:lvlText w:val="•"/>
      <w:lvlJc w:val="left"/>
      <w:pPr>
        <w:tabs>
          <w:tab w:val="num" w:pos="2160"/>
        </w:tabs>
        <w:ind w:left="2160" w:hanging="360"/>
      </w:pPr>
      <w:rPr>
        <w:rFonts w:ascii="Times New Roman" w:hAnsi="Times New Roman" w:cs="Times New Roman" w:hint="default"/>
      </w:rPr>
    </w:lvl>
    <w:lvl w:ilvl="3">
      <w:start w:val="1"/>
      <w:numFmt w:val="bullet"/>
      <w:lvlText w:val="•"/>
      <w:lvlJc w:val="left"/>
      <w:pPr>
        <w:tabs>
          <w:tab w:val="num" w:pos="2880"/>
        </w:tabs>
        <w:ind w:left="2880" w:hanging="360"/>
      </w:pPr>
      <w:rPr>
        <w:rFonts w:ascii="Times New Roman" w:hAnsi="Times New Roman" w:cs="Times New Roman" w:hint="default"/>
      </w:rPr>
    </w:lvl>
    <w:lvl w:ilvl="4">
      <w:start w:val="1"/>
      <w:numFmt w:val="bullet"/>
      <w:lvlText w:val="•"/>
      <w:lvlJc w:val="left"/>
      <w:pPr>
        <w:tabs>
          <w:tab w:val="num" w:pos="3600"/>
        </w:tabs>
        <w:ind w:left="3600" w:hanging="360"/>
      </w:pPr>
      <w:rPr>
        <w:rFonts w:ascii="Times New Roman" w:hAnsi="Times New Roman" w:cs="Times New Roman" w:hint="default"/>
      </w:rPr>
    </w:lvl>
    <w:lvl w:ilvl="5">
      <w:start w:val="1"/>
      <w:numFmt w:val="bullet"/>
      <w:lvlText w:val="•"/>
      <w:lvlJc w:val="left"/>
      <w:pPr>
        <w:tabs>
          <w:tab w:val="num" w:pos="4320"/>
        </w:tabs>
        <w:ind w:left="4320" w:hanging="360"/>
      </w:pPr>
      <w:rPr>
        <w:rFonts w:ascii="Times New Roman" w:hAnsi="Times New Roman" w:cs="Times New Roman" w:hint="default"/>
      </w:rPr>
    </w:lvl>
    <w:lvl w:ilvl="6">
      <w:start w:val="1"/>
      <w:numFmt w:val="bullet"/>
      <w:lvlText w:val="•"/>
      <w:lvlJc w:val="left"/>
      <w:pPr>
        <w:tabs>
          <w:tab w:val="num" w:pos="5040"/>
        </w:tabs>
        <w:ind w:left="5040" w:hanging="360"/>
      </w:pPr>
      <w:rPr>
        <w:rFonts w:ascii="Times New Roman" w:hAnsi="Times New Roman" w:cs="Times New Roman" w:hint="default"/>
      </w:rPr>
    </w:lvl>
    <w:lvl w:ilvl="7">
      <w:start w:val="1"/>
      <w:numFmt w:val="bullet"/>
      <w:lvlText w:val="•"/>
      <w:lvlJc w:val="left"/>
      <w:pPr>
        <w:tabs>
          <w:tab w:val="num" w:pos="5760"/>
        </w:tabs>
        <w:ind w:left="5760" w:hanging="360"/>
      </w:pPr>
      <w:rPr>
        <w:rFonts w:ascii="Times New Roman" w:hAnsi="Times New Roman" w:cs="Times New Roman" w:hint="default"/>
      </w:rPr>
    </w:lvl>
    <w:lvl w:ilvl="8">
      <w:start w:val="1"/>
      <w:numFmt w:val="bullet"/>
      <w:lvlText w:val="•"/>
      <w:lvlJc w:val="left"/>
      <w:pPr>
        <w:tabs>
          <w:tab w:val="num" w:pos="6480"/>
        </w:tabs>
        <w:ind w:left="6480" w:hanging="360"/>
      </w:pPr>
      <w:rPr>
        <w:rFonts w:ascii="Times New Roman" w:hAnsi="Times New Roman" w:cs="Times New Roman" w:hint="default"/>
      </w:rPr>
    </w:lvl>
  </w:abstractNum>
  <w:abstractNum w:abstractNumId="2">
    <w:lvl w:ilvl="0">
      <w:start w:val="1"/>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5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1">
    <w:name w:val="heading 1"/>
    <w:basedOn w:val="Normal"/>
    <w:link w:val="Ttulo1Car"/>
    <w:uiPriority w:val="9"/>
    <w:qFormat/>
    <w:rsid w:val="00360992"/>
    <w:pPr>
      <w:spacing w:lineRule="auto" w:line="240" w:beforeAutospacing="1" w:afterAutospacing="1"/>
      <w:outlineLvl w:val="0"/>
    </w:pPr>
    <w:rPr>
      <w:rFonts w:ascii="Arial" w:hAnsi="Arial" w:eastAsia="Times New Roman" w:cs="Times New Roman"/>
      <w:b/>
      <w:bCs/>
      <w:kern w:val="2"/>
      <w:sz w:val="32"/>
      <w:szCs w:val="48"/>
      <w:lang w:val="es-ES" w:eastAsia="es-ES"/>
    </w:rPr>
  </w:style>
  <w:style w:type="paragraph" w:styleId="Heading2">
    <w:name w:val="heading 2"/>
    <w:basedOn w:val="Normal"/>
    <w:link w:val="Ttulo2Car"/>
    <w:uiPriority w:val="9"/>
    <w:qFormat/>
    <w:rsid w:val="00360992"/>
    <w:pPr>
      <w:spacing w:lineRule="auto" w:line="240" w:beforeAutospacing="1" w:afterAutospacing="1"/>
      <w:outlineLvl w:val="1"/>
    </w:pPr>
    <w:rPr>
      <w:rFonts w:ascii="Arial" w:hAnsi="Arial" w:eastAsia="Times New Roman" w:cs="Times New Roman"/>
      <w:b/>
      <w:bCs/>
      <w:sz w:val="28"/>
      <w:szCs w:val="36"/>
      <w:lang w:val="es-ES" w:eastAsia="es-ES"/>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7822cc"/>
    <w:rPr>
      <w:color w:themeColor="hyperlink" w:val="0563C1"/>
      <w:u w:val="single"/>
    </w:rPr>
  </w:style>
  <w:style w:type="character" w:styleId="Emphasis">
    <w:name w:val="Emphasis"/>
    <w:basedOn w:val="DefaultParagraphFont"/>
    <w:uiPriority w:val="20"/>
    <w:qFormat/>
    <w:rsid w:val="004b42a6"/>
    <w:rPr>
      <w:i/>
      <w:iCs/>
    </w:rPr>
  </w:style>
  <w:style w:type="character" w:styleId="Ttulo1Car" w:customStyle="1">
    <w:name w:val="Título 1 Car"/>
    <w:basedOn w:val="DefaultParagraphFont"/>
    <w:uiPriority w:val="9"/>
    <w:qFormat/>
    <w:rsid w:val="00360992"/>
    <w:rPr>
      <w:rFonts w:ascii="Arial" w:hAnsi="Arial" w:eastAsia="Times New Roman" w:cs="Times New Roman"/>
      <w:b/>
      <w:bCs/>
      <w:kern w:val="2"/>
      <w:sz w:val="32"/>
      <w:szCs w:val="48"/>
      <w:lang w:val="es-ES" w:eastAsia="es-ES"/>
    </w:rPr>
  </w:style>
  <w:style w:type="character" w:styleId="Ttulo2Car" w:customStyle="1">
    <w:name w:val="Título 2 Car"/>
    <w:basedOn w:val="DefaultParagraphFont"/>
    <w:uiPriority w:val="9"/>
    <w:qFormat/>
    <w:rsid w:val="00360992"/>
    <w:rPr>
      <w:rFonts w:ascii="Arial" w:hAnsi="Arial" w:eastAsia="Times New Roman" w:cs="Times New Roman"/>
      <w:b/>
      <w:bCs/>
      <w:sz w:val="28"/>
      <w:szCs w:val="36"/>
      <w:lang w:val="es-ES" w:eastAsia="es-ES"/>
    </w:rPr>
  </w:style>
  <w:style w:type="character" w:styleId="anchor-text" w:customStyle="1">
    <w:name w:val="anchor-text"/>
    <w:basedOn w:val="DefaultParagraphFont"/>
    <w:qFormat/>
    <w:rsid w:val="004b42a6"/>
    <w:rPr/>
  </w:style>
  <w:style w:type="character" w:styleId="title-text" w:customStyle="1">
    <w:name w:val="title-text"/>
    <w:basedOn w:val="DefaultParagraphFont"/>
    <w:qFormat/>
    <w:rsid w:val="004b42a6"/>
    <w:rPr/>
  </w:style>
  <w:style w:type="character" w:styleId="sr-only" w:customStyle="1">
    <w:name w:val="sr-only"/>
    <w:basedOn w:val="DefaultParagraphFont"/>
    <w:qFormat/>
    <w:rsid w:val="004b42a6"/>
    <w:rPr/>
  </w:style>
  <w:style w:type="character" w:styleId="given-name" w:customStyle="1">
    <w:name w:val="given-name"/>
    <w:basedOn w:val="DefaultParagraphFont"/>
    <w:qFormat/>
    <w:rsid w:val="004b42a6"/>
    <w:rPr/>
  </w:style>
  <w:style w:type="character" w:styleId="text" w:customStyle="1">
    <w:name w:val="text"/>
    <w:basedOn w:val="DefaultParagraphFont"/>
    <w:qFormat/>
    <w:rsid w:val="004b42a6"/>
    <w:rPr/>
  </w:style>
  <w:style w:type="character" w:styleId="author-ref" w:customStyle="1">
    <w:name w:val="author-ref"/>
    <w:basedOn w:val="DefaultParagraphFont"/>
    <w:qFormat/>
    <w:rsid w:val="004b42a6"/>
    <w:rPr/>
  </w:style>
  <w:style w:type="character" w:styleId="button-link-text" w:customStyle="1">
    <w:name w:val="button-link-text"/>
    <w:basedOn w:val="DefaultParagraphFont"/>
    <w:qFormat/>
    <w:rsid w:val="004b42a6"/>
    <w:rPr/>
  </w:style>
  <w:style w:type="character" w:styleId="FollowedHyperlink">
    <w:name w:val="FollowedHyperlink"/>
    <w:basedOn w:val="DefaultParagraphFont"/>
    <w:uiPriority w:val="99"/>
    <w:semiHidden/>
    <w:unhideWhenUsed/>
    <w:rsid w:val="00085983"/>
    <w:rPr>
      <w:color w:themeColor="followedHyperlink" w:val="954F72"/>
      <w:u w:val="single"/>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tulouser">
    <w:name w:val="Título (user)"/>
    <w:basedOn w:val="Normal"/>
    <w:next w:val="BodyText"/>
    <w:qFormat/>
    <w:pPr>
      <w:keepNext w:val="true"/>
      <w:spacing w:before="240" w:after="120"/>
    </w:pPr>
    <w:rPr>
      <w:rFonts w:ascii="Liberation Sans" w:hAnsi="Liberation Sans" w:eastAsia="Microsoft YaHei" w:cs="Arial"/>
      <w:sz w:val="28"/>
      <w:szCs w:val="28"/>
    </w:rPr>
  </w:style>
  <w:style w:type="paragraph" w:styleId="ndiceuser">
    <w:name w:val="Índice (user)"/>
    <w:basedOn w:val="Normal"/>
    <w:qFormat/>
    <w:pPr>
      <w:suppressLineNumbers/>
    </w:pPr>
    <w:rPr>
      <w:rFonts w:cs="Arial"/>
    </w:rPr>
  </w:style>
  <w:style w:type="paragraph" w:styleId="ListParagraph">
    <w:name w:val="List Paragraph"/>
    <w:basedOn w:val="Normal"/>
    <w:uiPriority w:val="34"/>
    <w:qFormat/>
    <w:rsid w:val="00253ef1"/>
    <w:pPr>
      <w:spacing w:before="0" w:after="160"/>
      <w:ind w:left="720"/>
      <w:contextualSpacing/>
    </w:pPr>
    <w:rPr/>
  </w:style>
  <w:style w:type="paragraph" w:styleId="NormalWeb">
    <w:name w:val="Normal (Web)"/>
    <w:basedOn w:val="Normal"/>
    <w:uiPriority w:val="99"/>
    <w:semiHidden/>
    <w:unhideWhenUsed/>
    <w:qFormat/>
    <w:rsid w:val="004b42a6"/>
    <w:pPr>
      <w:spacing w:lineRule="auto" w:line="240" w:beforeAutospacing="1" w:afterAutospacing="1"/>
    </w:pPr>
    <w:rPr>
      <w:rFonts w:ascii="Times New Roman" w:hAnsi="Times New Roman" w:eastAsia="Times New Roman" w:cs="Times New Roman"/>
      <w:sz w:val="24"/>
      <w:szCs w:val="24"/>
      <w:lang w:val="es-ES" w:eastAsia="es-ES"/>
    </w:rPr>
  </w:style>
  <w:style w:type="paragraph" w:styleId="Bibliography">
    <w:name w:val="Bibliography"/>
    <w:basedOn w:val="Normal"/>
    <w:next w:val="Normal"/>
    <w:uiPriority w:val="37"/>
    <w:unhideWhenUsed/>
    <w:qFormat/>
    <w:rsid w:val="00360992"/>
    <w:pPr>
      <w:spacing w:lineRule="auto" w:line="480" w:before="0" w:after="0"/>
      <w:ind w:hanging="720" w:left="720"/>
    </w:pPr>
    <w:rPr/>
  </w:style>
  <w:style w:type="numbering" w:styleId="Ningunalistauser" w:default="1">
    <w:name w:val="Ninguna lista (user)"/>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ema de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20</TotalTime>
  <Application>LibreOffice/25.2.0.3$Windows_X86_64 LibreOffice_project/e1cf4a87eb02d755bce1a01209907ea5ddc8f069</Application>
  <AppVersion>15.0000</AppVersion>
  <Pages>10</Pages>
  <Words>2930</Words>
  <Characters>17373</Characters>
  <CharactersWithSpaces>20232</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2025-09-19T22:49:00Z</dcterms:created>
  <dc:creator>Admin</dc:creator>
  <dc:description/>
  <dc:language>es-ES</dc:language>
  <cp:lastModifiedBy/>
  <cp:lastPrinted>2025-09-17T00:22:00Z</cp:lastPrinted>
  <dcterms:modified xsi:type="dcterms:W3CDTF">2025-09-22T08:34:02Z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zotero-version="7.0.24"&gt;&lt;session id="pdNbDfP3"/&gt;&lt;style id="http://www.zotero.org/styles/apa" locale="es-ES"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