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780"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6"/>
        <w:gridCol w:w="1134"/>
      </w:tblGrid>
      <w:tr w:rsidR="008403BD" w:rsidRPr="00D40A85" w14:paraId="02039100" w14:textId="77777777">
        <w:trPr>
          <w:trHeight w:val="1837"/>
        </w:trPr>
        <w:tc>
          <w:tcPr>
            <w:tcW w:w="1560" w:type="dxa"/>
            <w:hideMark/>
          </w:tcPr>
          <w:p w14:paraId="550F7E41" w14:textId="77777777" w:rsidR="008403BD" w:rsidRDefault="007D49D9">
            <w:pPr>
              <w:autoSpaceDE w:val="0"/>
              <w:autoSpaceDN w:val="0"/>
              <w:adjustRightInd w:val="0"/>
              <w:spacing w:after="120" w:line="276" w:lineRule="auto"/>
              <w:rPr>
                <w:rFonts w:ascii="Arial" w:eastAsia="Times New Roman" w:hAnsi="Arial" w:cs="Arial"/>
                <w:b/>
                <w:bCs/>
                <w:sz w:val="32"/>
                <w:szCs w:val="24"/>
                <w:lang w:val="es-ES_tradnl" w:eastAsia="es-ES_tradnl"/>
              </w:rPr>
            </w:pPr>
            <w:bookmarkStart w:id="0" w:name="_Toc190287908"/>
            <w:r>
              <w:rPr>
                <w:noProof/>
              </w:rPr>
              <w:drawing>
                <wp:anchor distT="0" distB="0" distL="114300" distR="114300" simplePos="0" relativeHeight="2" behindDoc="1" locked="0" layoutInCell="1" allowOverlap="1" wp14:anchorId="66747E08" wp14:editId="1E13E7F4">
                  <wp:simplePos x="0" y="0"/>
                  <wp:positionH relativeFrom="margin">
                    <wp:posOffset>36195</wp:posOffset>
                  </wp:positionH>
                  <wp:positionV relativeFrom="paragraph">
                    <wp:posOffset>99060</wp:posOffset>
                  </wp:positionV>
                  <wp:extent cx="853439" cy="1263650"/>
                  <wp:effectExtent l="0" t="0" r="0" b="0"/>
                  <wp:wrapTight wrapText="bothSides">
                    <wp:wrapPolygon edited="0">
                      <wp:start x="6268" y="977"/>
                      <wp:lineTo x="5304" y="2605"/>
                      <wp:lineTo x="5304" y="8792"/>
                      <wp:lineTo x="7232" y="12048"/>
                      <wp:lineTo x="2411" y="15630"/>
                      <wp:lineTo x="1929" y="18235"/>
                      <wp:lineTo x="3375" y="20189"/>
                      <wp:lineTo x="18804" y="20189"/>
                      <wp:lineTo x="18804" y="15956"/>
                      <wp:lineTo x="16393" y="6513"/>
                      <wp:lineTo x="14946" y="4884"/>
                      <wp:lineTo x="9643" y="977"/>
                      <wp:lineTo x="6268" y="977"/>
                    </wp:wrapPolygon>
                  </wp:wrapTight>
                  <wp:docPr id="102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9" cstate="print"/>
                          <a:srcRect/>
                          <a:stretch/>
                        </pic:blipFill>
                        <pic:spPr>
                          <a:xfrm>
                            <a:off x="0" y="0"/>
                            <a:ext cx="853439"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4E6B6552" w14:textId="77777777" w:rsidR="008403BD" w:rsidRDefault="008403BD">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091ACF3D" w14:textId="77777777" w:rsidR="008403BD" w:rsidRDefault="007D49D9">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UNIVERSIDAD AGRARIA DE LA HABANA</w:t>
            </w:r>
          </w:p>
          <w:p w14:paraId="648CFF78" w14:textId="77777777" w:rsidR="008403BD" w:rsidRDefault="007D49D9">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“Fructuoso Rodríguez Pérez”</w:t>
            </w:r>
          </w:p>
          <w:p w14:paraId="10319429" w14:textId="77777777" w:rsidR="008403BD" w:rsidRDefault="008403BD">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590D9C25" w14:textId="77777777" w:rsidR="008403BD" w:rsidRDefault="008403BD">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7A2C1A91" w14:textId="77777777" w:rsidR="008403BD" w:rsidRDefault="007D49D9">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hideMark/>
          </w:tcPr>
          <w:p w14:paraId="090438CC" w14:textId="77777777" w:rsidR="008403BD" w:rsidRDefault="007D49D9">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Pr>
                <w:noProof/>
              </w:rPr>
              <w:drawing>
                <wp:anchor distT="0" distB="0" distL="114300" distR="114300" simplePos="0" relativeHeight="3" behindDoc="1" locked="0" layoutInCell="1" allowOverlap="1" wp14:anchorId="7CB63675" wp14:editId="755416E5">
                  <wp:simplePos x="0" y="0"/>
                  <wp:positionH relativeFrom="margin">
                    <wp:posOffset>-68580</wp:posOffset>
                  </wp:positionH>
                  <wp:positionV relativeFrom="paragraph">
                    <wp:posOffset>144780</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1027"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p>
        </w:tc>
      </w:tr>
    </w:tbl>
    <w:p w14:paraId="5DDE6AE4" w14:textId="77777777" w:rsidR="008403BD" w:rsidRDefault="008403BD">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38B78805" w14:textId="77777777" w:rsidR="008403BD" w:rsidRDefault="008403BD">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73E9F477" w14:textId="77777777" w:rsidR="008403BD" w:rsidRDefault="008403BD">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71547276" w14:textId="77777777" w:rsidR="008403BD" w:rsidRDefault="008403BD">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4FB8152C" w14:textId="77777777" w:rsidR="008403BD" w:rsidRDefault="007D49D9">
      <w:pPr>
        <w:autoSpaceDE w:val="0"/>
        <w:autoSpaceDN w:val="0"/>
        <w:adjustRightInd w:val="0"/>
        <w:spacing w:after="120" w:line="276" w:lineRule="auto"/>
        <w:jc w:val="both"/>
        <w:rPr>
          <w:rFonts w:ascii="Arial" w:eastAsia="Times New Roman" w:hAnsi="Arial" w:cs="Arial"/>
          <w:b/>
          <w:bCs/>
          <w:color w:val="000000"/>
          <w:sz w:val="40"/>
          <w:szCs w:val="40"/>
          <w:lang w:val="es-ES" w:eastAsia="es-ES_tradnl"/>
        </w:rPr>
      </w:pPr>
      <w:r>
        <w:rPr>
          <w:rFonts w:ascii="Arial" w:eastAsia="Times New Roman" w:hAnsi="Arial" w:cs="Arial"/>
          <w:b/>
          <w:bCs/>
          <w:color w:val="000000"/>
          <w:sz w:val="40"/>
          <w:szCs w:val="40"/>
          <w:lang w:val="es-ES" w:eastAsia="es-ES_tradnl"/>
        </w:rPr>
        <w:t xml:space="preserve">Calibración y validación del modelo DSSAT </w:t>
      </w:r>
    </w:p>
    <w:p w14:paraId="64112002" w14:textId="77777777" w:rsidR="008403BD" w:rsidRDefault="007D49D9">
      <w:pPr>
        <w:autoSpaceDE w:val="0"/>
        <w:autoSpaceDN w:val="0"/>
        <w:adjustRightInd w:val="0"/>
        <w:spacing w:after="120" w:line="276" w:lineRule="auto"/>
        <w:jc w:val="both"/>
        <w:rPr>
          <w:rFonts w:ascii="Arial" w:eastAsia="Times New Roman" w:hAnsi="Arial" w:cs="Arial"/>
          <w:b/>
          <w:bCs/>
          <w:color w:val="000000"/>
          <w:sz w:val="40"/>
          <w:szCs w:val="40"/>
          <w:lang w:val="es-ES" w:eastAsia="es-ES_tradnl"/>
        </w:rPr>
      </w:pPr>
      <w:r>
        <w:rPr>
          <w:rFonts w:ascii="Arial" w:eastAsia="Times New Roman" w:hAnsi="Arial" w:cs="Arial"/>
          <w:b/>
          <w:bCs/>
          <w:color w:val="000000"/>
          <w:sz w:val="40"/>
          <w:szCs w:val="40"/>
          <w:lang w:val="es-ES" w:eastAsia="es-ES_tradnl"/>
        </w:rPr>
        <w:t>para el cultivar de tomate Elbita.</w:t>
      </w:r>
    </w:p>
    <w:p w14:paraId="0005E391" w14:textId="77777777" w:rsidR="008403BD" w:rsidRDefault="008403BD">
      <w:pPr>
        <w:autoSpaceDE w:val="0"/>
        <w:autoSpaceDN w:val="0"/>
        <w:adjustRightInd w:val="0"/>
        <w:spacing w:after="120" w:line="276" w:lineRule="auto"/>
        <w:jc w:val="both"/>
        <w:rPr>
          <w:rFonts w:ascii="Arial" w:eastAsia="Times New Roman" w:hAnsi="Arial" w:cs="Arial"/>
          <w:b/>
          <w:bCs/>
          <w:sz w:val="28"/>
          <w:szCs w:val="28"/>
          <w:lang w:val="es-ES" w:eastAsia="es-ES_tradnl"/>
        </w:rPr>
      </w:pPr>
    </w:p>
    <w:p w14:paraId="7CF7E84C" w14:textId="77777777" w:rsidR="00464E44" w:rsidRDefault="00464E44" w:rsidP="00464E44">
      <w:pPr>
        <w:spacing w:after="120" w:line="276" w:lineRule="auto"/>
        <w:jc w:val="both"/>
        <w:rPr>
          <w:rFonts w:ascii="Arial" w:eastAsia="Times New Roman" w:hAnsi="Arial" w:cs="Arial"/>
          <w:b/>
          <w:bCs/>
          <w:sz w:val="28"/>
          <w:szCs w:val="28"/>
          <w:lang w:val="es-ES_tradnl" w:eastAsia="es-ES_tradnl"/>
        </w:rPr>
      </w:pPr>
    </w:p>
    <w:p w14:paraId="4D979569" w14:textId="77777777" w:rsidR="00464E44" w:rsidRDefault="00464E44" w:rsidP="00464E44">
      <w:pPr>
        <w:spacing w:after="120" w:line="276" w:lineRule="auto"/>
        <w:jc w:val="both"/>
        <w:rPr>
          <w:rFonts w:ascii="Arial" w:eastAsia="Times New Roman" w:hAnsi="Arial" w:cs="Arial"/>
          <w:b/>
          <w:bCs/>
          <w:sz w:val="28"/>
          <w:szCs w:val="28"/>
          <w:lang w:val="es-ES_tradnl" w:eastAsia="es-ES_tradnl"/>
        </w:rPr>
      </w:pPr>
    </w:p>
    <w:p w14:paraId="4B4BB0D7" w14:textId="77777777" w:rsidR="00464E44" w:rsidRDefault="00464E44" w:rsidP="00464E44">
      <w:pPr>
        <w:spacing w:after="120" w:line="276" w:lineRule="auto"/>
        <w:jc w:val="both"/>
        <w:rPr>
          <w:rFonts w:ascii="Arial" w:eastAsia="Times New Roman" w:hAnsi="Arial" w:cs="Arial"/>
          <w:b/>
          <w:bCs/>
          <w:sz w:val="28"/>
          <w:szCs w:val="28"/>
          <w:lang w:val="es-ES_tradnl" w:eastAsia="es-ES_tradnl"/>
        </w:rPr>
      </w:pPr>
    </w:p>
    <w:p w14:paraId="31CBFDD3" w14:textId="77777777" w:rsidR="00464E44" w:rsidRDefault="00464E44" w:rsidP="00FB4617">
      <w:pPr>
        <w:spacing w:after="120" w:line="276" w:lineRule="auto"/>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14:paraId="79D559B2" w14:textId="77777777" w:rsidR="008403BD" w:rsidRDefault="007D49D9">
      <w:pPr>
        <w:tabs>
          <w:tab w:val="left" w:pos="2610"/>
        </w:tabs>
        <w:autoSpaceDE w:val="0"/>
        <w:autoSpaceDN w:val="0"/>
        <w:adjustRightInd w:val="0"/>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ab/>
      </w:r>
    </w:p>
    <w:p w14:paraId="08DEFDE6"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6DBF1A52"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761BDB7"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BB7EE1F" w14:textId="77777777" w:rsidR="008403BD" w:rsidRDefault="007D49D9">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Autor: Lic. Yuniel Loriga Martínez</w:t>
      </w:r>
    </w:p>
    <w:p w14:paraId="3A36F088" w14:textId="77777777" w:rsidR="008403BD" w:rsidRDefault="008403BD">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68B66001" w14:textId="77777777" w:rsidR="008403BD" w:rsidRDefault="008403BD">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378DF4F5" w14:textId="77777777" w:rsidR="008403BD" w:rsidRDefault="008403BD">
      <w:pPr>
        <w:rPr>
          <w:rFonts w:ascii="Arial" w:eastAsia="Times New Roman" w:hAnsi="Arial" w:cs="Arial"/>
          <w:b/>
          <w:bCs/>
          <w:sz w:val="28"/>
          <w:szCs w:val="28"/>
          <w:lang w:val="es-ES_tradnl" w:eastAsia="es-ES_tradnl"/>
        </w:rPr>
      </w:pPr>
    </w:p>
    <w:p w14:paraId="5BFB38BD" w14:textId="77777777" w:rsidR="008403BD" w:rsidRDefault="007D49D9">
      <w:pPr>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Mayabeque, 2025</w:t>
      </w:r>
    </w:p>
    <w:p w14:paraId="4FBC8D6A" w14:textId="77777777" w:rsidR="008403BD" w:rsidRDefault="008403BD">
      <w:pPr>
        <w:rPr>
          <w:lang w:val="es-US"/>
        </w:rPr>
      </w:pPr>
    </w:p>
    <w:tbl>
      <w:tblPr>
        <w:tblStyle w:val="Tablaconcuadrcula"/>
        <w:tblW w:w="9780"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6"/>
        <w:gridCol w:w="1134"/>
      </w:tblGrid>
      <w:tr w:rsidR="008403BD" w:rsidRPr="00716AA5" w14:paraId="4BCF63F4" w14:textId="77777777">
        <w:trPr>
          <w:trHeight w:val="1837"/>
        </w:trPr>
        <w:tc>
          <w:tcPr>
            <w:tcW w:w="1560" w:type="dxa"/>
            <w:hideMark/>
          </w:tcPr>
          <w:p w14:paraId="0F8A04C9" w14:textId="77777777" w:rsidR="008403BD" w:rsidRDefault="007D49D9">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ascii="Arial" w:eastAsia="Times New Roman" w:hAnsi="Arial" w:cs="Arial"/>
                <w:b/>
                <w:bCs/>
                <w:sz w:val="28"/>
                <w:szCs w:val="28"/>
                <w:lang w:val="es-ES_tradnl" w:eastAsia="es-ES_tradnl"/>
              </w:rPr>
              <w:br w:type="page"/>
            </w:r>
            <w:r>
              <w:rPr>
                <w:noProof/>
              </w:rPr>
              <w:drawing>
                <wp:anchor distT="0" distB="0" distL="114300" distR="114300" simplePos="0" relativeHeight="4" behindDoc="1" locked="0" layoutInCell="1" allowOverlap="1" wp14:anchorId="35FF3AB7" wp14:editId="1B7C4B22">
                  <wp:simplePos x="0" y="0"/>
                  <wp:positionH relativeFrom="margin">
                    <wp:posOffset>36195</wp:posOffset>
                  </wp:positionH>
                  <wp:positionV relativeFrom="paragraph">
                    <wp:posOffset>99060</wp:posOffset>
                  </wp:positionV>
                  <wp:extent cx="853439" cy="1263650"/>
                  <wp:effectExtent l="0" t="0" r="0" b="0"/>
                  <wp:wrapTight wrapText="bothSides">
                    <wp:wrapPolygon edited="0">
                      <wp:start x="6268" y="977"/>
                      <wp:lineTo x="5304" y="2605"/>
                      <wp:lineTo x="5304" y="8792"/>
                      <wp:lineTo x="7232" y="12048"/>
                      <wp:lineTo x="2411" y="15630"/>
                      <wp:lineTo x="1929" y="18235"/>
                      <wp:lineTo x="3375" y="20189"/>
                      <wp:lineTo x="18804" y="20189"/>
                      <wp:lineTo x="18804" y="15956"/>
                      <wp:lineTo x="16393" y="6513"/>
                      <wp:lineTo x="14946" y="4884"/>
                      <wp:lineTo x="9643" y="977"/>
                      <wp:lineTo x="6268" y="977"/>
                    </wp:wrapPolygon>
                  </wp:wrapTight>
                  <wp:docPr id="1028" name="Imagen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9" cstate="print"/>
                          <a:srcRect/>
                          <a:stretch/>
                        </pic:blipFill>
                        <pic:spPr>
                          <a:xfrm>
                            <a:off x="0" y="0"/>
                            <a:ext cx="853439"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3CE64E5D" w14:textId="77777777" w:rsidR="008403BD" w:rsidRDefault="008403BD">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6A591A3A" w14:textId="77777777" w:rsidR="008403BD" w:rsidRDefault="007D49D9">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UNIVERSIDAD AGRARIA DE LA HABANA</w:t>
            </w:r>
          </w:p>
          <w:p w14:paraId="7750181B" w14:textId="77777777" w:rsidR="008403BD" w:rsidRDefault="007D49D9">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“Fructuoso Rodríguez Pérez”</w:t>
            </w:r>
          </w:p>
          <w:p w14:paraId="56B9B95F" w14:textId="77777777" w:rsidR="008403BD" w:rsidRDefault="008403BD">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2E094B34" w14:textId="77777777" w:rsidR="008403BD" w:rsidRDefault="008403BD">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3596CDA0" w14:textId="77777777" w:rsidR="008403BD" w:rsidRDefault="007D49D9">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hideMark/>
          </w:tcPr>
          <w:p w14:paraId="755B54C1" w14:textId="77777777" w:rsidR="008403BD" w:rsidRDefault="007D49D9">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Pr>
                <w:noProof/>
              </w:rPr>
              <w:drawing>
                <wp:anchor distT="0" distB="0" distL="114300" distR="114300" simplePos="0" relativeHeight="5" behindDoc="1" locked="0" layoutInCell="1" allowOverlap="1" wp14:anchorId="0A5B2A3A" wp14:editId="666FA27F">
                  <wp:simplePos x="0" y="0"/>
                  <wp:positionH relativeFrom="margin">
                    <wp:posOffset>-68580</wp:posOffset>
                  </wp:positionH>
                  <wp:positionV relativeFrom="paragraph">
                    <wp:posOffset>144780</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1029"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3"/>
                          <pic:cNvPicPr/>
                        </pic:nvPicPr>
                        <pic:blipFill>
                          <a:blip r:embed="rId10"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p>
        </w:tc>
      </w:tr>
    </w:tbl>
    <w:p w14:paraId="6E3A5A95" w14:textId="77777777" w:rsidR="008403BD" w:rsidRDefault="008403BD">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4FB20941" w14:textId="77777777" w:rsidR="008403BD" w:rsidRDefault="008403BD">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7C19D7A7" w14:textId="77777777" w:rsidR="008403BD" w:rsidRDefault="008403BD">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06732818" w14:textId="77777777" w:rsidR="008403BD" w:rsidRDefault="008403BD">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14:paraId="0AD5CF1A" w14:textId="77777777" w:rsidR="008403BD" w:rsidRDefault="007D49D9">
      <w:pPr>
        <w:autoSpaceDE w:val="0"/>
        <w:autoSpaceDN w:val="0"/>
        <w:adjustRightInd w:val="0"/>
        <w:spacing w:after="120" w:line="276" w:lineRule="auto"/>
        <w:jc w:val="both"/>
        <w:rPr>
          <w:rFonts w:ascii="Arial" w:eastAsia="Times New Roman" w:hAnsi="Arial" w:cs="Arial"/>
          <w:b/>
          <w:bCs/>
          <w:color w:val="000000"/>
          <w:sz w:val="40"/>
          <w:szCs w:val="40"/>
          <w:lang w:val="es-ES" w:eastAsia="es-ES_tradnl"/>
        </w:rPr>
      </w:pPr>
      <w:r>
        <w:rPr>
          <w:rFonts w:ascii="Arial" w:eastAsia="Times New Roman" w:hAnsi="Arial" w:cs="Arial"/>
          <w:b/>
          <w:bCs/>
          <w:color w:val="000000"/>
          <w:sz w:val="40"/>
          <w:szCs w:val="40"/>
          <w:lang w:val="es-ES" w:eastAsia="es-ES_tradnl"/>
        </w:rPr>
        <w:t xml:space="preserve">Calibración y validación del modelo DSSAT </w:t>
      </w:r>
    </w:p>
    <w:p w14:paraId="4776DCA1" w14:textId="77777777" w:rsidR="008403BD" w:rsidRDefault="007D49D9">
      <w:pPr>
        <w:autoSpaceDE w:val="0"/>
        <w:autoSpaceDN w:val="0"/>
        <w:adjustRightInd w:val="0"/>
        <w:spacing w:after="120" w:line="276" w:lineRule="auto"/>
        <w:jc w:val="both"/>
        <w:rPr>
          <w:rFonts w:ascii="Arial" w:eastAsia="Times New Roman" w:hAnsi="Arial" w:cs="Arial"/>
          <w:b/>
          <w:bCs/>
          <w:color w:val="000000"/>
          <w:sz w:val="40"/>
          <w:szCs w:val="40"/>
          <w:lang w:val="es-ES" w:eastAsia="es-ES_tradnl"/>
        </w:rPr>
      </w:pPr>
      <w:r>
        <w:rPr>
          <w:rFonts w:ascii="Arial" w:eastAsia="Times New Roman" w:hAnsi="Arial" w:cs="Arial"/>
          <w:b/>
          <w:bCs/>
          <w:color w:val="000000"/>
          <w:sz w:val="40"/>
          <w:szCs w:val="40"/>
          <w:lang w:val="es-ES" w:eastAsia="es-ES_tradnl"/>
        </w:rPr>
        <w:t>para el cultivar de tomate Elbita.</w:t>
      </w:r>
    </w:p>
    <w:p w14:paraId="35FAF191" w14:textId="77777777" w:rsidR="008403BD" w:rsidRDefault="008403BD">
      <w:pPr>
        <w:autoSpaceDE w:val="0"/>
        <w:autoSpaceDN w:val="0"/>
        <w:adjustRightInd w:val="0"/>
        <w:spacing w:after="120" w:line="276" w:lineRule="auto"/>
        <w:jc w:val="both"/>
        <w:rPr>
          <w:rFonts w:ascii="Arial" w:eastAsia="Times New Roman" w:hAnsi="Arial" w:cs="Arial"/>
          <w:b/>
          <w:bCs/>
          <w:sz w:val="28"/>
          <w:szCs w:val="28"/>
          <w:lang w:val="es-ES" w:eastAsia="es-ES_tradnl"/>
        </w:rPr>
      </w:pPr>
    </w:p>
    <w:p w14:paraId="771222C9" w14:textId="77777777" w:rsidR="008403BD" w:rsidRDefault="008403BD">
      <w:pPr>
        <w:autoSpaceDE w:val="0"/>
        <w:autoSpaceDN w:val="0"/>
        <w:adjustRightInd w:val="0"/>
        <w:spacing w:after="120" w:line="276" w:lineRule="auto"/>
        <w:jc w:val="both"/>
        <w:rPr>
          <w:rFonts w:ascii="Arial" w:eastAsia="Times New Roman" w:hAnsi="Arial" w:cs="Arial"/>
          <w:b/>
          <w:bCs/>
          <w:sz w:val="28"/>
          <w:szCs w:val="28"/>
          <w:lang w:val="es-ES" w:eastAsia="es-ES_tradnl"/>
        </w:rPr>
      </w:pPr>
    </w:p>
    <w:p w14:paraId="0DCD746E"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1DF859BC" w14:textId="77777777" w:rsidR="00464E44" w:rsidRDefault="00464E44" w:rsidP="00464E44">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14:paraId="5B97367F"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3127EA0"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0790ADD3"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4692821" w14:textId="77777777" w:rsidR="008403BD" w:rsidRDefault="007D49D9">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Autor: Lic. Yuniel Loriga Martínez</w:t>
      </w:r>
    </w:p>
    <w:p w14:paraId="613567D5" w14:textId="77777777" w:rsidR="008403BD" w:rsidRPr="00515F02" w:rsidRDefault="007D49D9">
      <w:pPr>
        <w:spacing w:line="276" w:lineRule="auto"/>
        <w:contextualSpacing/>
        <w:jc w:val="both"/>
        <w:rPr>
          <w:rFonts w:ascii="Arial" w:eastAsia="Calibri" w:hAnsi="Arial" w:cs="Arial"/>
          <w:b/>
          <w:sz w:val="28"/>
          <w:szCs w:val="28"/>
          <w:lang w:val="es-US"/>
        </w:rPr>
      </w:pPr>
      <w:r>
        <w:rPr>
          <w:rFonts w:ascii="Arial" w:eastAsia="Times New Roman" w:hAnsi="Arial" w:cs="Arial"/>
          <w:b/>
          <w:bCs/>
          <w:sz w:val="28"/>
          <w:szCs w:val="28"/>
          <w:lang w:val="es-ES_tradnl" w:eastAsia="es-ES_tradnl"/>
        </w:rPr>
        <w:t xml:space="preserve">Tutores: </w:t>
      </w:r>
      <w:proofErr w:type="spellStart"/>
      <w:r w:rsidRPr="00515F02">
        <w:rPr>
          <w:rFonts w:ascii="Arial" w:eastAsia="Calibri" w:hAnsi="Arial" w:cs="Arial"/>
          <w:b/>
          <w:sz w:val="28"/>
          <w:szCs w:val="28"/>
          <w:lang w:val="es-US"/>
        </w:rPr>
        <w:t>Dr.C</w:t>
      </w:r>
      <w:proofErr w:type="spellEnd"/>
      <w:r w:rsidRPr="00515F02">
        <w:rPr>
          <w:rFonts w:ascii="Arial" w:eastAsia="Calibri" w:hAnsi="Arial" w:cs="Arial"/>
          <w:b/>
          <w:sz w:val="28"/>
          <w:szCs w:val="28"/>
          <w:lang w:val="es-US"/>
        </w:rPr>
        <w:t xml:space="preserve"> René Florido Bacallao</w:t>
      </w:r>
    </w:p>
    <w:p w14:paraId="58DD3B28" w14:textId="77777777" w:rsidR="008403BD" w:rsidRPr="00515F02" w:rsidRDefault="007D49D9">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515F02">
        <w:rPr>
          <w:rFonts w:ascii="Arial" w:eastAsia="Calibri" w:hAnsi="Arial" w:cs="Arial"/>
          <w:b/>
          <w:sz w:val="28"/>
          <w:szCs w:val="28"/>
          <w:lang w:val="es-US"/>
        </w:rPr>
        <w:t xml:space="preserve">               </w:t>
      </w:r>
      <w:proofErr w:type="spellStart"/>
      <w:r w:rsidRPr="00515F02">
        <w:rPr>
          <w:rFonts w:ascii="Arial" w:eastAsia="Calibri" w:hAnsi="Arial" w:cs="Arial"/>
          <w:b/>
          <w:sz w:val="28"/>
          <w:szCs w:val="28"/>
          <w:lang w:val="es-US"/>
        </w:rPr>
        <w:t>Dr.C</w:t>
      </w:r>
      <w:proofErr w:type="spellEnd"/>
      <w:r w:rsidR="00464E44" w:rsidRPr="00515F02">
        <w:rPr>
          <w:rFonts w:ascii="Arial" w:eastAsia="Calibri" w:hAnsi="Arial" w:cs="Arial"/>
          <w:b/>
          <w:sz w:val="28"/>
          <w:szCs w:val="28"/>
          <w:lang w:val="es-US"/>
        </w:rPr>
        <w:t xml:space="preserve"> </w:t>
      </w:r>
      <w:r w:rsidRPr="00515F02">
        <w:rPr>
          <w:rFonts w:ascii="Arial" w:eastAsia="Calibri" w:hAnsi="Arial" w:cs="Arial"/>
          <w:b/>
          <w:sz w:val="28"/>
          <w:szCs w:val="28"/>
          <w:lang w:val="es-US"/>
        </w:rPr>
        <w:t>Marilyn Florido Bacallao</w:t>
      </w:r>
    </w:p>
    <w:p w14:paraId="3A335322" w14:textId="77777777" w:rsidR="008403BD" w:rsidRDefault="008403BD">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E0924E1" w14:textId="77777777" w:rsidR="00464E44" w:rsidRDefault="00464E44">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1FD8AA4D" w14:textId="77777777" w:rsidR="00464E44" w:rsidRDefault="00464E44" w:rsidP="00464E44">
      <w:pPr>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Mayabeque, 2025</w:t>
      </w:r>
    </w:p>
    <w:p w14:paraId="560A084A" w14:textId="77777777" w:rsidR="008403BD" w:rsidRDefault="007D49D9">
      <w:pPr>
        <w:spacing w:after="160" w:line="259" w:lineRule="auto"/>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lastRenderedPageBreak/>
        <w:t>AGRADECIMIENTOS</w:t>
      </w:r>
    </w:p>
    <w:p w14:paraId="59ECE130" w14:textId="77777777" w:rsidR="008403BD" w:rsidRDefault="008403BD">
      <w:pPr>
        <w:spacing w:after="160" w:line="259" w:lineRule="auto"/>
        <w:rPr>
          <w:rFonts w:ascii="Arial" w:eastAsia="Times New Roman" w:hAnsi="Arial" w:cs="Arial"/>
          <w:bCs/>
          <w:sz w:val="24"/>
          <w:szCs w:val="24"/>
          <w:lang w:val="es-ES_tradnl" w:eastAsia="es-ES_tradnl"/>
        </w:rPr>
      </w:pPr>
    </w:p>
    <w:p w14:paraId="6F87D443" w14:textId="77777777" w:rsidR="008403BD" w:rsidRDefault="007D49D9">
      <w:pPr>
        <w:pStyle w:val="Prrafodelista"/>
        <w:numPr>
          <w:ilvl w:val="0"/>
          <w:numId w:val="1"/>
        </w:numPr>
        <w:spacing w:after="160" w:line="360" w:lineRule="auto"/>
        <w:ind w:left="284" w:hanging="142"/>
        <w:jc w:val="both"/>
        <w:rPr>
          <w:rFonts w:ascii="Arial" w:eastAsia="Times New Roman" w:hAnsi="Arial" w:cs="Arial"/>
          <w:b/>
          <w:bCs/>
          <w:sz w:val="24"/>
          <w:szCs w:val="24"/>
          <w:lang w:val="es-ES_tradnl" w:eastAsia="es-ES_tradnl"/>
        </w:rPr>
      </w:pPr>
      <w:r>
        <w:rPr>
          <w:rFonts w:ascii="Arial" w:eastAsia="Times New Roman" w:hAnsi="Arial" w:cs="Arial"/>
          <w:bCs/>
          <w:sz w:val="24"/>
          <w:szCs w:val="24"/>
          <w:lang w:val="es-ES_tradnl" w:eastAsia="es-ES_tradnl"/>
        </w:rPr>
        <w:t>A mis padres y hermanos, especialmente a mi madre Nancy que siempre ha sido la impulsora de todos mis logros académicos, gracias por decirme siempre: “dale que tú puedes”.</w:t>
      </w:r>
    </w:p>
    <w:p w14:paraId="48E708C6" w14:textId="77777777" w:rsidR="008403BD" w:rsidRDefault="007D49D9">
      <w:pPr>
        <w:pStyle w:val="Prrafodelista"/>
        <w:numPr>
          <w:ilvl w:val="0"/>
          <w:numId w:val="1"/>
        </w:numPr>
        <w:spacing w:after="160" w:line="360" w:lineRule="auto"/>
        <w:ind w:left="284" w:hanging="142"/>
        <w:jc w:val="both"/>
        <w:rPr>
          <w:rFonts w:ascii="Arial" w:eastAsia="Times New Roman" w:hAnsi="Arial" w:cs="Arial"/>
          <w:b/>
          <w:bCs/>
          <w:sz w:val="24"/>
          <w:szCs w:val="24"/>
          <w:lang w:val="es-ES_tradnl" w:eastAsia="es-ES_tradnl"/>
        </w:rPr>
      </w:pPr>
      <w:r>
        <w:rPr>
          <w:rFonts w:ascii="Arial" w:eastAsia="Times New Roman" w:hAnsi="Arial" w:cs="Arial"/>
          <w:bCs/>
          <w:sz w:val="24"/>
          <w:szCs w:val="24"/>
          <w:lang w:val="es-ES_tradnl" w:eastAsia="es-ES_tradnl"/>
        </w:rPr>
        <w:t>A mi esposa Lidiet, mi hijo Carlos Alejandro y mis dos hijas María Karla y Sheila. La familia que siempre me ha apoyado y son mi brazo derecho.</w:t>
      </w:r>
    </w:p>
    <w:p w14:paraId="62486646" w14:textId="77777777" w:rsidR="008403BD" w:rsidRDefault="007D49D9">
      <w:pPr>
        <w:pStyle w:val="Prrafodelista"/>
        <w:numPr>
          <w:ilvl w:val="0"/>
          <w:numId w:val="1"/>
        </w:numPr>
        <w:spacing w:after="160" w:line="360" w:lineRule="auto"/>
        <w:ind w:left="284" w:hanging="142"/>
        <w:jc w:val="both"/>
        <w:rPr>
          <w:rFonts w:ascii="Arial" w:eastAsia="Times New Roman" w:hAnsi="Arial" w:cs="Arial"/>
          <w:b/>
          <w:bCs/>
          <w:sz w:val="24"/>
          <w:szCs w:val="24"/>
          <w:lang w:val="es-ES_tradnl" w:eastAsia="es-ES_tradnl"/>
        </w:rPr>
      </w:pPr>
      <w:r>
        <w:rPr>
          <w:rFonts w:ascii="Arial" w:eastAsia="Times New Roman" w:hAnsi="Arial" w:cs="Arial"/>
          <w:bCs/>
          <w:sz w:val="24"/>
          <w:szCs w:val="24"/>
          <w:lang w:val="es-ES_tradnl" w:eastAsia="es-ES_tradnl"/>
        </w:rPr>
        <w:t>A mis tutores, los hermanos Florido Bacallao, Marilyn y René. Los cuáles aceptaron guiarme en esta investigación a la cual le han dedicado valiosísimo tiempo.</w:t>
      </w:r>
    </w:p>
    <w:p w14:paraId="0E887D2D" w14:textId="77777777" w:rsidR="008403BD" w:rsidRDefault="007D49D9">
      <w:pPr>
        <w:pStyle w:val="Prrafodelista"/>
        <w:numPr>
          <w:ilvl w:val="0"/>
          <w:numId w:val="1"/>
        </w:numPr>
        <w:spacing w:after="160" w:line="360" w:lineRule="auto"/>
        <w:ind w:left="284" w:hanging="142"/>
        <w:jc w:val="both"/>
        <w:rPr>
          <w:rFonts w:ascii="Arial" w:eastAsia="Times New Roman" w:hAnsi="Arial" w:cs="Arial"/>
          <w:b/>
          <w:bCs/>
          <w:sz w:val="24"/>
          <w:szCs w:val="24"/>
          <w:lang w:val="es-ES" w:eastAsia="es-ES_tradnl"/>
        </w:rPr>
      </w:pPr>
      <w:r>
        <w:rPr>
          <w:rFonts w:ascii="Arial" w:eastAsia="Times New Roman" w:hAnsi="Arial" w:cs="Arial"/>
          <w:bCs/>
          <w:sz w:val="24"/>
          <w:szCs w:val="24"/>
          <w:lang w:val="es-ES_tradnl" w:eastAsia="es-ES_tradnl"/>
        </w:rPr>
        <w:t xml:space="preserve">A los profesores de la Maestría en Biomatemática, los cuales contribuyeron a nuestra formación profesional. No puedo dejar de mencionar a algunos como la profe Zulimary, mi profesora de computación en el preuniversitario, gracias por todo el recorrido. A la profe María Elena, gracias siempre por todo el conocimiento que me aportó y estar siempre dispuesta, realmente un gusto haber compartido esta experiencia con una persona como usted. </w:t>
      </w:r>
      <w:r>
        <w:rPr>
          <w:rFonts w:ascii="Arial" w:eastAsia="Times New Roman" w:hAnsi="Arial" w:cs="Arial"/>
          <w:bCs/>
          <w:sz w:val="24"/>
          <w:szCs w:val="24"/>
          <w:lang w:val="es-ES" w:eastAsia="es-ES_tradnl"/>
        </w:rPr>
        <w:t xml:space="preserve">A Boris, </w:t>
      </w:r>
      <w:proofErr w:type="spellStart"/>
      <w:r>
        <w:rPr>
          <w:rFonts w:ascii="Arial" w:eastAsia="Times New Roman" w:hAnsi="Arial" w:cs="Arial"/>
          <w:bCs/>
          <w:sz w:val="24"/>
          <w:szCs w:val="24"/>
          <w:lang w:val="es-ES" w:eastAsia="es-ES_tradnl"/>
        </w:rPr>
        <w:t>Norlan</w:t>
      </w:r>
      <w:proofErr w:type="spellEnd"/>
      <w:r>
        <w:rPr>
          <w:rFonts w:ascii="Arial" w:eastAsia="Times New Roman" w:hAnsi="Arial" w:cs="Arial"/>
          <w:bCs/>
          <w:sz w:val="24"/>
          <w:szCs w:val="24"/>
          <w:lang w:val="es-ES" w:eastAsia="es-ES_tradnl"/>
        </w:rPr>
        <w:t xml:space="preserve">, </w:t>
      </w:r>
      <w:proofErr w:type="spellStart"/>
      <w:r>
        <w:rPr>
          <w:rFonts w:ascii="Arial" w:eastAsia="Times New Roman" w:hAnsi="Arial" w:cs="Arial"/>
          <w:bCs/>
          <w:sz w:val="24"/>
          <w:szCs w:val="24"/>
          <w:lang w:val="es-ES" w:eastAsia="es-ES_tradnl"/>
        </w:rPr>
        <w:t>Lilibet</w:t>
      </w:r>
      <w:proofErr w:type="spellEnd"/>
      <w:r>
        <w:rPr>
          <w:rFonts w:ascii="Arial" w:eastAsia="Times New Roman" w:hAnsi="Arial" w:cs="Arial"/>
          <w:bCs/>
          <w:sz w:val="24"/>
          <w:szCs w:val="24"/>
          <w:lang w:val="es-ES" w:eastAsia="es-ES_tradnl"/>
        </w:rPr>
        <w:t xml:space="preserve">, </w:t>
      </w:r>
      <w:proofErr w:type="spellStart"/>
      <w:r>
        <w:rPr>
          <w:rFonts w:ascii="Arial" w:eastAsia="Times New Roman" w:hAnsi="Arial" w:cs="Arial"/>
          <w:bCs/>
          <w:sz w:val="24"/>
          <w:szCs w:val="24"/>
          <w:lang w:val="es-ES" w:eastAsia="es-ES_tradnl"/>
        </w:rPr>
        <w:t>Yusney</w:t>
      </w:r>
      <w:proofErr w:type="spellEnd"/>
      <w:r>
        <w:rPr>
          <w:rFonts w:ascii="Arial" w:eastAsia="Times New Roman" w:hAnsi="Arial" w:cs="Arial"/>
          <w:bCs/>
          <w:sz w:val="24"/>
          <w:szCs w:val="24"/>
          <w:lang w:val="es-ES" w:eastAsia="es-ES_tradnl"/>
        </w:rPr>
        <w:t xml:space="preserve">, Nelson, </w:t>
      </w:r>
      <w:proofErr w:type="spellStart"/>
      <w:r>
        <w:rPr>
          <w:rFonts w:ascii="Arial" w:eastAsia="Times New Roman" w:hAnsi="Arial" w:cs="Arial"/>
          <w:bCs/>
          <w:sz w:val="24"/>
          <w:szCs w:val="24"/>
          <w:lang w:val="es-ES" w:eastAsia="es-ES_tradnl"/>
        </w:rPr>
        <w:t>Neili</w:t>
      </w:r>
      <w:proofErr w:type="spellEnd"/>
      <w:r>
        <w:rPr>
          <w:rFonts w:ascii="Arial" w:eastAsia="Times New Roman" w:hAnsi="Arial" w:cs="Arial"/>
          <w:bCs/>
          <w:sz w:val="24"/>
          <w:szCs w:val="24"/>
          <w:lang w:val="es-ES" w:eastAsia="es-ES_tradnl"/>
        </w:rPr>
        <w:t xml:space="preserve">, Magaly. La profe Iliana, gracias por brindarme su apoyo incondicional y a Mario por estar siempre presente. Y especialmente a Lucy, por la oportunidad de cursar esta maestría, por incluirme en su proyecto, por confiar siempre en mí, sin su apoyo, no hubiera sido posible que llegáramos al final. </w:t>
      </w:r>
    </w:p>
    <w:p w14:paraId="2536D07C" w14:textId="77777777" w:rsidR="008403BD" w:rsidRDefault="007D49D9">
      <w:pPr>
        <w:pStyle w:val="Prrafodelista"/>
        <w:numPr>
          <w:ilvl w:val="0"/>
          <w:numId w:val="1"/>
        </w:numPr>
        <w:spacing w:after="160" w:line="360" w:lineRule="auto"/>
        <w:ind w:left="284" w:hanging="142"/>
        <w:jc w:val="both"/>
        <w:rPr>
          <w:rFonts w:ascii="Arial" w:eastAsia="Times New Roman" w:hAnsi="Arial" w:cs="Arial"/>
          <w:b/>
          <w:bCs/>
          <w:sz w:val="24"/>
          <w:szCs w:val="24"/>
          <w:lang w:val="es-ES" w:eastAsia="es-ES_tradnl"/>
        </w:rPr>
      </w:pPr>
      <w:r>
        <w:rPr>
          <w:rFonts w:ascii="Arial" w:eastAsia="Times New Roman" w:hAnsi="Arial" w:cs="Arial"/>
          <w:bCs/>
          <w:sz w:val="24"/>
          <w:szCs w:val="24"/>
          <w:lang w:val="es-ES" w:eastAsia="es-ES_tradnl"/>
        </w:rPr>
        <w:t>A mis compañeros de la Maestría, con los cuales he compartido tantas experiencias y aprendido nuevos conocimientos. También a los que empezaron y se fueron quedando por el camino. En especial a Daniel, que siempre ha sido más que un compañero, mi amigo.</w:t>
      </w:r>
    </w:p>
    <w:p w14:paraId="42E8F42C" w14:textId="32638B8A" w:rsidR="008403BD" w:rsidRDefault="007D49D9">
      <w:pPr>
        <w:pStyle w:val="Prrafodelista"/>
        <w:numPr>
          <w:ilvl w:val="0"/>
          <w:numId w:val="1"/>
        </w:numPr>
        <w:spacing w:after="160" w:line="360" w:lineRule="auto"/>
        <w:ind w:left="284" w:hanging="142"/>
        <w:jc w:val="both"/>
        <w:rPr>
          <w:rFonts w:ascii="Arial" w:eastAsia="Times New Roman" w:hAnsi="Arial" w:cs="Arial"/>
          <w:b/>
          <w:bCs/>
          <w:sz w:val="24"/>
          <w:szCs w:val="24"/>
          <w:lang w:val="es-ES" w:eastAsia="es-ES_tradnl"/>
        </w:rPr>
      </w:pPr>
      <w:r>
        <w:rPr>
          <w:rFonts w:ascii="Arial" w:eastAsia="Times New Roman" w:hAnsi="Arial" w:cs="Arial"/>
          <w:bCs/>
          <w:sz w:val="24"/>
          <w:szCs w:val="24"/>
          <w:lang w:val="es-ES" w:eastAsia="es-ES_tradnl"/>
        </w:rPr>
        <w:t>Al INCA, por darme la oportunidad un día de formar parte de esta familia maravillosa de inqueños. Realmente me gustaría mencionar a todos, pero la lista sería demasiado larga para estos agradecimientos y sería injusto dejar de mencionar a algunos nombres. A ustedes les debo toda la ayuda, el cariño, los conocimientos aportados</w:t>
      </w:r>
      <w:r w:rsidR="001539C7">
        <w:rPr>
          <w:rFonts w:ascii="Arial" w:eastAsia="Times New Roman" w:hAnsi="Arial" w:cs="Arial"/>
          <w:bCs/>
          <w:sz w:val="24"/>
          <w:szCs w:val="24"/>
          <w:lang w:val="es-ES" w:eastAsia="es-ES_tradnl"/>
        </w:rPr>
        <w:t xml:space="preserve"> y</w:t>
      </w:r>
      <w:r>
        <w:rPr>
          <w:rFonts w:ascii="Arial" w:eastAsia="Times New Roman" w:hAnsi="Arial" w:cs="Arial"/>
          <w:bCs/>
          <w:sz w:val="24"/>
          <w:szCs w:val="24"/>
          <w:lang w:val="es-ES" w:eastAsia="es-ES_tradnl"/>
        </w:rPr>
        <w:t xml:space="preserve"> las vivencias. Sinceramente, muchas gracias.</w:t>
      </w:r>
    </w:p>
    <w:p w14:paraId="7DEC0EA0" w14:textId="77777777" w:rsidR="008403BD" w:rsidRDefault="007D49D9">
      <w:pPr>
        <w:spacing w:after="160" w:line="259" w:lineRule="auto"/>
        <w:rPr>
          <w:rFonts w:ascii="Arial" w:eastAsia="Times New Roman" w:hAnsi="Arial" w:cs="Arial"/>
          <w:b/>
          <w:bCs/>
          <w:sz w:val="24"/>
          <w:szCs w:val="24"/>
          <w:lang w:val="es-ES" w:eastAsia="es-ES_tradnl"/>
        </w:rPr>
      </w:pPr>
      <w:r>
        <w:rPr>
          <w:rFonts w:ascii="Arial" w:eastAsia="Times New Roman" w:hAnsi="Arial" w:cs="Arial"/>
          <w:b/>
          <w:bCs/>
          <w:sz w:val="24"/>
          <w:szCs w:val="24"/>
          <w:lang w:val="es-ES" w:eastAsia="es-ES_tradnl"/>
        </w:rPr>
        <w:br w:type="page"/>
      </w:r>
    </w:p>
    <w:p w14:paraId="63FA1DBD"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0D53C131"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61272CFF"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36F61551"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199CA6BC"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29B539C3"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2875C1E9"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489CD9D7"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445DF0E9"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62EFF262"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2A328E57"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708B794B"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31B91C59"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25813D9A"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6A250A6B"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2A0DA408"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685A95BB"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762F0411"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04BBF7EA"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3A2289AD"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5A087821"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11F5725E"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1031349A"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4ABBB11E"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1D869614"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4F38505C"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3E6FC41F" w14:textId="77777777" w:rsidR="008403BD" w:rsidRDefault="007D49D9">
      <w:pPr>
        <w:spacing w:after="120" w:line="276" w:lineRule="auto"/>
        <w:jc w:val="right"/>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t>DEDICATORIA</w:t>
      </w:r>
    </w:p>
    <w:p w14:paraId="60C3A5E9" w14:textId="77777777" w:rsidR="008403BD" w:rsidRDefault="008403BD">
      <w:pPr>
        <w:spacing w:after="120" w:line="276" w:lineRule="auto"/>
        <w:jc w:val="right"/>
        <w:rPr>
          <w:rFonts w:ascii="Arial" w:eastAsia="Times New Roman" w:hAnsi="Arial" w:cs="Arial"/>
          <w:b/>
          <w:bCs/>
          <w:sz w:val="24"/>
          <w:szCs w:val="24"/>
          <w:lang w:val="es-ES_tradnl" w:eastAsia="es-ES_tradnl"/>
        </w:rPr>
      </w:pPr>
    </w:p>
    <w:p w14:paraId="4CC0D4E1" w14:textId="77777777" w:rsidR="008403BD" w:rsidRDefault="007D49D9">
      <w:pPr>
        <w:spacing w:after="120" w:line="276" w:lineRule="auto"/>
        <w:jc w:val="right"/>
        <w:rPr>
          <w:rFonts w:ascii="Arial" w:eastAsia="Times New Roman" w:hAnsi="Arial" w:cs="Arial"/>
          <w:bCs/>
          <w:sz w:val="24"/>
          <w:szCs w:val="24"/>
          <w:lang w:val="es-ES_tradnl" w:eastAsia="es-ES_tradnl"/>
        </w:rPr>
      </w:pPr>
      <w:r>
        <w:rPr>
          <w:rFonts w:ascii="Arial" w:eastAsia="Times New Roman" w:hAnsi="Arial" w:cs="Arial"/>
          <w:bCs/>
          <w:sz w:val="24"/>
          <w:szCs w:val="24"/>
          <w:lang w:val="es-ES_tradnl" w:eastAsia="es-ES_tradnl"/>
        </w:rPr>
        <w:t>A mis padres, hermanos, esposa e hijos con todo mi amor y sacrificio.</w:t>
      </w:r>
    </w:p>
    <w:p w14:paraId="1CB39189" w14:textId="77777777" w:rsidR="008403BD" w:rsidRDefault="007D49D9">
      <w:pPr>
        <w:spacing w:after="160" w:line="259" w:lineRule="auto"/>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14:paraId="2FE2E76C" w14:textId="77777777" w:rsidR="008403BD" w:rsidRDefault="007D49D9">
      <w:pPr>
        <w:spacing w:after="120" w:line="276" w:lineRule="auto"/>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lastRenderedPageBreak/>
        <w:t>RESUMEN</w:t>
      </w:r>
    </w:p>
    <w:p w14:paraId="3C6FF8BD" w14:textId="77777777" w:rsidR="00DD08F0" w:rsidRDefault="00DD08F0" w:rsidP="007A5005">
      <w:pPr>
        <w:spacing w:line="360" w:lineRule="auto"/>
        <w:jc w:val="both"/>
        <w:rPr>
          <w:rFonts w:ascii="Arial" w:hAnsi="Arial" w:cs="Arial"/>
          <w:sz w:val="24"/>
          <w:szCs w:val="24"/>
          <w:lang w:val="es-ES"/>
        </w:rPr>
      </w:pPr>
    </w:p>
    <w:p w14:paraId="71CF9536" w14:textId="41217AC7" w:rsidR="007A5005" w:rsidRPr="0071446F" w:rsidRDefault="007A5005" w:rsidP="007A5005">
      <w:pPr>
        <w:spacing w:line="360" w:lineRule="auto"/>
        <w:jc w:val="both"/>
        <w:rPr>
          <w:rFonts w:ascii="Arial" w:hAnsi="Arial" w:cs="Arial"/>
          <w:sz w:val="24"/>
          <w:szCs w:val="24"/>
          <w:lang w:val="es-ES"/>
        </w:rPr>
      </w:pPr>
      <w:r>
        <w:rPr>
          <w:rFonts w:ascii="Arial" w:hAnsi="Arial" w:cs="Arial"/>
          <w:sz w:val="24"/>
          <w:szCs w:val="24"/>
          <w:lang w:val="es-ES"/>
        </w:rPr>
        <w:t>Esta investigación se desarrolló c</w:t>
      </w:r>
      <w:r w:rsidRPr="0071446F">
        <w:rPr>
          <w:rFonts w:ascii="Arial" w:hAnsi="Arial" w:cs="Arial"/>
          <w:sz w:val="24"/>
          <w:szCs w:val="24"/>
          <w:lang w:val="es-ES"/>
        </w:rPr>
        <w:t>on el objetivo de calibrar y validar el modelo DSSAT versión 4.8.2 para el cultivar de tomate Elbita</w:t>
      </w:r>
      <w:r>
        <w:rPr>
          <w:rFonts w:ascii="Arial" w:hAnsi="Arial" w:cs="Arial"/>
          <w:sz w:val="24"/>
          <w:szCs w:val="24"/>
          <w:lang w:val="es-ES"/>
        </w:rPr>
        <w:t xml:space="preserve">. Para </w:t>
      </w:r>
      <w:r w:rsidR="00DC4777">
        <w:rPr>
          <w:rFonts w:ascii="Arial" w:hAnsi="Arial" w:cs="Arial"/>
          <w:sz w:val="24"/>
          <w:szCs w:val="24"/>
          <w:lang w:val="es-ES"/>
        </w:rPr>
        <w:t>tal propósito</w:t>
      </w:r>
      <w:r w:rsidRPr="0071446F">
        <w:rPr>
          <w:rFonts w:ascii="Arial" w:hAnsi="Arial" w:cs="Arial"/>
          <w:sz w:val="24"/>
          <w:szCs w:val="24"/>
          <w:lang w:val="es-ES"/>
        </w:rPr>
        <w:t xml:space="preserve"> se sembraron semillas de este cultivar en tres periodos de siembra: tardío (febrero de 2022), temprano (agosto de 2022) y óptimo (diciembre de 2022), con vistas a </w:t>
      </w:r>
      <w:r w:rsidRPr="00556C50">
        <w:rPr>
          <w:rFonts w:ascii="Arial" w:hAnsi="Arial" w:cs="Arial"/>
          <w:sz w:val="24"/>
          <w:szCs w:val="24"/>
          <w:lang w:val="es-ES"/>
        </w:rPr>
        <w:t>determinar</w:t>
      </w:r>
      <w:r w:rsidRPr="0071446F">
        <w:rPr>
          <w:rFonts w:ascii="Arial" w:hAnsi="Arial" w:cs="Arial"/>
          <w:sz w:val="24"/>
          <w:szCs w:val="24"/>
          <w:lang w:val="es-ES"/>
        </w:rPr>
        <w:t xml:space="preserve"> los parámetros genéticos del cultivar y validar el modelo con parámetros relacionados con el crecimiento y producción en el periodo óptimo. Los experimentos se ejecutaron en el área central del INCA en un s</w:t>
      </w:r>
      <w:r w:rsidRPr="0071446F">
        <w:rPr>
          <w:rFonts w:ascii="Arial" w:hAnsi="Arial" w:cs="Arial"/>
          <w:sz w:val="24"/>
          <w:szCs w:val="24"/>
          <w:lang w:val="es-US"/>
        </w:rPr>
        <w:t xml:space="preserve">uelo Ferralítico Rojo Lixiviado </w:t>
      </w:r>
      <w:r>
        <w:rPr>
          <w:rFonts w:ascii="Arial" w:eastAsia="Calibri" w:hAnsi="Arial" w:cs="Arial"/>
          <w:sz w:val="24"/>
          <w:szCs w:val="24"/>
          <w:lang w:val="es-ES"/>
        </w:rPr>
        <w:t>eútrico.</w:t>
      </w:r>
      <w:r w:rsidRPr="0071446F">
        <w:rPr>
          <w:rFonts w:ascii="Arial" w:hAnsi="Arial" w:cs="Arial"/>
          <w:sz w:val="24"/>
          <w:szCs w:val="24"/>
          <w:lang w:val="es-US"/>
        </w:rPr>
        <w:t xml:space="preserve"> </w:t>
      </w:r>
      <w:r w:rsidRPr="0071446F">
        <w:rPr>
          <w:rFonts w:ascii="Arial" w:hAnsi="Arial" w:cs="Arial"/>
          <w:sz w:val="24"/>
          <w:szCs w:val="24"/>
          <w:lang w:val="es-ES"/>
        </w:rPr>
        <w:t xml:space="preserve">Se tomaron aleatoriamente tres plantas con intervalos de aproximadamente 10 días, en ambos periodos, desde el inicio del trasplante hasta </w:t>
      </w:r>
      <w:proofErr w:type="gramStart"/>
      <w:r w:rsidRPr="0071446F">
        <w:rPr>
          <w:rFonts w:ascii="Arial" w:hAnsi="Arial" w:cs="Arial"/>
          <w:sz w:val="24"/>
          <w:szCs w:val="24"/>
          <w:lang w:val="es-ES"/>
        </w:rPr>
        <w:t>la fructificación</w:t>
      </w:r>
      <w:proofErr w:type="gramEnd"/>
      <w:r w:rsidRPr="0071446F">
        <w:rPr>
          <w:rFonts w:ascii="Arial" w:hAnsi="Arial" w:cs="Arial"/>
          <w:sz w:val="24"/>
          <w:szCs w:val="24"/>
          <w:lang w:val="es-ES"/>
        </w:rPr>
        <w:t>. Se evaluaron, además, las propiedades físicas y químicas del suelo del sitio experimental, densidad de siembra, labores agrotécnicas, fecha de aplicación de fertilizantes, duración en días de las fases fenológicas del cultivo, biomasa seca de hojas, tallos y raíces, índice de área foliar, número de frutos y rendimiento agrícola. Se logró ajustar el modelo CROPGRO-Tomat</w:t>
      </w:r>
      <w:r w:rsidR="00173272">
        <w:rPr>
          <w:rFonts w:ascii="Arial" w:hAnsi="Arial" w:cs="Arial"/>
          <w:sz w:val="24"/>
          <w:szCs w:val="24"/>
          <w:lang w:val="es-ES"/>
        </w:rPr>
        <w:t>o</w:t>
      </w:r>
      <w:r w:rsidRPr="0071446F">
        <w:rPr>
          <w:rFonts w:ascii="Arial" w:hAnsi="Arial" w:cs="Arial"/>
          <w:sz w:val="24"/>
          <w:szCs w:val="24"/>
          <w:lang w:val="es-ES"/>
        </w:rPr>
        <w:t>, el cual funcionó bien al simular los indicadores días a la antesis y a la maduración y rendimiento del cultivar, no así para los indicadores de crecimiento, el número de frutos y el índice de área foliar. Se observó que el ciclo del cultivo varía en función del periodo de siembra, debido a la influencia negativa de las altas temperaturas sobre estos indicadores en tomate</w:t>
      </w:r>
      <w:r>
        <w:rPr>
          <w:rFonts w:ascii="Arial" w:hAnsi="Arial" w:cs="Arial"/>
          <w:sz w:val="24"/>
          <w:szCs w:val="24"/>
          <w:lang w:val="es-ES"/>
        </w:rPr>
        <w:t>.</w:t>
      </w:r>
    </w:p>
    <w:p w14:paraId="439C1AD9" w14:textId="77777777" w:rsidR="007A5005" w:rsidRPr="00DD08F0" w:rsidRDefault="007A5005" w:rsidP="007A5005">
      <w:pPr>
        <w:spacing w:line="360" w:lineRule="auto"/>
        <w:rPr>
          <w:rFonts w:ascii="Arial" w:hAnsi="Arial" w:cs="Arial"/>
          <w:sz w:val="24"/>
          <w:szCs w:val="24"/>
          <w:lang w:val="es-ES"/>
        </w:rPr>
      </w:pPr>
      <w:r w:rsidRPr="00DD08F0">
        <w:rPr>
          <w:rFonts w:ascii="Arial" w:hAnsi="Arial" w:cs="Arial"/>
          <w:b/>
          <w:sz w:val="24"/>
          <w:szCs w:val="24"/>
          <w:lang w:val="es-ES" w:eastAsia="es-ES"/>
        </w:rPr>
        <w:t xml:space="preserve">Palabras claves: </w:t>
      </w:r>
      <w:r w:rsidRPr="00DD08F0">
        <w:rPr>
          <w:rFonts w:ascii="Arial" w:hAnsi="Arial" w:cs="Arial"/>
          <w:sz w:val="24"/>
          <w:szCs w:val="24"/>
          <w:lang w:val="es-ES"/>
        </w:rPr>
        <w:t>coeficientes genéticos</w:t>
      </w:r>
      <w:r w:rsidRPr="00DD08F0">
        <w:rPr>
          <w:rFonts w:ascii="Arial" w:hAnsi="Arial" w:cs="Arial"/>
          <w:bCs/>
          <w:sz w:val="24"/>
          <w:szCs w:val="24"/>
          <w:lang w:val="es-AR"/>
        </w:rPr>
        <w:t>, modelación de cultivos, simulación, estrategia de manejo, predicción</w:t>
      </w:r>
    </w:p>
    <w:p w14:paraId="2ED4EBFC" w14:textId="77777777" w:rsidR="008403BD" w:rsidRDefault="007D49D9">
      <w:pPr>
        <w:spacing w:after="160" w:line="259" w:lineRule="auto"/>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14:paraId="396DDC8B" w14:textId="77777777" w:rsidR="008403BD" w:rsidRPr="00B34789" w:rsidRDefault="007D49D9">
      <w:pPr>
        <w:spacing w:after="120" w:line="276" w:lineRule="auto"/>
        <w:rPr>
          <w:rFonts w:ascii="Arial" w:hAnsi="Arial" w:cs="Arial"/>
          <w:b/>
          <w:sz w:val="24"/>
          <w:szCs w:val="24"/>
        </w:rPr>
      </w:pPr>
      <w:r w:rsidRPr="00B34789">
        <w:rPr>
          <w:rFonts w:ascii="Arial" w:hAnsi="Arial" w:cs="Arial"/>
          <w:b/>
          <w:sz w:val="24"/>
          <w:szCs w:val="24"/>
        </w:rPr>
        <w:lastRenderedPageBreak/>
        <w:t>ABSTRACT</w:t>
      </w:r>
    </w:p>
    <w:p w14:paraId="3792E6B8" w14:textId="77777777" w:rsidR="00B34789" w:rsidRDefault="00B34789" w:rsidP="00B34789">
      <w:pPr>
        <w:spacing w:line="360" w:lineRule="auto"/>
        <w:jc w:val="both"/>
        <w:rPr>
          <w:rFonts w:ascii="Arial" w:hAnsi="Arial" w:cs="Arial"/>
          <w:sz w:val="24"/>
          <w:szCs w:val="24"/>
        </w:rPr>
      </w:pPr>
    </w:p>
    <w:p w14:paraId="67F3A2F3" w14:textId="2C7C610F" w:rsidR="00B34789" w:rsidRDefault="00B34789" w:rsidP="00B34789">
      <w:pPr>
        <w:spacing w:line="360" w:lineRule="auto"/>
        <w:jc w:val="both"/>
        <w:rPr>
          <w:rFonts w:ascii="Arial" w:hAnsi="Arial" w:cs="Arial"/>
          <w:sz w:val="24"/>
          <w:szCs w:val="24"/>
        </w:rPr>
      </w:pPr>
      <w:r w:rsidRPr="00D226F2">
        <w:rPr>
          <w:rFonts w:ascii="Arial" w:hAnsi="Arial" w:cs="Arial"/>
          <w:sz w:val="24"/>
          <w:szCs w:val="24"/>
        </w:rPr>
        <w:t xml:space="preserve">This research was developed with the objective of calibrating and validating the DSSAT model version 4.8.2 for the tomato cultivar </w:t>
      </w:r>
      <w:r w:rsidR="00716AA5">
        <w:rPr>
          <w:rFonts w:ascii="Arial" w:hAnsi="Arial" w:cs="Arial"/>
          <w:sz w:val="24"/>
          <w:szCs w:val="24"/>
        </w:rPr>
        <w:t>“</w:t>
      </w:r>
      <w:r w:rsidRPr="00D226F2">
        <w:rPr>
          <w:rFonts w:ascii="Arial" w:hAnsi="Arial" w:cs="Arial"/>
          <w:sz w:val="24"/>
          <w:szCs w:val="24"/>
        </w:rPr>
        <w:t>Elbita</w:t>
      </w:r>
      <w:r w:rsidR="00716AA5">
        <w:rPr>
          <w:rFonts w:ascii="Arial" w:hAnsi="Arial" w:cs="Arial"/>
          <w:sz w:val="24"/>
          <w:szCs w:val="24"/>
        </w:rPr>
        <w:t>”</w:t>
      </w:r>
      <w:r w:rsidRPr="00D226F2">
        <w:rPr>
          <w:rFonts w:ascii="Arial" w:hAnsi="Arial" w:cs="Arial"/>
          <w:sz w:val="24"/>
          <w:szCs w:val="24"/>
        </w:rPr>
        <w:t xml:space="preserve">. For this purpose, seeds of this cultivar were sown in three sowing periods: late (February 2022), early (August 2022) and optimum (December 2022), with a view to determining the genetic parameters of the cultivar and validating the model with parameters related to growth and production in the optimum period. </w:t>
      </w:r>
      <w:r w:rsidR="006C2949">
        <w:rPr>
          <w:rFonts w:ascii="Arial" w:hAnsi="Arial" w:cs="Arial"/>
          <w:sz w:val="24"/>
          <w:szCs w:val="24"/>
        </w:rPr>
        <w:t>E</w:t>
      </w:r>
      <w:r w:rsidRPr="00D226F2">
        <w:rPr>
          <w:rFonts w:ascii="Arial" w:hAnsi="Arial" w:cs="Arial"/>
          <w:sz w:val="24"/>
          <w:szCs w:val="24"/>
        </w:rPr>
        <w:t xml:space="preserve">xperiments were carried out in the central area of INCA in a </w:t>
      </w:r>
      <w:proofErr w:type="spellStart"/>
      <w:r w:rsidRPr="00D226F2">
        <w:rPr>
          <w:rFonts w:ascii="Arial" w:hAnsi="Arial" w:cs="Arial"/>
          <w:sz w:val="24"/>
          <w:szCs w:val="24"/>
        </w:rPr>
        <w:t>Ferrallitic</w:t>
      </w:r>
      <w:proofErr w:type="spellEnd"/>
      <w:r w:rsidRPr="00D226F2">
        <w:rPr>
          <w:rFonts w:ascii="Arial" w:hAnsi="Arial" w:cs="Arial"/>
          <w:sz w:val="24"/>
          <w:szCs w:val="24"/>
        </w:rPr>
        <w:t xml:space="preserve"> Red Leached </w:t>
      </w:r>
      <w:proofErr w:type="spellStart"/>
      <w:r w:rsidRPr="00D226F2">
        <w:rPr>
          <w:rFonts w:ascii="Arial" w:hAnsi="Arial" w:cs="Arial"/>
          <w:sz w:val="24"/>
          <w:szCs w:val="24"/>
        </w:rPr>
        <w:t>Eut</w:t>
      </w:r>
      <w:r w:rsidR="00663455">
        <w:rPr>
          <w:rFonts w:ascii="Arial" w:hAnsi="Arial" w:cs="Arial"/>
          <w:sz w:val="24"/>
          <w:szCs w:val="24"/>
        </w:rPr>
        <w:t>ri</w:t>
      </w:r>
      <w:r w:rsidRPr="00D226F2">
        <w:rPr>
          <w:rFonts w:ascii="Arial" w:hAnsi="Arial" w:cs="Arial"/>
          <w:sz w:val="24"/>
          <w:szCs w:val="24"/>
        </w:rPr>
        <w:t>c</w:t>
      </w:r>
      <w:proofErr w:type="spellEnd"/>
      <w:r w:rsidRPr="00D226F2">
        <w:rPr>
          <w:rFonts w:ascii="Arial" w:hAnsi="Arial" w:cs="Arial"/>
          <w:sz w:val="24"/>
          <w:szCs w:val="24"/>
        </w:rPr>
        <w:t xml:space="preserve"> soil. Three plants were randomly taken at intervals of approximately 10 days, in both periods, from the beginning of </w:t>
      </w:r>
      <w:r w:rsidR="00D40A85">
        <w:rPr>
          <w:rFonts w:ascii="Arial" w:hAnsi="Arial" w:cs="Arial"/>
          <w:sz w:val="24"/>
          <w:szCs w:val="24"/>
        </w:rPr>
        <w:t>transplanting to fruiting. P</w:t>
      </w:r>
      <w:r w:rsidRPr="00D226F2">
        <w:rPr>
          <w:rFonts w:ascii="Arial" w:hAnsi="Arial" w:cs="Arial"/>
          <w:sz w:val="24"/>
          <w:szCs w:val="24"/>
        </w:rPr>
        <w:t>hysical and chemical properties of the soil of the experimental site, planting densit</w:t>
      </w:r>
      <w:r w:rsidR="00663455">
        <w:rPr>
          <w:rFonts w:ascii="Arial" w:hAnsi="Arial" w:cs="Arial"/>
          <w:sz w:val="24"/>
          <w:szCs w:val="24"/>
        </w:rPr>
        <w:t>y, agro-technical work, fertiliz</w:t>
      </w:r>
      <w:r w:rsidRPr="00D226F2">
        <w:rPr>
          <w:rFonts w:ascii="Arial" w:hAnsi="Arial" w:cs="Arial"/>
          <w:sz w:val="24"/>
          <w:szCs w:val="24"/>
        </w:rPr>
        <w:t xml:space="preserve">er application date, duration in days of the </w:t>
      </w:r>
      <w:proofErr w:type="spellStart"/>
      <w:r w:rsidRPr="00D226F2">
        <w:rPr>
          <w:rFonts w:ascii="Arial" w:hAnsi="Arial" w:cs="Arial"/>
          <w:sz w:val="24"/>
          <w:szCs w:val="24"/>
        </w:rPr>
        <w:t>phenological</w:t>
      </w:r>
      <w:proofErr w:type="spellEnd"/>
      <w:r w:rsidRPr="00D226F2">
        <w:rPr>
          <w:rFonts w:ascii="Arial" w:hAnsi="Arial" w:cs="Arial"/>
          <w:sz w:val="24"/>
          <w:szCs w:val="24"/>
        </w:rPr>
        <w:t xml:space="preserve"> phases of the crop, dry biomass of leaves, stems and roots, leaf area index, number of fruits and agricultural yield were also evaluated. The CROPGRO-Tomato model was fitted and performed well in simulating the indicators days to </w:t>
      </w:r>
      <w:proofErr w:type="spellStart"/>
      <w:r w:rsidRPr="00D226F2">
        <w:rPr>
          <w:rFonts w:ascii="Arial" w:hAnsi="Arial" w:cs="Arial"/>
          <w:sz w:val="24"/>
          <w:szCs w:val="24"/>
        </w:rPr>
        <w:t>anthesis</w:t>
      </w:r>
      <w:proofErr w:type="spellEnd"/>
      <w:r w:rsidRPr="00D226F2">
        <w:rPr>
          <w:rFonts w:ascii="Arial" w:hAnsi="Arial" w:cs="Arial"/>
          <w:sz w:val="24"/>
          <w:szCs w:val="24"/>
        </w:rPr>
        <w:t xml:space="preserve"> and days to maturity and the cultivar</w:t>
      </w:r>
      <w:r w:rsidR="002E1B2D">
        <w:rPr>
          <w:rFonts w:ascii="Arial" w:hAnsi="Arial" w:cs="Arial"/>
          <w:sz w:val="24"/>
          <w:szCs w:val="24"/>
        </w:rPr>
        <w:t xml:space="preserve"> yield</w:t>
      </w:r>
      <w:r w:rsidRPr="00D226F2">
        <w:rPr>
          <w:rFonts w:ascii="Arial" w:hAnsi="Arial" w:cs="Arial"/>
          <w:sz w:val="24"/>
          <w:szCs w:val="24"/>
        </w:rPr>
        <w:t>, but not for the growth indicators, number of fruits and leaf area index. It was observed that the crop cycle varies depending on the sowing period, due to the negative influence of high temperatures on these indicators in tomato.</w:t>
      </w:r>
    </w:p>
    <w:p w14:paraId="4D751320" w14:textId="77777777" w:rsidR="00B34789" w:rsidRPr="00D226F2" w:rsidRDefault="00B34789" w:rsidP="00B34789">
      <w:pPr>
        <w:spacing w:line="360" w:lineRule="auto"/>
        <w:jc w:val="both"/>
        <w:rPr>
          <w:rFonts w:ascii="Arial" w:hAnsi="Arial" w:cs="Arial"/>
          <w:sz w:val="24"/>
          <w:szCs w:val="24"/>
        </w:rPr>
      </w:pPr>
      <w:r w:rsidRPr="00D226F2">
        <w:rPr>
          <w:rFonts w:ascii="Arial" w:hAnsi="Arial" w:cs="Arial"/>
          <w:b/>
          <w:sz w:val="24"/>
          <w:szCs w:val="24"/>
        </w:rPr>
        <w:t>Keywords:</w:t>
      </w:r>
      <w:r w:rsidRPr="00D226F2">
        <w:rPr>
          <w:rFonts w:ascii="Arial" w:hAnsi="Arial" w:cs="Arial"/>
          <w:sz w:val="24"/>
          <w:szCs w:val="24"/>
        </w:rPr>
        <w:t xml:space="preserve"> genetic coefficients, crop modelling, simulation, management strategy, forecasting</w:t>
      </w:r>
    </w:p>
    <w:p w14:paraId="11470C08" w14:textId="77777777" w:rsidR="00B34789" w:rsidRPr="00D226F2" w:rsidRDefault="00B34789" w:rsidP="00B34789">
      <w:pPr>
        <w:spacing w:line="360" w:lineRule="auto"/>
        <w:jc w:val="both"/>
        <w:rPr>
          <w:rFonts w:ascii="Arial" w:hAnsi="Arial" w:cs="Arial"/>
          <w:sz w:val="24"/>
          <w:szCs w:val="24"/>
        </w:rPr>
      </w:pPr>
    </w:p>
    <w:p w14:paraId="46B28A9A" w14:textId="07E632C6" w:rsidR="008403BD" w:rsidRPr="00B34789" w:rsidRDefault="007D49D9">
      <w:pPr>
        <w:spacing w:after="160" w:line="259" w:lineRule="auto"/>
        <w:rPr>
          <w:rFonts w:ascii="Arial" w:hAnsi="Arial" w:cs="Arial"/>
          <w:b/>
          <w:sz w:val="24"/>
          <w:szCs w:val="24"/>
        </w:rPr>
      </w:pPr>
      <w:r w:rsidRPr="00B34789">
        <w:rPr>
          <w:rFonts w:ascii="Arial" w:hAnsi="Arial" w:cs="Arial"/>
          <w:b/>
          <w:sz w:val="24"/>
          <w:szCs w:val="24"/>
        </w:rPr>
        <w:br w:type="page"/>
      </w:r>
    </w:p>
    <w:p w14:paraId="25367E78" w14:textId="77777777" w:rsidR="00B34789" w:rsidRPr="00B34789" w:rsidRDefault="00B34789">
      <w:pPr>
        <w:spacing w:after="160" w:line="259" w:lineRule="auto"/>
        <w:rPr>
          <w:rFonts w:ascii="Arial" w:hAnsi="Arial" w:cs="Arial"/>
          <w:b/>
          <w:sz w:val="24"/>
          <w:szCs w:val="24"/>
        </w:rPr>
      </w:pPr>
    </w:p>
    <w:p w14:paraId="4A7C0212" w14:textId="77777777" w:rsidR="008403BD" w:rsidRDefault="007D49D9">
      <w:pPr>
        <w:rPr>
          <w:rFonts w:ascii="Arial" w:hAnsi="Arial" w:cs="Arial"/>
          <w:b/>
          <w:bCs/>
          <w:sz w:val="36"/>
          <w:szCs w:val="36"/>
          <w:lang w:val="es-US"/>
        </w:rPr>
      </w:pPr>
      <w:r>
        <w:rPr>
          <w:rFonts w:ascii="Arial" w:hAnsi="Arial" w:cs="Arial"/>
          <w:b/>
          <w:bCs/>
          <w:sz w:val="36"/>
          <w:szCs w:val="36"/>
          <w:lang w:val="es-US"/>
        </w:rPr>
        <w:t>ÍNDICE</w:t>
      </w:r>
    </w:p>
    <w:p w14:paraId="12685B5C" w14:textId="77777777" w:rsidR="008403BD" w:rsidRDefault="008403BD">
      <w:pPr>
        <w:pStyle w:val="TtuloTDC"/>
      </w:pPr>
    </w:p>
    <w:p w14:paraId="177AF2C0" w14:textId="0738BC1A" w:rsidR="00686339" w:rsidRPr="00031CD1" w:rsidRDefault="007D49D9">
      <w:pPr>
        <w:pStyle w:val="TDC1"/>
        <w:rPr>
          <w:rFonts w:eastAsiaTheme="minorEastAsia"/>
          <w:b w:val="0"/>
          <w:lang w:val="en-US"/>
        </w:rPr>
      </w:pPr>
      <w:r w:rsidRPr="00031CD1">
        <w:rPr>
          <w:b w:val="0"/>
        </w:rPr>
        <w:fldChar w:fldCharType="begin"/>
      </w:r>
      <w:r w:rsidRPr="00031CD1">
        <w:rPr>
          <w:b w:val="0"/>
        </w:rPr>
        <w:instrText xml:space="preserve"> TOC \o "1-3" \h \z \u </w:instrText>
      </w:r>
      <w:r w:rsidRPr="00031CD1">
        <w:rPr>
          <w:b w:val="0"/>
        </w:rPr>
        <w:fldChar w:fldCharType="separate"/>
      </w:r>
      <w:hyperlink w:anchor="_Toc195014944" w:history="1">
        <w:r w:rsidR="00686339" w:rsidRPr="00031CD1">
          <w:rPr>
            <w:rStyle w:val="Hipervnculo"/>
            <w:b w:val="0"/>
            <w:lang w:val="es-US"/>
          </w:rPr>
          <w:t>INTRODUCCIÓN</w:t>
        </w:r>
        <w:r w:rsidR="00686339" w:rsidRPr="00031CD1">
          <w:rPr>
            <w:b w:val="0"/>
            <w:webHidden/>
          </w:rPr>
          <w:tab/>
        </w:r>
        <w:r w:rsidR="00686339" w:rsidRPr="00031CD1">
          <w:rPr>
            <w:b w:val="0"/>
            <w:webHidden/>
          </w:rPr>
          <w:fldChar w:fldCharType="begin"/>
        </w:r>
        <w:r w:rsidR="00686339" w:rsidRPr="00031CD1">
          <w:rPr>
            <w:b w:val="0"/>
            <w:webHidden/>
          </w:rPr>
          <w:instrText xml:space="preserve"> PAGEREF _Toc195014944 \h </w:instrText>
        </w:r>
        <w:r w:rsidR="00686339" w:rsidRPr="00031CD1">
          <w:rPr>
            <w:b w:val="0"/>
            <w:webHidden/>
          </w:rPr>
        </w:r>
        <w:r w:rsidR="00686339" w:rsidRPr="00031CD1">
          <w:rPr>
            <w:b w:val="0"/>
            <w:webHidden/>
          </w:rPr>
          <w:fldChar w:fldCharType="separate"/>
        </w:r>
        <w:r w:rsidR="00073C4F">
          <w:rPr>
            <w:b w:val="0"/>
            <w:webHidden/>
          </w:rPr>
          <w:t>1</w:t>
        </w:r>
        <w:r w:rsidR="00686339" w:rsidRPr="00031CD1">
          <w:rPr>
            <w:b w:val="0"/>
            <w:webHidden/>
          </w:rPr>
          <w:fldChar w:fldCharType="end"/>
        </w:r>
      </w:hyperlink>
    </w:p>
    <w:p w14:paraId="62BF73A2" w14:textId="2ACAB5C1" w:rsidR="00686339" w:rsidRPr="00031CD1" w:rsidRDefault="00EE0D44">
      <w:pPr>
        <w:pStyle w:val="TDC1"/>
        <w:rPr>
          <w:rFonts w:eastAsiaTheme="minorEastAsia"/>
          <w:b w:val="0"/>
          <w:lang w:val="en-US"/>
        </w:rPr>
      </w:pPr>
      <w:hyperlink w:anchor="_Toc195014945" w:history="1">
        <w:r w:rsidR="00686339" w:rsidRPr="00031CD1">
          <w:rPr>
            <w:rStyle w:val="Hipervnculo"/>
            <w:b w:val="0"/>
          </w:rPr>
          <w:t>CAPITULO I</w:t>
        </w:r>
        <w:r w:rsidR="00686339" w:rsidRPr="00031CD1">
          <w:rPr>
            <w:b w:val="0"/>
            <w:webHidden/>
          </w:rPr>
          <w:tab/>
        </w:r>
        <w:r w:rsidR="00686339" w:rsidRPr="00031CD1">
          <w:rPr>
            <w:b w:val="0"/>
            <w:webHidden/>
          </w:rPr>
          <w:fldChar w:fldCharType="begin"/>
        </w:r>
        <w:r w:rsidR="00686339" w:rsidRPr="00031CD1">
          <w:rPr>
            <w:b w:val="0"/>
            <w:webHidden/>
          </w:rPr>
          <w:instrText xml:space="preserve"> PAGEREF _Toc195014945 \h </w:instrText>
        </w:r>
        <w:r w:rsidR="00686339" w:rsidRPr="00031CD1">
          <w:rPr>
            <w:b w:val="0"/>
            <w:webHidden/>
          </w:rPr>
        </w:r>
        <w:r w:rsidR="00686339" w:rsidRPr="00031CD1">
          <w:rPr>
            <w:b w:val="0"/>
            <w:webHidden/>
          </w:rPr>
          <w:fldChar w:fldCharType="separate"/>
        </w:r>
        <w:r w:rsidR="00073C4F">
          <w:rPr>
            <w:b w:val="0"/>
            <w:webHidden/>
          </w:rPr>
          <w:t>5</w:t>
        </w:r>
        <w:r w:rsidR="00686339" w:rsidRPr="00031CD1">
          <w:rPr>
            <w:b w:val="0"/>
            <w:webHidden/>
          </w:rPr>
          <w:fldChar w:fldCharType="end"/>
        </w:r>
      </w:hyperlink>
    </w:p>
    <w:p w14:paraId="65C3FD6B" w14:textId="78ACED14" w:rsidR="00686339" w:rsidRPr="00031CD1" w:rsidRDefault="00EE0D44">
      <w:pPr>
        <w:pStyle w:val="TDC2"/>
        <w:rPr>
          <w:rFonts w:eastAsiaTheme="minorEastAsia"/>
          <w:sz w:val="24"/>
          <w:szCs w:val="24"/>
          <w:lang w:val="en-US"/>
        </w:rPr>
      </w:pPr>
      <w:hyperlink w:anchor="_Toc195014946" w:history="1">
        <w:r w:rsidR="00686339" w:rsidRPr="00031CD1">
          <w:rPr>
            <w:rStyle w:val="Hipervnculo"/>
            <w:rFonts w:eastAsia="Calibri"/>
            <w:sz w:val="24"/>
            <w:szCs w:val="24"/>
            <w:lang w:val="es-ES" w:eastAsia="es-ES"/>
          </w:rPr>
          <w:t>1.1 Generalidades del tomate</w:t>
        </w:r>
        <w:r w:rsidR="00686339" w:rsidRPr="00031CD1">
          <w:rPr>
            <w:webHidden/>
            <w:sz w:val="24"/>
            <w:szCs w:val="24"/>
          </w:rPr>
          <w:tab/>
        </w:r>
        <w:r w:rsidR="00686339" w:rsidRPr="00031CD1">
          <w:rPr>
            <w:webHidden/>
            <w:sz w:val="24"/>
            <w:szCs w:val="24"/>
          </w:rPr>
          <w:fldChar w:fldCharType="begin"/>
        </w:r>
        <w:r w:rsidR="00686339" w:rsidRPr="00031CD1">
          <w:rPr>
            <w:webHidden/>
            <w:sz w:val="24"/>
            <w:szCs w:val="24"/>
          </w:rPr>
          <w:instrText xml:space="preserve"> PAGEREF _Toc195014946 \h </w:instrText>
        </w:r>
        <w:r w:rsidR="00686339" w:rsidRPr="00031CD1">
          <w:rPr>
            <w:webHidden/>
            <w:sz w:val="24"/>
            <w:szCs w:val="24"/>
          </w:rPr>
        </w:r>
        <w:r w:rsidR="00686339" w:rsidRPr="00031CD1">
          <w:rPr>
            <w:webHidden/>
            <w:sz w:val="24"/>
            <w:szCs w:val="24"/>
          </w:rPr>
          <w:fldChar w:fldCharType="separate"/>
        </w:r>
        <w:r w:rsidR="00073C4F">
          <w:rPr>
            <w:webHidden/>
            <w:sz w:val="24"/>
            <w:szCs w:val="24"/>
          </w:rPr>
          <w:t>5</w:t>
        </w:r>
        <w:r w:rsidR="00686339" w:rsidRPr="00031CD1">
          <w:rPr>
            <w:webHidden/>
            <w:sz w:val="24"/>
            <w:szCs w:val="24"/>
          </w:rPr>
          <w:fldChar w:fldCharType="end"/>
        </w:r>
      </w:hyperlink>
    </w:p>
    <w:p w14:paraId="2ADDDD78" w14:textId="09855397" w:rsidR="00686339" w:rsidRPr="00031CD1" w:rsidRDefault="00EE0D44">
      <w:pPr>
        <w:pStyle w:val="TDC3"/>
        <w:tabs>
          <w:tab w:val="right" w:leader="dot" w:pos="8828"/>
        </w:tabs>
        <w:rPr>
          <w:rFonts w:ascii="Arial" w:eastAsiaTheme="minorEastAsia" w:hAnsi="Arial" w:cs="Arial"/>
          <w:noProof/>
          <w:sz w:val="24"/>
          <w:szCs w:val="24"/>
        </w:rPr>
      </w:pPr>
      <w:hyperlink w:anchor="_Toc195014947" w:history="1">
        <w:r w:rsidR="00686339" w:rsidRPr="00031CD1">
          <w:rPr>
            <w:rStyle w:val="Hipervnculo"/>
            <w:rFonts w:ascii="Arial" w:eastAsia="Calibri" w:hAnsi="Arial" w:cs="Arial"/>
            <w:noProof/>
            <w:sz w:val="24"/>
            <w:szCs w:val="24"/>
            <w:lang w:val="es-ES" w:eastAsia="es-ES"/>
          </w:rPr>
          <w:t>1.1.1 Importancia económica y alimenticia del cultivo</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_Toc195014947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5</w:t>
        </w:r>
        <w:r w:rsidR="00686339" w:rsidRPr="00031CD1">
          <w:rPr>
            <w:rFonts w:ascii="Arial" w:hAnsi="Arial" w:cs="Arial"/>
            <w:noProof/>
            <w:webHidden/>
            <w:sz w:val="24"/>
            <w:szCs w:val="24"/>
          </w:rPr>
          <w:fldChar w:fldCharType="end"/>
        </w:r>
      </w:hyperlink>
    </w:p>
    <w:p w14:paraId="1C861824" w14:textId="08A47157" w:rsidR="00686339" w:rsidRPr="00031CD1" w:rsidRDefault="00EE0D44">
      <w:pPr>
        <w:pStyle w:val="TDC3"/>
        <w:tabs>
          <w:tab w:val="right" w:leader="dot" w:pos="8828"/>
        </w:tabs>
        <w:rPr>
          <w:rFonts w:ascii="Arial" w:eastAsiaTheme="minorEastAsia" w:hAnsi="Arial" w:cs="Arial"/>
          <w:noProof/>
          <w:sz w:val="24"/>
          <w:szCs w:val="24"/>
        </w:rPr>
      </w:pPr>
      <w:hyperlink w:anchor="_Toc195014948" w:history="1">
        <w:r w:rsidR="00686339" w:rsidRPr="00031CD1">
          <w:rPr>
            <w:rStyle w:val="Hipervnculo"/>
            <w:rFonts w:ascii="Arial" w:eastAsia="Calibri" w:hAnsi="Arial" w:cs="Arial"/>
            <w:noProof/>
            <w:sz w:val="24"/>
            <w:szCs w:val="24"/>
            <w:lang w:val="es-ES" w:eastAsia="es-ES"/>
          </w:rPr>
          <w:t>1.1.2 Morfología del cultivo</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_Toc195014948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5</w:t>
        </w:r>
        <w:r w:rsidR="00686339" w:rsidRPr="00031CD1">
          <w:rPr>
            <w:rFonts w:ascii="Arial" w:hAnsi="Arial" w:cs="Arial"/>
            <w:noProof/>
            <w:webHidden/>
            <w:sz w:val="24"/>
            <w:szCs w:val="24"/>
          </w:rPr>
          <w:fldChar w:fldCharType="end"/>
        </w:r>
      </w:hyperlink>
    </w:p>
    <w:p w14:paraId="5F58E4DC" w14:textId="47711D3D" w:rsidR="00686339" w:rsidRPr="00031CD1" w:rsidRDefault="00EE0D44">
      <w:pPr>
        <w:pStyle w:val="TDC3"/>
        <w:tabs>
          <w:tab w:val="right" w:leader="dot" w:pos="8828"/>
        </w:tabs>
        <w:rPr>
          <w:rFonts w:ascii="Arial" w:eastAsiaTheme="minorEastAsia" w:hAnsi="Arial" w:cs="Arial"/>
          <w:noProof/>
          <w:sz w:val="24"/>
          <w:szCs w:val="24"/>
        </w:rPr>
      </w:pPr>
      <w:hyperlink w:anchor="_Toc195014949" w:history="1">
        <w:r w:rsidR="00686339" w:rsidRPr="00031CD1">
          <w:rPr>
            <w:rStyle w:val="Hipervnculo"/>
            <w:rFonts w:ascii="Arial" w:eastAsia="Calibri" w:hAnsi="Arial" w:cs="Arial"/>
            <w:noProof/>
            <w:sz w:val="24"/>
            <w:szCs w:val="24"/>
            <w:lang w:val="es-ES" w:eastAsia="es-ES"/>
          </w:rPr>
          <w:t>1.1.3 Fenología del cultivo</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_Toc195014949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8</w:t>
        </w:r>
        <w:r w:rsidR="00686339" w:rsidRPr="00031CD1">
          <w:rPr>
            <w:rFonts w:ascii="Arial" w:hAnsi="Arial" w:cs="Arial"/>
            <w:noProof/>
            <w:webHidden/>
            <w:sz w:val="24"/>
            <w:szCs w:val="24"/>
          </w:rPr>
          <w:fldChar w:fldCharType="end"/>
        </w:r>
      </w:hyperlink>
    </w:p>
    <w:p w14:paraId="7050A635" w14:textId="711C9202" w:rsidR="00686339" w:rsidRPr="00031CD1" w:rsidRDefault="00EE0D44">
      <w:pPr>
        <w:pStyle w:val="TDC2"/>
        <w:rPr>
          <w:rFonts w:eastAsiaTheme="minorEastAsia"/>
          <w:sz w:val="24"/>
          <w:szCs w:val="24"/>
          <w:lang w:val="en-US"/>
        </w:rPr>
      </w:pPr>
      <w:hyperlink w:anchor="_Toc195014950" w:history="1">
        <w:r w:rsidR="00686339" w:rsidRPr="00031CD1">
          <w:rPr>
            <w:rStyle w:val="Hipervnculo"/>
            <w:rFonts w:eastAsia="Calibri"/>
            <w:sz w:val="24"/>
            <w:szCs w:val="24"/>
            <w:lang w:val="es-ES" w:eastAsia="es-ES"/>
          </w:rPr>
          <w:t>1.2 Modelos de simulación de cultivos</w:t>
        </w:r>
        <w:r w:rsidR="00686339" w:rsidRPr="00031CD1">
          <w:rPr>
            <w:webHidden/>
            <w:sz w:val="24"/>
            <w:szCs w:val="24"/>
          </w:rPr>
          <w:tab/>
        </w:r>
        <w:r w:rsidR="00686339" w:rsidRPr="00031CD1">
          <w:rPr>
            <w:webHidden/>
            <w:sz w:val="24"/>
            <w:szCs w:val="24"/>
          </w:rPr>
          <w:fldChar w:fldCharType="begin"/>
        </w:r>
        <w:r w:rsidR="00686339" w:rsidRPr="00031CD1">
          <w:rPr>
            <w:webHidden/>
            <w:sz w:val="24"/>
            <w:szCs w:val="24"/>
          </w:rPr>
          <w:instrText xml:space="preserve"> PAGEREF _Toc195014950 \h </w:instrText>
        </w:r>
        <w:r w:rsidR="00686339" w:rsidRPr="00031CD1">
          <w:rPr>
            <w:webHidden/>
            <w:sz w:val="24"/>
            <w:szCs w:val="24"/>
          </w:rPr>
        </w:r>
        <w:r w:rsidR="00686339" w:rsidRPr="00031CD1">
          <w:rPr>
            <w:webHidden/>
            <w:sz w:val="24"/>
            <w:szCs w:val="24"/>
          </w:rPr>
          <w:fldChar w:fldCharType="separate"/>
        </w:r>
        <w:r w:rsidR="00073C4F">
          <w:rPr>
            <w:webHidden/>
            <w:sz w:val="24"/>
            <w:szCs w:val="24"/>
          </w:rPr>
          <w:t>9</w:t>
        </w:r>
        <w:r w:rsidR="00686339" w:rsidRPr="00031CD1">
          <w:rPr>
            <w:webHidden/>
            <w:sz w:val="24"/>
            <w:szCs w:val="24"/>
          </w:rPr>
          <w:fldChar w:fldCharType="end"/>
        </w:r>
      </w:hyperlink>
    </w:p>
    <w:p w14:paraId="61053ABC" w14:textId="3BDF2D25" w:rsidR="00686339" w:rsidRPr="00031CD1" w:rsidRDefault="00EE0D44">
      <w:pPr>
        <w:pStyle w:val="TDC3"/>
        <w:tabs>
          <w:tab w:val="right" w:leader="dot" w:pos="8828"/>
        </w:tabs>
        <w:rPr>
          <w:rFonts w:ascii="Arial" w:eastAsiaTheme="minorEastAsia" w:hAnsi="Arial" w:cs="Arial"/>
          <w:noProof/>
          <w:sz w:val="24"/>
          <w:szCs w:val="24"/>
        </w:rPr>
      </w:pPr>
      <w:hyperlink w:anchor="_Toc195014951" w:history="1">
        <w:r w:rsidR="00686339" w:rsidRPr="00031CD1">
          <w:rPr>
            <w:rStyle w:val="Hipervnculo"/>
            <w:rFonts w:ascii="Arial" w:eastAsia="Calibri" w:hAnsi="Arial" w:cs="Arial"/>
            <w:noProof/>
            <w:sz w:val="24"/>
            <w:szCs w:val="24"/>
            <w:lang w:val="es-ES" w:eastAsia="es-ES"/>
          </w:rPr>
          <w:t>1.2.1 Modelos como herramientas para la toma de decisiones</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_Toc195014951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9</w:t>
        </w:r>
        <w:r w:rsidR="00686339" w:rsidRPr="00031CD1">
          <w:rPr>
            <w:rFonts w:ascii="Arial" w:hAnsi="Arial" w:cs="Arial"/>
            <w:noProof/>
            <w:webHidden/>
            <w:sz w:val="24"/>
            <w:szCs w:val="24"/>
          </w:rPr>
          <w:fldChar w:fldCharType="end"/>
        </w:r>
      </w:hyperlink>
    </w:p>
    <w:p w14:paraId="20AB2553" w14:textId="03F5B051" w:rsidR="00686339" w:rsidRPr="00031CD1" w:rsidRDefault="00EE0D44">
      <w:pPr>
        <w:pStyle w:val="TDC3"/>
        <w:tabs>
          <w:tab w:val="right" w:leader="dot" w:pos="8828"/>
        </w:tabs>
        <w:rPr>
          <w:rFonts w:ascii="Arial" w:eastAsiaTheme="minorEastAsia" w:hAnsi="Arial" w:cs="Arial"/>
          <w:noProof/>
          <w:sz w:val="24"/>
          <w:szCs w:val="24"/>
        </w:rPr>
      </w:pPr>
      <w:hyperlink w:anchor="_Toc195014952" w:history="1">
        <w:r w:rsidR="00686339" w:rsidRPr="00031CD1">
          <w:rPr>
            <w:rStyle w:val="Hipervnculo"/>
            <w:rFonts w:ascii="Arial" w:eastAsia="Calibri" w:hAnsi="Arial" w:cs="Arial"/>
            <w:noProof/>
            <w:sz w:val="24"/>
            <w:szCs w:val="24"/>
            <w:lang w:val="es-ES" w:eastAsia="es-ES"/>
          </w:rPr>
          <w:t>1.2.2 Calibración, validación y simulación de modelos de simulación</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_Toc195014952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11</w:t>
        </w:r>
        <w:r w:rsidR="00686339" w:rsidRPr="00031CD1">
          <w:rPr>
            <w:rFonts w:ascii="Arial" w:hAnsi="Arial" w:cs="Arial"/>
            <w:noProof/>
            <w:webHidden/>
            <w:sz w:val="24"/>
            <w:szCs w:val="24"/>
          </w:rPr>
          <w:fldChar w:fldCharType="end"/>
        </w:r>
      </w:hyperlink>
    </w:p>
    <w:p w14:paraId="60C3B1A0" w14:textId="71F2DC09" w:rsidR="00686339" w:rsidRPr="00031CD1" w:rsidRDefault="00EE0D44">
      <w:pPr>
        <w:pStyle w:val="TDC3"/>
        <w:tabs>
          <w:tab w:val="right" w:leader="dot" w:pos="8828"/>
        </w:tabs>
        <w:rPr>
          <w:rFonts w:ascii="Arial" w:eastAsiaTheme="minorEastAsia" w:hAnsi="Arial" w:cs="Arial"/>
          <w:noProof/>
          <w:sz w:val="24"/>
          <w:szCs w:val="24"/>
        </w:rPr>
      </w:pPr>
      <w:hyperlink w:anchor="_Toc195014953" w:history="1">
        <w:r w:rsidR="00686339" w:rsidRPr="00031CD1">
          <w:rPr>
            <w:rStyle w:val="Hipervnculo"/>
            <w:rFonts w:ascii="Arial" w:hAnsi="Arial" w:cs="Arial"/>
            <w:noProof/>
            <w:sz w:val="24"/>
            <w:szCs w:val="24"/>
            <w:lang w:val="es-ES"/>
          </w:rPr>
          <w:t>1.2.3 Modelo DSSAT y su empleo en tomate</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_Toc195014953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14</w:t>
        </w:r>
        <w:r w:rsidR="00686339" w:rsidRPr="00031CD1">
          <w:rPr>
            <w:rFonts w:ascii="Arial" w:hAnsi="Arial" w:cs="Arial"/>
            <w:noProof/>
            <w:webHidden/>
            <w:sz w:val="24"/>
            <w:szCs w:val="24"/>
          </w:rPr>
          <w:fldChar w:fldCharType="end"/>
        </w:r>
      </w:hyperlink>
    </w:p>
    <w:p w14:paraId="4E82241C" w14:textId="76EB589E" w:rsidR="00686339" w:rsidRPr="00031CD1" w:rsidRDefault="00EE0D44">
      <w:pPr>
        <w:pStyle w:val="TDC1"/>
        <w:rPr>
          <w:rFonts w:eastAsiaTheme="minorEastAsia"/>
          <w:b w:val="0"/>
          <w:lang w:val="en-US"/>
        </w:rPr>
      </w:pPr>
      <w:hyperlink w:anchor="_Toc195014954" w:history="1">
        <w:r w:rsidR="00686339" w:rsidRPr="00031CD1">
          <w:rPr>
            <w:rStyle w:val="Hipervnculo"/>
            <w:b w:val="0"/>
          </w:rPr>
          <w:t>CAPÍTULO II MATERIALES Y MÉTODOS</w:t>
        </w:r>
        <w:r w:rsidR="00686339" w:rsidRPr="00031CD1">
          <w:rPr>
            <w:b w:val="0"/>
            <w:webHidden/>
          </w:rPr>
          <w:tab/>
        </w:r>
        <w:r w:rsidR="00686339" w:rsidRPr="00031CD1">
          <w:rPr>
            <w:b w:val="0"/>
            <w:webHidden/>
          </w:rPr>
          <w:fldChar w:fldCharType="begin"/>
        </w:r>
        <w:r w:rsidR="00686339" w:rsidRPr="00031CD1">
          <w:rPr>
            <w:b w:val="0"/>
            <w:webHidden/>
          </w:rPr>
          <w:instrText xml:space="preserve"> PAGEREF _Toc195014954 \h </w:instrText>
        </w:r>
        <w:r w:rsidR="00686339" w:rsidRPr="00031CD1">
          <w:rPr>
            <w:b w:val="0"/>
            <w:webHidden/>
          </w:rPr>
        </w:r>
        <w:r w:rsidR="00686339" w:rsidRPr="00031CD1">
          <w:rPr>
            <w:b w:val="0"/>
            <w:webHidden/>
          </w:rPr>
          <w:fldChar w:fldCharType="separate"/>
        </w:r>
        <w:r w:rsidR="00073C4F">
          <w:rPr>
            <w:b w:val="0"/>
            <w:webHidden/>
          </w:rPr>
          <w:t>18</w:t>
        </w:r>
        <w:r w:rsidR="00686339" w:rsidRPr="00031CD1">
          <w:rPr>
            <w:b w:val="0"/>
            <w:webHidden/>
          </w:rPr>
          <w:fldChar w:fldCharType="end"/>
        </w:r>
      </w:hyperlink>
    </w:p>
    <w:p w14:paraId="71B02FF8" w14:textId="2E3E49A1" w:rsidR="00686339" w:rsidRPr="00031CD1" w:rsidRDefault="00EE0D44">
      <w:pPr>
        <w:pStyle w:val="TDC2"/>
        <w:rPr>
          <w:rFonts w:eastAsiaTheme="minorEastAsia"/>
          <w:sz w:val="24"/>
          <w:szCs w:val="24"/>
          <w:lang w:val="en-US"/>
        </w:rPr>
      </w:pPr>
      <w:hyperlink w:anchor="_Toc195014955" w:history="1">
        <w:r w:rsidR="00686339" w:rsidRPr="00031CD1">
          <w:rPr>
            <w:rStyle w:val="Hipervnculo"/>
            <w:sz w:val="24"/>
            <w:szCs w:val="24"/>
            <w:lang w:val="es-ES"/>
          </w:rPr>
          <w:t>2.1 Calibración de los coeficientes genéticos para el cultivar Elbita</w:t>
        </w:r>
        <w:r w:rsidR="00686339" w:rsidRPr="00031CD1">
          <w:rPr>
            <w:webHidden/>
            <w:sz w:val="24"/>
            <w:szCs w:val="24"/>
          </w:rPr>
          <w:tab/>
        </w:r>
        <w:r w:rsidR="00686339" w:rsidRPr="00031CD1">
          <w:rPr>
            <w:webHidden/>
            <w:sz w:val="24"/>
            <w:szCs w:val="24"/>
          </w:rPr>
          <w:fldChar w:fldCharType="begin"/>
        </w:r>
        <w:r w:rsidR="00686339" w:rsidRPr="00031CD1">
          <w:rPr>
            <w:webHidden/>
            <w:sz w:val="24"/>
            <w:szCs w:val="24"/>
          </w:rPr>
          <w:instrText xml:space="preserve"> PAGEREF _Toc195014955 \h </w:instrText>
        </w:r>
        <w:r w:rsidR="00686339" w:rsidRPr="00031CD1">
          <w:rPr>
            <w:webHidden/>
            <w:sz w:val="24"/>
            <w:szCs w:val="24"/>
          </w:rPr>
        </w:r>
        <w:r w:rsidR="00686339" w:rsidRPr="00031CD1">
          <w:rPr>
            <w:webHidden/>
            <w:sz w:val="24"/>
            <w:szCs w:val="24"/>
          </w:rPr>
          <w:fldChar w:fldCharType="separate"/>
        </w:r>
        <w:r w:rsidR="00073C4F">
          <w:rPr>
            <w:webHidden/>
            <w:sz w:val="24"/>
            <w:szCs w:val="24"/>
          </w:rPr>
          <w:t>18</w:t>
        </w:r>
        <w:r w:rsidR="00686339" w:rsidRPr="00031CD1">
          <w:rPr>
            <w:webHidden/>
            <w:sz w:val="24"/>
            <w:szCs w:val="24"/>
          </w:rPr>
          <w:fldChar w:fldCharType="end"/>
        </w:r>
      </w:hyperlink>
    </w:p>
    <w:p w14:paraId="0F2D2938" w14:textId="352BB9CD" w:rsidR="00686339" w:rsidRPr="00031CD1" w:rsidRDefault="00EE0D44">
      <w:pPr>
        <w:pStyle w:val="TDC3"/>
        <w:tabs>
          <w:tab w:val="right" w:leader="dot" w:pos="8828"/>
        </w:tabs>
        <w:rPr>
          <w:rFonts w:ascii="Arial" w:eastAsiaTheme="minorEastAsia" w:hAnsi="Arial" w:cs="Arial"/>
          <w:noProof/>
          <w:sz w:val="24"/>
          <w:szCs w:val="24"/>
        </w:rPr>
      </w:pPr>
      <w:hyperlink w:anchor="_Toc195014956" w:history="1">
        <w:r w:rsidR="00686339" w:rsidRPr="00031CD1">
          <w:rPr>
            <w:rStyle w:val="Hipervnculo"/>
            <w:rFonts w:ascii="Arial" w:hAnsi="Arial" w:cs="Arial"/>
            <w:noProof/>
            <w:sz w:val="24"/>
            <w:szCs w:val="24"/>
          </w:rPr>
          <w:t>2.1.1 Recolección de los datos</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_Toc195014956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20</w:t>
        </w:r>
        <w:r w:rsidR="00686339" w:rsidRPr="00031CD1">
          <w:rPr>
            <w:rFonts w:ascii="Arial" w:hAnsi="Arial" w:cs="Arial"/>
            <w:noProof/>
            <w:webHidden/>
            <w:sz w:val="24"/>
            <w:szCs w:val="24"/>
          </w:rPr>
          <w:fldChar w:fldCharType="end"/>
        </w:r>
      </w:hyperlink>
    </w:p>
    <w:p w14:paraId="52930104" w14:textId="003CF155" w:rsidR="00686339" w:rsidRPr="00031CD1" w:rsidRDefault="00EE0D44">
      <w:pPr>
        <w:pStyle w:val="TDC3"/>
        <w:tabs>
          <w:tab w:val="right" w:leader="dot" w:pos="8828"/>
        </w:tabs>
        <w:rPr>
          <w:rFonts w:ascii="Arial" w:eastAsiaTheme="minorEastAsia" w:hAnsi="Arial" w:cs="Arial"/>
          <w:noProof/>
          <w:sz w:val="24"/>
          <w:szCs w:val="24"/>
        </w:rPr>
      </w:pPr>
      <w:hyperlink w:anchor="_Toc195014957" w:history="1">
        <w:r w:rsidR="00686339" w:rsidRPr="00031CD1">
          <w:rPr>
            <w:rStyle w:val="Hipervnculo"/>
            <w:rFonts w:ascii="Arial" w:hAnsi="Arial" w:cs="Arial"/>
            <w:noProof/>
            <w:sz w:val="24"/>
            <w:szCs w:val="24"/>
            <w:lang w:val="es-ES"/>
          </w:rPr>
          <w:t>2.1.2 Preparación de los ficheros de entrada</w:t>
        </w:r>
        <w:r w:rsidR="00686339" w:rsidRPr="00031CD1">
          <w:rPr>
            <w:rFonts w:ascii="Arial" w:hAnsi="Arial" w:cs="Arial"/>
            <w:noProof/>
            <w:webHidden/>
            <w:sz w:val="24"/>
            <w:szCs w:val="24"/>
          </w:rPr>
          <w:tab/>
        </w:r>
        <w:r w:rsidR="00686339" w:rsidRPr="00031CD1">
          <w:rPr>
            <w:rFonts w:ascii="Arial" w:hAnsi="Arial" w:cs="Arial"/>
            <w:noProof/>
            <w:webHidden/>
            <w:sz w:val="24"/>
            <w:szCs w:val="24"/>
          </w:rPr>
          <w:fldChar w:fldCharType="begin"/>
        </w:r>
        <w:r w:rsidR="00686339" w:rsidRPr="00031CD1">
          <w:rPr>
            <w:rFonts w:ascii="Arial" w:hAnsi="Arial" w:cs="Arial"/>
            <w:noProof/>
            <w:webHidden/>
            <w:sz w:val="24"/>
            <w:szCs w:val="24"/>
          </w:rPr>
          <w:instrText xml:space="preserve"> PAGEREF _Toc195014957 \h </w:instrText>
        </w:r>
        <w:r w:rsidR="00686339" w:rsidRPr="00031CD1">
          <w:rPr>
            <w:rFonts w:ascii="Arial" w:hAnsi="Arial" w:cs="Arial"/>
            <w:noProof/>
            <w:webHidden/>
            <w:sz w:val="24"/>
            <w:szCs w:val="24"/>
          </w:rPr>
        </w:r>
        <w:r w:rsidR="00686339" w:rsidRPr="00031CD1">
          <w:rPr>
            <w:rFonts w:ascii="Arial" w:hAnsi="Arial" w:cs="Arial"/>
            <w:noProof/>
            <w:webHidden/>
            <w:sz w:val="24"/>
            <w:szCs w:val="24"/>
          </w:rPr>
          <w:fldChar w:fldCharType="separate"/>
        </w:r>
        <w:r w:rsidR="00073C4F">
          <w:rPr>
            <w:rFonts w:ascii="Arial" w:hAnsi="Arial" w:cs="Arial"/>
            <w:noProof/>
            <w:webHidden/>
            <w:sz w:val="24"/>
            <w:szCs w:val="24"/>
          </w:rPr>
          <w:t>20</w:t>
        </w:r>
        <w:r w:rsidR="00686339" w:rsidRPr="00031CD1">
          <w:rPr>
            <w:rFonts w:ascii="Arial" w:hAnsi="Arial" w:cs="Arial"/>
            <w:noProof/>
            <w:webHidden/>
            <w:sz w:val="24"/>
            <w:szCs w:val="24"/>
          </w:rPr>
          <w:fldChar w:fldCharType="end"/>
        </w:r>
      </w:hyperlink>
    </w:p>
    <w:p w14:paraId="6C9ACEB7" w14:textId="36C6FD58" w:rsidR="00686339" w:rsidRPr="00031CD1" w:rsidRDefault="00EE0D44">
      <w:pPr>
        <w:pStyle w:val="TDC2"/>
        <w:rPr>
          <w:rFonts w:eastAsiaTheme="minorEastAsia"/>
          <w:sz w:val="24"/>
          <w:szCs w:val="24"/>
          <w:lang w:val="en-US"/>
        </w:rPr>
      </w:pPr>
      <w:hyperlink w:anchor="_Toc195014958" w:history="1">
        <w:r w:rsidR="00686339" w:rsidRPr="00031CD1">
          <w:rPr>
            <w:rStyle w:val="Hipervnculo"/>
            <w:sz w:val="24"/>
            <w:szCs w:val="24"/>
            <w:lang w:val="es-ES"/>
          </w:rPr>
          <w:t>2.2 Parámetros relacionados con el crecimiento y producción en tomate</w:t>
        </w:r>
        <w:r w:rsidR="00686339" w:rsidRPr="00031CD1">
          <w:rPr>
            <w:webHidden/>
            <w:sz w:val="24"/>
            <w:szCs w:val="24"/>
          </w:rPr>
          <w:tab/>
        </w:r>
        <w:r w:rsidR="00686339" w:rsidRPr="00031CD1">
          <w:rPr>
            <w:webHidden/>
            <w:sz w:val="24"/>
            <w:szCs w:val="24"/>
          </w:rPr>
          <w:fldChar w:fldCharType="begin"/>
        </w:r>
        <w:r w:rsidR="00686339" w:rsidRPr="00031CD1">
          <w:rPr>
            <w:webHidden/>
            <w:sz w:val="24"/>
            <w:szCs w:val="24"/>
          </w:rPr>
          <w:instrText xml:space="preserve"> PAGEREF _Toc195014958 \h </w:instrText>
        </w:r>
        <w:r w:rsidR="00686339" w:rsidRPr="00031CD1">
          <w:rPr>
            <w:webHidden/>
            <w:sz w:val="24"/>
            <w:szCs w:val="24"/>
          </w:rPr>
        </w:r>
        <w:r w:rsidR="00686339" w:rsidRPr="00031CD1">
          <w:rPr>
            <w:webHidden/>
            <w:sz w:val="24"/>
            <w:szCs w:val="24"/>
          </w:rPr>
          <w:fldChar w:fldCharType="separate"/>
        </w:r>
        <w:r w:rsidR="00073C4F">
          <w:rPr>
            <w:webHidden/>
            <w:sz w:val="24"/>
            <w:szCs w:val="24"/>
          </w:rPr>
          <w:t>24</w:t>
        </w:r>
        <w:r w:rsidR="00686339" w:rsidRPr="00031CD1">
          <w:rPr>
            <w:webHidden/>
            <w:sz w:val="24"/>
            <w:szCs w:val="24"/>
          </w:rPr>
          <w:fldChar w:fldCharType="end"/>
        </w:r>
      </w:hyperlink>
    </w:p>
    <w:p w14:paraId="09F941A3" w14:textId="7F391E27" w:rsidR="00686339" w:rsidRPr="00031CD1" w:rsidRDefault="00EE0D44">
      <w:pPr>
        <w:pStyle w:val="TDC1"/>
        <w:rPr>
          <w:rFonts w:eastAsiaTheme="minorEastAsia"/>
          <w:b w:val="0"/>
          <w:lang w:val="en-US"/>
        </w:rPr>
      </w:pPr>
      <w:hyperlink w:anchor="_Toc195014959" w:history="1">
        <w:r w:rsidR="00686339" w:rsidRPr="00031CD1">
          <w:rPr>
            <w:rStyle w:val="Hipervnculo"/>
            <w:b w:val="0"/>
            <w:lang w:val="es-ES"/>
          </w:rPr>
          <w:t>CAPÍTULO III RESULTADOS Y DISCUSIÓN</w:t>
        </w:r>
        <w:r w:rsidR="00686339" w:rsidRPr="00031CD1">
          <w:rPr>
            <w:b w:val="0"/>
            <w:webHidden/>
          </w:rPr>
          <w:tab/>
        </w:r>
        <w:r w:rsidR="00686339" w:rsidRPr="00031CD1">
          <w:rPr>
            <w:b w:val="0"/>
            <w:webHidden/>
          </w:rPr>
          <w:fldChar w:fldCharType="begin"/>
        </w:r>
        <w:r w:rsidR="00686339" w:rsidRPr="00031CD1">
          <w:rPr>
            <w:b w:val="0"/>
            <w:webHidden/>
          </w:rPr>
          <w:instrText xml:space="preserve"> PAGEREF _Toc195014959 \h </w:instrText>
        </w:r>
        <w:r w:rsidR="00686339" w:rsidRPr="00031CD1">
          <w:rPr>
            <w:b w:val="0"/>
            <w:webHidden/>
          </w:rPr>
        </w:r>
        <w:r w:rsidR="00686339" w:rsidRPr="00031CD1">
          <w:rPr>
            <w:b w:val="0"/>
            <w:webHidden/>
          </w:rPr>
          <w:fldChar w:fldCharType="separate"/>
        </w:r>
        <w:r w:rsidR="00073C4F">
          <w:rPr>
            <w:b w:val="0"/>
            <w:webHidden/>
          </w:rPr>
          <w:t>25</w:t>
        </w:r>
        <w:r w:rsidR="00686339" w:rsidRPr="00031CD1">
          <w:rPr>
            <w:b w:val="0"/>
            <w:webHidden/>
          </w:rPr>
          <w:fldChar w:fldCharType="end"/>
        </w:r>
      </w:hyperlink>
    </w:p>
    <w:p w14:paraId="3A57C722" w14:textId="2C78460D" w:rsidR="00686339" w:rsidRPr="00031CD1" w:rsidRDefault="00EE0D44">
      <w:pPr>
        <w:pStyle w:val="TDC2"/>
        <w:rPr>
          <w:rFonts w:eastAsiaTheme="minorEastAsia"/>
          <w:sz w:val="24"/>
          <w:szCs w:val="24"/>
          <w:lang w:val="en-US"/>
        </w:rPr>
      </w:pPr>
      <w:hyperlink w:anchor="_Toc195014960" w:history="1">
        <w:r w:rsidR="00686339" w:rsidRPr="00031CD1">
          <w:rPr>
            <w:rStyle w:val="Hipervnculo"/>
            <w:sz w:val="24"/>
            <w:szCs w:val="24"/>
            <w:lang w:val="es-ES"/>
          </w:rPr>
          <w:t>3.1 Calibración de los coeficientes genéticos para el cultivar Elbita</w:t>
        </w:r>
        <w:r w:rsidR="00686339" w:rsidRPr="00031CD1">
          <w:rPr>
            <w:webHidden/>
            <w:sz w:val="24"/>
            <w:szCs w:val="24"/>
          </w:rPr>
          <w:tab/>
        </w:r>
        <w:r w:rsidR="00686339" w:rsidRPr="00031CD1">
          <w:rPr>
            <w:webHidden/>
            <w:sz w:val="24"/>
            <w:szCs w:val="24"/>
          </w:rPr>
          <w:fldChar w:fldCharType="begin"/>
        </w:r>
        <w:r w:rsidR="00686339" w:rsidRPr="00031CD1">
          <w:rPr>
            <w:webHidden/>
            <w:sz w:val="24"/>
            <w:szCs w:val="24"/>
          </w:rPr>
          <w:instrText xml:space="preserve"> PAGEREF _Toc195014960 \h </w:instrText>
        </w:r>
        <w:r w:rsidR="00686339" w:rsidRPr="00031CD1">
          <w:rPr>
            <w:webHidden/>
            <w:sz w:val="24"/>
            <w:szCs w:val="24"/>
          </w:rPr>
        </w:r>
        <w:r w:rsidR="00686339" w:rsidRPr="00031CD1">
          <w:rPr>
            <w:webHidden/>
            <w:sz w:val="24"/>
            <w:szCs w:val="24"/>
          </w:rPr>
          <w:fldChar w:fldCharType="separate"/>
        </w:r>
        <w:r w:rsidR="00073C4F">
          <w:rPr>
            <w:webHidden/>
            <w:sz w:val="24"/>
            <w:szCs w:val="24"/>
          </w:rPr>
          <w:t>25</w:t>
        </w:r>
        <w:r w:rsidR="00686339" w:rsidRPr="00031CD1">
          <w:rPr>
            <w:webHidden/>
            <w:sz w:val="24"/>
            <w:szCs w:val="24"/>
          </w:rPr>
          <w:fldChar w:fldCharType="end"/>
        </w:r>
      </w:hyperlink>
    </w:p>
    <w:p w14:paraId="547F30AD" w14:textId="124C1376" w:rsidR="00686339" w:rsidRPr="00031CD1" w:rsidRDefault="00EE0D44">
      <w:pPr>
        <w:pStyle w:val="TDC2"/>
        <w:rPr>
          <w:rFonts w:eastAsiaTheme="minorEastAsia"/>
          <w:sz w:val="24"/>
          <w:szCs w:val="24"/>
          <w:lang w:val="en-US"/>
        </w:rPr>
      </w:pPr>
      <w:hyperlink w:anchor="_Toc195014961" w:history="1">
        <w:r w:rsidR="00686339" w:rsidRPr="00031CD1">
          <w:rPr>
            <w:rStyle w:val="Hipervnculo"/>
            <w:sz w:val="24"/>
            <w:szCs w:val="24"/>
            <w:lang w:val="es-ES"/>
          </w:rPr>
          <w:t>3.2 Parámetros relacionados con el crecimiento y producción en tomate</w:t>
        </w:r>
        <w:r w:rsidR="00686339" w:rsidRPr="00031CD1">
          <w:rPr>
            <w:webHidden/>
            <w:sz w:val="24"/>
            <w:szCs w:val="24"/>
          </w:rPr>
          <w:tab/>
        </w:r>
        <w:r w:rsidR="00686339" w:rsidRPr="00031CD1">
          <w:rPr>
            <w:webHidden/>
            <w:sz w:val="24"/>
            <w:szCs w:val="24"/>
          </w:rPr>
          <w:fldChar w:fldCharType="begin"/>
        </w:r>
        <w:r w:rsidR="00686339" w:rsidRPr="00031CD1">
          <w:rPr>
            <w:webHidden/>
            <w:sz w:val="24"/>
            <w:szCs w:val="24"/>
          </w:rPr>
          <w:instrText xml:space="preserve"> PAGEREF _Toc195014961 \h </w:instrText>
        </w:r>
        <w:r w:rsidR="00686339" w:rsidRPr="00031CD1">
          <w:rPr>
            <w:webHidden/>
            <w:sz w:val="24"/>
            <w:szCs w:val="24"/>
          </w:rPr>
        </w:r>
        <w:r w:rsidR="00686339" w:rsidRPr="00031CD1">
          <w:rPr>
            <w:webHidden/>
            <w:sz w:val="24"/>
            <w:szCs w:val="24"/>
          </w:rPr>
          <w:fldChar w:fldCharType="separate"/>
        </w:r>
        <w:r w:rsidR="00073C4F">
          <w:rPr>
            <w:webHidden/>
            <w:sz w:val="24"/>
            <w:szCs w:val="24"/>
          </w:rPr>
          <w:t>32</w:t>
        </w:r>
        <w:r w:rsidR="00686339" w:rsidRPr="00031CD1">
          <w:rPr>
            <w:webHidden/>
            <w:sz w:val="24"/>
            <w:szCs w:val="24"/>
          </w:rPr>
          <w:fldChar w:fldCharType="end"/>
        </w:r>
      </w:hyperlink>
    </w:p>
    <w:p w14:paraId="2E7B4812" w14:textId="2DC1D783" w:rsidR="00686339" w:rsidRPr="00031CD1" w:rsidRDefault="00EE0D44">
      <w:pPr>
        <w:pStyle w:val="TDC1"/>
        <w:rPr>
          <w:rFonts w:eastAsiaTheme="minorEastAsia"/>
          <w:b w:val="0"/>
          <w:lang w:val="en-US"/>
        </w:rPr>
      </w:pPr>
      <w:hyperlink w:anchor="_Toc195014962" w:history="1">
        <w:r w:rsidR="00686339" w:rsidRPr="00031CD1">
          <w:rPr>
            <w:rStyle w:val="Hipervnculo"/>
            <w:b w:val="0"/>
            <w:lang w:val="es-ES"/>
          </w:rPr>
          <w:t>CONCLUSIONES</w:t>
        </w:r>
        <w:r w:rsidR="00686339" w:rsidRPr="00031CD1">
          <w:rPr>
            <w:b w:val="0"/>
            <w:webHidden/>
          </w:rPr>
          <w:tab/>
        </w:r>
        <w:r w:rsidR="00686339" w:rsidRPr="00031CD1">
          <w:rPr>
            <w:b w:val="0"/>
            <w:webHidden/>
          </w:rPr>
          <w:fldChar w:fldCharType="begin"/>
        </w:r>
        <w:r w:rsidR="00686339" w:rsidRPr="00031CD1">
          <w:rPr>
            <w:b w:val="0"/>
            <w:webHidden/>
          </w:rPr>
          <w:instrText xml:space="preserve"> PAGEREF _Toc195014962 \h </w:instrText>
        </w:r>
        <w:r w:rsidR="00686339" w:rsidRPr="00031CD1">
          <w:rPr>
            <w:b w:val="0"/>
            <w:webHidden/>
          </w:rPr>
        </w:r>
        <w:r w:rsidR="00686339" w:rsidRPr="00031CD1">
          <w:rPr>
            <w:b w:val="0"/>
            <w:webHidden/>
          </w:rPr>
          <w:fldChar w:fldCharType="separate"/>
        </w:r>
        <w:r w:rsidR="00073C4F">
          <w:rPr>
            <w:b w:val="0"/>
            <w:webHidden/>
          </w:rPr>
          <w:t>41</w:t>
        </w:r>
        <w:r w:rsidR="00686339" w:rsidRPr="00031CD1">
          <w:rPr>
            <w:b w:val="0"/>
            <w:webHidden/>
          </w:rPr>
          <w:fldChar w:fldCharType="end"/>
        </w:r>
      </w:hyperlink>
    </w:p>
    <w:p w14:paraId="4A88B19B" w14:textId="36C3120B" w:rsidR="00686339" w:rsidRPr="00031CD1" w:rsidRDefault="00EE0D44">
      <w:pPr>
        <w:pStyle w:val="TDC1"/>
        <w:rPr>
          <w:rFonts w:eastAsiaTheme="minorEastAsia"/>
          <w:b w:val="0"/>
          <w:lang w:val="en-US"/>
        </w:rPr>
      </w:pPr>
      <w:hyperlink w:anchor="_Toc195014963" w:history="1">
        <w:r w:rsidR="00686339" w:rsidRPr="00031CD1">
          <w:rPr>
            <w:rStyle w:val="Hipervnculo"/>
            <w:b w:val="0"/>
            <w:lang w:val="es-ES"/>
          </w:rPr>
          <w:t>RECOMENDACIONES</w:t>
        </w:r>
        <w:r w:rsidR="00686339" w:rsidRPr="00031CD1">
          <w:rPr>
            <w:b w:val="0"/>
            <w:webHidden/>
          </w:rPr>
          <w:tab/>
        </w:r>
        <w:r w:rsidR="00686339" w:rsidRPr="00031CD1">
          <w:rPr>
            <w:b w:val="0"/>
            <w:webHidden/>
          </w:rPr>
          <w:fldChar w:fldCharType="begin"/>
        </w:r>
        <w:r w:rsidR="00686339" w:rsidRPr="00031CD1">
          <w:rPr>
            <w:b w:val="0"/>
            <w:webHidden/>
          </w:rPr>
          <w:instrText xml:space="preserve"> PAGEREF _Toc195014963 \h </w:instrText>
        </w:r>
        <w:r w:rsidR="00686339" w:rsidRPr="00031CD1">
          <w:rPr>
            <w:b w:val="0"/>
            <w:webHidden/>
          </w:rPr>
        </w:r>
        <w:r w:rsidR="00686339" w:rsidRPr="00031CD1">
          <w:rPr>
            <w:b w:val="0"/>
            <w:webHidden/>
          </w:rPr>
          <w:fldChar w:fldCharType="separate"/>
        </w:r>
        <w:r w:rsidR="00073C4F">
          <w:rPr>
            <w:b w:val="0"/>
            <w:webHidden/>
          </w:rPr>
          <w:t>42</w:t>
        </w:r>
        <w:r w:rsidR="00686339" w:rsidRPr="00031CD1">
          <w:rPr>
            <w:b w:val="0"/>
            <w:webHidden/>
          </w:rPr>
          <w:fldChar w:fldCharType="end"/>
        </w:r>
      </w:hyperlink>
    </w:p>
    <w:p w14:paraId="791263B1" w14:textId="07201AFF" w:rsidR="00686339" w:rsidRPr="00031CD1" w:rsidRDefault="00EE0D44">
      <w:pPr>
        <w:pStyle w:val="TDC1"/>
        <w:rPr>
          <w:rFonts w:eastAsiaTheme="minorEastAsia"/>
          <w:b w:val="0"/>
          <w:lang w:val="en-US"/>
        </w:rPr>
      </w:pPr>
      <w:hyperlink w:anchor="_Toc195014964" w:history="1">
        <w:r w:rsidR="00686339" w:rsidRPr="00031CD1">
          <w:rPr>
            <w:rStyle w:val="Hipervnculo"/>
            <w:b w:val="0"/>
          </w:rPr>
          <w:t>REFERENCIAS BIBLIOGRÁFICAS</w:t>
        </w:r>
        <w:r w:rsidR="00686339" w:rsidRPr="00031CD1">
          <w:rPr>
            <w:b w:val="0"/>
            <w:webHidden/>
          </w:rPr>
          <w:tab/>
        </w:r>
        <w:r w:rsidR="00686339" w:rsidRPr="00031CD1">
          <w:rPr>
            <w:b w:val="0"/>
            <w:webHidden/>
          </w:rPr>
          <w:fldChar w:fldCharType="begin"/>
        </w:r>
        <w:r w:rsidR="00686339" w:rsidRPr="00031CD1">
          <w:rPr>
            <w:b w:val="0"/>
            <w:webHidden/>
          </w:rPr>
          <w:instrText xml:space="preserve"> PAGEREF _Toc195014964 \h </w:instrText>
        </w:r>
        <w:r w:rsidR="00686339" w:rsidRPr="00031CD1">
          <w:rPr>
            <w:b w:val="0"/>
            <w:webHidden/>
          </w:rPr>
        </w:r>
        <w:r w:rsidR="00686339" w:rsidRPr="00031CD1">
          <w:rPr>
            <w:b w:val="0"/>
            <w:webHidden/>
          </w:rPr>
          <w:fldChar w:fldCharType="separate"/>
        </w:r>
        <w:r w:rsidR="00073C4F">
          <w:rPr>
            <w:b w:val="0"/>
            <w:webHidden/>
          </w:rPr>
          <w:t>43</w:t>
        </w:r>
        <w:r w:rsidR="00686339" w:rsidRPr="00031CD1">
          <w:rPr>
            <w:b w:val="0"/>
            <w:webHidden/>
          </w:rPr>
          <w:fldChar w:fldCharType="end"/>
        </w:r>
      </w:hyperlink>
    </w:p>
    <w:p w14:paraId="51877C14" w14:textId="567CA401" w:rsidR="00686339" w:rsidRPr="00031CD1" w:rsidRDefault="00EE0D44">
      <w:pPr>
        <w:pStyle w:val="TDC1"/>
        <w:rPr>
          <w:rFonts w:eastAsiaTheme="minorEastAsia"/>
          <w:b w:val="0"/>
          <w:lang w:val="en-US"/>
        </w:rPr>
      </w:pPr>
      <w:hyperlink w:anchor="_Toc195014965" w:history="1">
        <w:r w:rsidR="00686339" w:rsidRPr="00031CD1">
          <w:rPr>
            <w:rStyle w:val="Hipervnculo"/>
            <w:b w:val="0"/>
          </w:rPr>
          <w:t>ANEXOS</w:t>
        </w:r>
      </w:hyperlink>
    </w:p>
    <w:p w14:paraId="383E3917" w14:textId="4A82D039" w:rsidR="008403BD" w:rsidRDefault="007D49D9">
      <w:r w:rsidRPr="00031CD1">
        <w:rPr>
          <w:rFonts w:ascii="Arial" w:hAnsi="Arial" w:cs="Arial"/>
          <w:bCs/>
          <w:sz w:val="24"/>
          <w:szCs w:val="24"/>
          <w:lang w:val="es-ES"/>
        </w:rPr>
        <w:fldChar w:fldCharType="end"/>
      </w:r>
    </w:p>
    <w:p w14:paraId="4620F069" w14:textId="77777777" w:rsidR="008403BD" w:rsidRDefault="007D49D9">
      <w:pPr>
        <w:spacing w:after="160" w:line="259" w:lineRule="auto"/>
        <w:rPr>
          <w:rFonts w:ascii="Arial" w:hAnsi="Arial" w:cs="Arial"/>
          <w:b/>
          <w:bCs/>
          <w:sz w:val="36"/>
          <w:szCs w:val="36"/>
          <w:lang w:val="es-US"/>
        </w:rPr>
        <w:sectPr w:rsidR="008403BD">
          <w:footerReference w:type="default" r:id="rId11"/>
          <w:pgSz w:w="12240" w:h="15840"/>
          <w:pgMar w:top="1417" w:right="1701" w:bottom="1417" w:left="1701" w:header="708" w:footer="708" w:gutter="0"/>
          <w:cols w:space="708"/>
          <w:docGrid w:linePitch="360"/>
        </w:sectPr>
      </w:pPr>
      <w:r>
        <w:rPr>
          <w:rFonts w:ascii="Arial" w:hAnsi="Arial" w:cs="Arial"/>
          <w:b/>
          <w:bCs/>
          <w:sz w:val="36"/>
          <w:szCs w:val="36"/>
          <w:lang w:val="es-US"/>
        </w:rPr>
        <w:br w:type="page"/>
      </w:r>
    </w:p>
    <w:p w14:paraId="78B3C9CD" w14:textId="77777777" w:rsidR="008403BD" w:rsidRDefault="007D49D9">
      <w:pPr>
        <w:pStyle w:val="Ttulo1"/>
        <w:rPr>
          <w:lang w:val="es-US"/>
        </w:rPr>
      </w:pPr>
      <w:bookmarkStart w:id="1" w:name="_Toc195014944"/>
      <w:r>
        <w:rPr>
          <w:lang w:val="es-US"/>
        </w:rPr>
        <w:lastRenderedPageBreak/>
        <w:t>INTRODUCCIÓN</w:t>
      </w:r>
      <w:bookmarkEnd w:id="0"/>
      <w:bookmarkEnd w:id="1"/>
    </w:p>
    <w:p w14:paraId="2451BFA0" w14:textId="77777777" w:rsidR="008403BD" w:rsidRDefault="008403BD">
      <w:pPr>
        <w:autoSpaceDE w:val="0"/>
        <w:autoSpaceDN w:val="0"/>
        <w:adjustRightInd w:val="0"/>
        <w:spacing w:before="120" w:after="0" w:line="360" w:lineRule="auto"/>
        <w:jc w:val="both"/>
        <w:rPr>
          <w:rFonts w:ascii="Arial" w:hAnsi="Arial" w:cs="Arial"/>
          <w:sz w:val="24"/>
          <w:szCs w:val="24"/>
          <w:lang w:val="es-US"/>
        </w:rPr>
      </w:pPr>
    </w:p>
    <w:p w14:paraId="6F31243B" w14:textId="6F2612DE"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eastAsia="Calibri" w:hAnsi="Arial" w:cs="Arial"/>
          <w:color w:val="000000"/>
          <w:sz w:val="24"/>
          <w:szCs w:val="24"/>
          <w:lang w:val="es-ES"/>
        </w:rPr>
        <w:t>El tomate (</w:t>
      </w:r>
      <w:proofErr w:type="spellStart"/>
      <w:r>
        <w:rPr>
          <w:rFonts w:ascii="Arial" w:eastAsia="Calibri" w:hAnsi="Arial" w:cs="Arial"/>
          <w:i/>
          <w:color w:val="000000"/>
          <w:sz w:val="24"/>
          <w:szCs w:val="24"/>
          <w:lang w:val="es-ES"/>
        </w:rPr>
        <w:t>Solanum</w:t>
      </w:r>
      <w:proofErr w:type="spellEnd"/>
      <w:r>
        <w:rPr>
          <w:rFonts w:ascii="Arial" w:eastAsia="Calibri" w:hAnsi="Arial" w:cs="Arial"/>
          <w:i/>
          <w:color w:val="000000"/>
          <w:sz w:val="24"/>
          <w:szCs w:val="24"/>
          <w:lang w:val="es-ES"/>
        </w:rPr>
        <w:t xml:space="preserve"> </w:t>
      </w:r>
      <w:proofErr w:type="spellStart"/>
      <w:r>
        <w:rPr>
          <w:rFonts w:ascii="Arial" w:eastAsia="Calibri" w:hAnsi="Arial" w:cs="Arial"/>
          <w:i/>
          <w:color w:val="000000"/>
          <w:sz w:val="24"/>
          <w:szCs w:val="24"/>
          <w:lang w:val="es-ES"/>
        </w:rPr>
        <w:t>lycopersicum</w:t>
      </w:r>
      <w:proofErr w:type="spellEnd"/>
      <w:r>
        <w:rPr>
          <w:rFonts w:ascii="Arial" w:eastAsia="Calibri" w:hAnsi="Arial" w:cs="Arial"/>
          <w:i/>
          <w:color w:val="000000"/>
          <w:sz w:val="24"/>
          <w:szCs w:val="24"/>
          <w:lang w:val="es-ES"/>
        </w:rPr>
        <w:t xml:space="preserve"> </w:t>
      </w:r>
      <w:r>
        <w:rPr>
          <w:rFonts w:ascii="Arial" w:eastAsia="Calibri" w:hAnsi="Arial" w:cs="Arial"/>
          <w:color w:val="000000"/>
          <w:sz w:val="24"/>
          <w:szCs w:val="24"/>
          <w:lang w:val="es-ES"/>
        </w:rPr>
        <w:t xml:space="preserve">L.) constituye la segunda especie de importancia dentro del género </w:t>
      </w:r>
      <w:proofErr w:type="spellStart"/>
      <w:r>
        <w:rPr>
          <w:rFonts w:ascii="Arial" w:eastAsia="Calibri" w:hAnsi="Arial" w:cs="Arial"/>
          <w:i/>
          <w:color w:val="000000"/>
          <w:sz w:val="24"/>
          <w:szCs w:val="24"/>
          <w:lang w:val="es-ES"/>
        </w:rPr>
        <w:t>Solanum</w:t>
      </w:r>
      <w:proofErr w:type="spellEnd"/>
      <w:r>
        <w:rPr>
          <w:rFonts w:ascii="Arial" w:eastAsia="Calibri" w:hAnsi="Arial" w:cs="Arial"/>
          <w:i/>
          <w:color w:val="000000"/>
          <w:sz w:val="24"/>
          <w:szCs w:val="24"/>
          <w:lang w:val="es-ES"/>
        </w:rPr>
        <w:t xml:space="preserve"> </w:t>
      </w:r>
      <w:proofErr w:type="spellStart"/>
      <w:r>
        <w:rPr>
          <w:rFonts w:ascii="Arial" w:eastAsia="Calibri" w:hAnsi="Arial" w:cs="Arial"/>
          <w:color w:val="000000"/>
          <w:sz w:val="24"/>
          <w:szCs w:val="24"/>
          <w:lang w:val="es-ES"/>
        </w:rPr>
        <w:t>spp</w:t>
      </w:r>
      <w:proofErr w:type="spellEnd"/>
      <w:r>
        <w:rPr>
          <w:rFonts w:ascii="Arial" w:eastAsia="Calibri" w:hAnsi="Arial" w:cs="Arial"/>
          <w:color w:val="000000"/>
          <w:sz w:val="24"/>
          <w:szCs w:val="24"/>
          <w:lang w:val="es-ES"/>
        </w:rPr>
        <w:t>., por su papel en los hábitos alimenticios de gran parte de la población mundial</w:t>
      </w:r>
      <w:r w:rsidR="00E15CA3">
        <w:rPr>
          <w:rFonts w:ascii="Arial" w:eastAsia="Calibri" w:hAnsi="Arial" w:cs="Arial"/>
          <w:color w:val="000000"/>
          <w:sz w:val="24"/>
          <w:szCs w:val="24"/>
          <w:lang w:val="es-ES"/>
        </w:rPr>
        <w:t xml:space="preserve"> </w:t>
      </w:r>
      <w:r>
        <w:rPr>
          <w:rFonts w:ascii="Arial" w:eastAsia="Calibri" w:hAnsi="Arial" w:cs="Arial"/>
          <w:color w:val="000000"/>
          <w:sz w:val="24"/>
          <w:szCs w:val="24"/>
          <w:lang w:val="es-ES"/>
        </w:rPr>
        <w:fldChar w:fldCharType="begin"/>
      </w:r>
      <w:r w:rsidR="00264B2F">
        <w:rPr>
          <w:rFonts w:ascii="Arial" w:eastAsia="Calibri" w:hAnsi="Arial" w:cs="Arial"/>
          <w:color w:val="000000"/>
          <w:sz w:val="24"/>
          <w:szCs w:val="24"/>
          <w:lang w:val="es-ES"/>
        </w:rPr>
        <w:instrText xml:space="preserve"> ADDIN ZOTERO_ITEM CSL_CITATION {"citationID":"rYjGaH02","properties":{"custom":"(Bayomi {\\i{}et al}, 2020; Monge &amp; Lor\\uc0\\u237{}a, 2021; Uslu {\\i{}et al}., 2025)","formattedCitation":"(Bayomi {\\i{}et al}, 2020; Monge &amp; Lor\\uc0\\u237{}a, 2021; Uslu {\\i{}et al}., 2025)","plainCitation":"(Bayomi et al, 2020; Monge &amp; Loría, 2021; Uslu et al., 2025)","noteIndex":0},"citationItems":[{"id":1386,"uris":["http://zotero.org/users/12642312/items/VRUB2476"],"itemData":{"id":1386,"type":"article-journal","container-title":"Egyptian Journal of Desert Research","issue":"1","note":"publisher: Desert Research Center","page":"1–10","source":"Google Scholar","title":"Performance of some tomato genotypes under greenhouse conditions","URL":"https://journals.ekb.eg/article_108100.html","volume":"70","author":[{"family":"Bayomi","given":"Khaled"},{"family":"Abdel-Baset","given":"Ashraf"},{"family":"Nassar","given":"Saad"}],"accessed":{"date-parts":[["2025",4,2]]},"issued":{"date-parts":[["2020"]]}},"label":"page"},{"id":832,"uris":["http://zotero.org/users/12642312/items/PRVDLH5H"],"itemData":{"id":832,"type":"article-journal","container-title":"Avances en Investigación Agropecuaria","ISSN":"2683-1716","issue":"1","language":"es","page":"7-19","source":"revistasacademicas.ucol.mx","title":"Determinación de criterios de selección para el rendimiento de tomate (Solanum lycopersicum L.) cultivado bajo invernadero","URL":"https://revistasacademicas.ucol.mx/index.php/agropecuaria/article/view/207","volume":"25","author":[{"family":"Monge","given":"José Eladio"},{"family":"Loría","given":"Michelle"}],"accessed":{"date-parts":[["2025",3,25]]},"issued":{"date-parts":[["2021"]]}},"label":"page"},{"id":1176,"uris":["http://zotero.org/users/12642312/items/3DSHQ6HJ"],"itemData":{"id":1176,"type":"article-journal","abstract":"Irrigation water quality is of critical importance for optimum crop yield of economically important field crops in the Kahramanmaraş plains. A preliminary ecotoxicological assessment is necessary before large-scale irrigation. Therefore, this study aims to evaluate the quality of irrigation water supplied from different water sources (Karasu, Erkenez, and Oklu streams on the Aksu River and Sır Dam) and the effects on the seed germination and early seedling growth of different field crops (wheat, alfalfa, ryegrass, and maize) irrigated with this water. For this, in order to evaluate the effects on seed germination and early growth parameters of forage crop seedlings, a Petri dish germination test was carried out with four replications using a completely randomized design (CRD). Before the germination assay, heavy metal concentrations including copper (Cu), iron (Fe), lead (Pb), chromium (Cr), arsenic (As), nickel (Ni), and cadmium (Cd) were analyzed in water samples obtained from different water sources. In all water samples used for the experiment, Cu concentrations exceeded the acceptable limit of 0.2 mg L</w:instrText>
      </w:r>
      <w:r w:rsidR="00264B2F">
        <w:rPr>
          <w:rFonts w:ascii="Cambria Math" w:eastAsia="Calibri" w:hAnsi="Cambria Math" w:cs="Cambria Math"/>
          <w:color w:val="000000"/>
          <w:sz w:val="24"/>
          <w:szCs w:val="24"/>
          <w:lang w:val="es-ES"/>
        </w:rPr>
        <w:instrText>⁻</w:instrText>
      </w:r>
      <w:r w:rsidR="00264B2F">
        <w:rPr>
          <w:rFonts w:ascii="Arial" w:eastAsia="Calibri" w:hAnsi="Arial" w:cs="Arial"/>
          <w:color w:val="000000"/>
          <w:sz w:val="24"/>
          <w:szCs w:val="24"/>
          <w:lang w:val="es-ES"/>
        </w:rPr>
        <w:instrText>1. The Cu levels found were 0.98 mg L</w:instrText>
      </w:r>
      <w:r w:rsidR="00264B2F">
        <w:rPr>
          <w:rFonts w:ascii="Cambria Math" w:eastAsia="Calibri" w:hAnsi="Cambria Math" w:cs="Cambria Math"/>
          <w:color w:val="000000"/>
          <w:sz w:val="24"/>
          <w:szCs w:val="24"/>
          <w:lang w:val="es-ES"/>
        </w:rPr>
        <w:instrText>⁻</w:instrText>
      </w:r>
      <w:r w:rsidR="00264B2F">
        <w:rPr>
          <w:rFonts w:ascii="Arial" w:eastAsia="Calibri" w:hAnsi="Arial" w:cs="Arial"/>
          <w:color w:val="000000"/>
          <w:sz w:val="24"/>
          <w:szCs w:val="24"/>
          <w:lang w:val="es-ES"/>
        </w:rPr>
        <w:instrText>1 in Karasu (KC), 1.627 mg L</w:instrText>
      </w:r>
      <w:r w:rsidR="00264B2F">
        <w:rPr>
          <w:rFonts w:ascii="Cambria Math" w:eastAsia="Calibri" w:hAnsi="Cambria Math" w:cs="Cambria Math"/>
          <w:color w:val="000000"/>
          <w:sz w:val="24"/>
          <w:szCs w:val="24"/>
          <w:lang w:val="es-ES"/>
        </w:rPr>
        <w:instrText>⁻</w:instrText>
      </w:r>
      <w:r w:rsidR="00264B2F">
        <w:rPr>
          <w:rFonts w:ascii="Arial" w:eastAsia="Calibri" w:hAnsi="Arial" w:cs="Arial"/>
          <w:color w:val="000000"/>
          <w:sz w:val="24"/>
          <w:szCs w:val="24"/>
          <w:lang w:val="es-ES"/>
        </w:rPr>
        <w:instrText>1 in Oklu (OC), 0.945 mg L</w:instrText>
      </w:r>
      <w:r w:rsidR="00264B2F">
        <w:rPr>
          <w:rFonts w:ascii="Cambria Math" w:eastAsia="Calibri" w:hAnsi="Cambria Math" w:cs="Cambria Math"/>
          <w:color w:val="000000"/>
          <w:sz w:val="24"/>
          <w:szCs w:val="24"/>
          <w:lang w:val="es-ES"/>
        </w:rPr>
        <w:instrText>⁻</w:instrText>
      </w:r>
      <w:r w:rsidR="00264B2F">
        <w:rPr>
          <w:rFonts w:ascii="Arial" w:eastAsia="Calibri" w:hAnsi="Arial" w:cs="Arial"/>
          <w:color w:val="000000"/>
          <w:sz w:val="24"/>
          <w:szCs w:val="24"/>
          <w:lang w:val="es-ES"/>
        </w:rPr>
        <w:instrText>1 in Erkenez (EC), and 1.218 mg L</w:instrText>
      </w:r>
      <w:r w:rsidR="00264B2F">
        <w:rPr>
          <w:rFonts w:ascii="Cambria Math" w:eastAsia="Calibri" w:hAnsi="Cambria Math" w:cs="Cambria Math"/>
          <w:color w:val="000000"/>
          <w:sz w:val="24"/>
          <w:szCs w:val="24"/>
          <w:lang w:val="es-ES"/>
        </w:rPr>
        <w:instrText>⁻</w:instrText>
      </w:r>
      <w:r w:rsidR="00264B2F">
        <w:rPr>
          <w:rFonts w:ascii="Arial" w:eastAsia="Calibri" w:hAnsi="Arial" w:cs="Arial"/>
          <w:color w:val="000000"/>
          <w:sz w:val="24"/>
          <w:szCs w:val="24"/>
          <w:lang w:val="es-ES"/>
        </w:rPr>
        <w:instrText xml:space="preserve">1 in Sır Dam (SD) waters. Additionally, Fe exceeded the limit only in KC, while Cd surpassed the permissible levels in EC and SD water samples. Seeds exposed to different water treatments were germinated in a climate chamber at 20 ± 1 °C. Over two weeks, daily germination and seedling growth parameters were measured. The results indicated that higher heavy metal concentrations in irrigation water led to a decline in seed germination rates and adversely impacted early seedling growth. Notably, water from Karasu Creek exhibited the most significant negative impact on all germination and growth parameters in the tested crops, especially due to Cu and Fe metal toxicity. Additionally, ryegrass seeds were most affected by these irrigation waters. This study highlights the importance of using uncontaminated quality irrigation water for optimal crop production by quantifying its impact, such as the percentage of decrease in germination or seedling growth.","container-title":"Water","DOI":"10.3390/w17060892","ISSN":"2073-4441","issue":"6","language":"en","license":"http://creativecommons.org/licenses/by/3.0/","note":"number: 6\npublisher: Multidisciplinary Digital Publishing Institute","page":"892","source":"www.mdpi.com","title":"Effects of Different Irrigation Water Sources Contaminated with Heavy Metals on Seed Germination and Seedling Growth of Different Field Crops","URL":"https://www.mdpi.com/2073-4441/17/6/892","volume":"17","author":[{"family":"Uslu","given":"Ömer Süha"},{"family":"Gedik","given":"Osman"},{"family":"Kaya","given":"Ali Rahmi"},{"family":"Erol","given":"Adem"},{"family":"Babur","given":"Emre"},{"family":"Khan","given":"Haroon"},{"family":"Seleiman","given":"Mahmoud F."},{"family":"Wasonga","given":"Daniel O."}],"accessed":{"date-parts":[["2025",4,1]]},"issued":{"date-parts":[["2025",1]]}},"label":"page"}],"schema":"https://github.com/citation-style-language/schema/raw/master/csl-citation.json"} </w:instrText>
      </w:r>
      <w:r>
        <w:rPr>
          <w:rFonts w:ascii="Arial" w:eastAsia="Calibri" w:hAnsi="Arial" w:cs="Arial"/>
          <w:color w:val="000000"/>
          <w:sz w:val="24"/>
          <w:szCs w:val="24"/>
          <w:lang w:val="es-ES"/>
        </w:rPr>
        <w:fldChar w:fldCharType="separate"/>
      </w:r>
      <w:r w:rsidR="00264B2F" w:rsidRPr="00FB4617">
        <w:rPr>
          <w:rFonts w:ascii="Arial" w:hAnsi="Arial" w:cs="Arial"/>
          <w:sz w:val="24"/>
          <w:szCs w:val="24"/>
          <w:lang w:val="es-ES"/>
        </w:rPr>
        <w:t xml:space="preserve">(Bayomi </w:t>
      </w:r>
      <w:r w:rsidR="00264B2F" w:rsidRPr="00FB4617">
        <w:rPr>
          <w:rFonts w:ascii="Arial" w:hAnsi="Arial" w:cs="Arial"/>
          <w:i/>
          <w:iCs/>
          <w:sz w:val="24"/>
          <w:szCs w:val="24"/>
          <w:lang w:val="es-ES"/>
        </w:rPr>
        <w:t>et al</w:t>
      </w:r>
      <w:r w:rsidR="00264B2F" w:rsidRPr="00FB4617">
        <w:rPr>
          <w:rFonts w:ascii="Arial" w:hAnsi="Arial" w:cs="Arial"/>
          <w:sz w:val="24"/>
          <w:szCs w:val="24"/>
          <w:lang w:val="es-ES"/>
        </w:rPr>
        <w:t xml:space="preserve">, 2020; Monge &amp; Loría, 2021; Uslu </w:t>
      </w:r>
      <w:r w:rsidR="00264B2F" w:rsidRPr="00FB4617">
        <w:rPr>
          <w:rFonts w:ascii="Arial" w:hAnsi="Arial" w:cs="Arial"/>
          <w:i/>
          <w:iCs/>
          <w:sz w:val="24"/>
          <w:szCs w:val="24"/>
          <w:lang w:val="es-ES"/>
        </w:rPr>
        <w:t>et al</w:t>
      </w:r>
      <w:r w:rsidR="00264B2F" w:rsidRPr="00FB4617">
        <w:rPr>
          <w:rFonts w:ascii="Arial" w:hAnsi="Arial" w:cs="Arial"/>
          <w:sz w:val="24"/>
          <w:szCs w:val="24"/>
          <w:lang w:val="es-ES"/>
        </w:rPr>
        <w:t>., 2025)</w:t>
      </w:r>
      <w:r>
        <w:rPr>
          <w:rFonts w:ascii="Arial" w:eastAsia="Calibri" w:hAnsi="Arial" w:cs="Arial"/>
          <w:color w:val="000000"/>
          <w:sz w:val="24"/>
          <w:szCs w:val="24"/>
          <w:lang w:val="es-ES"/>
        </w:rPr>
        <w:fldChar w:fldCharType="end"/>
      </w:r>
      <w:r>
        <w:rPr>
          <w:rFonts w:ascii="Arial" w:eastAsia="Calibri" w:hAnsi="Arial" w:cs="Arial"/>
          <w:color w:val="000000"/>
          <w:sz w:val="24"/>
          <w:szCs w:val="24"/>
          <w:lang w:val="es-ES"/>
        </w:rPr>
        <w:t xml:space="preserve">. Sin embargo, el rendimiento del cultivo se afecta seriamente por condiciones medioambientales adversas, fundamentalmente estrés hídrico y temperaturas extremas </w:t>
      </w:r>
      <w:r>
        <w:rPr>
          <w:rFonts w:ascii="Arial" w:eastAsia="Calibri" w:hAnsi="Arial" w:cs="Arial"/>
          <w:color w:val="000000"/>
          <w:sz w:val="24"/>
          <w:szCs w:val="24"/>
          <w:lang w:val="es-ES"/>
        </w:rPr>
        <w:fldChar w:fldCharType="begin"/>
      </w:r>
      <w:r w:rsidR="00CE513C">
        <w:rPr>
          <w:rFonts w:ascii="Arial" w:eastAsia="Calibri" w:hAnsi="Arial" w:cs="Arial"/>
          <w:color w:val="000000"/>
          <w:sz w:val="24"/>
          <w:szCs w:val="24"/>
          <w:lang w:val="es-ES"/>
        </w:rPr>
        <w:instrText xml:space="preserve"> ADDIN ZOTERO_ITEM CSL_CITATION {"citationID":"m6eOmUND","properties":{"custom":"(Jiang {\\i{}et al}., 2019; Sousaraei {\\i{}et al}., 2021; Jin {\\i{}et al}., 2023)","unsorted":true,"formattedCitation":"(Jiang {\\i{}et al}., 2019; Sousaraei {\\i{}et al}., 2021; Jin {\\i{}et al}., 2023)","plainCitation":"(Jiang et al., 2019; Sousaraei et al., 2021; Jin et al., 2023)","noteIndex":0},"citationItems":[{"id":1392,"uris":["http://zotero.org/users/12642312/items/9U6I7PRL"],"itemData":{"id":1392,"type":"article-journal","container-title":"HortScience","issue":"8","note":"publisher: American Society for Horticultural Science","page":"1409–1417","source":"Google Scholar","title":"Quantitative analysis of tomato yield and comprehensive fruit quality in response to deficit irrigation at different growth stages","URL":"https://journals.ashs.org/hortsci/view/journals/hortsci/54/8/article-p1409.xml","volume":"54","author":[{"family":"Jiang","given":"Xuelian"},{"family":"Zhao","given":"Yueling"},{"family":"Tong","given":"Ling"},{"family":"Wang","given":"Rui"},{"family":"Zhao","given":"Sheng"}],"accessed":{"date-parts":[["2025",4,2]]},"issued":{"date-parts":[["2019"]]}},"label":"page"},{"id":1394,"uris":["http://zotero.org/users/12642312/items/44R7G4LE"],"itemData":{"id":1394,"type":"article-journal","abstract":"Abstract\n            \n              To investigate the effects of water withholding on 17 tomato (\n              Solanum lycopersicum\n              L.) landraces collected from different climatic zones of Iran and two commercial hybrids, the polyphasic OJIP fluorescence transient, relative water content (RWC), electrolyte leakage (EL) and vegetative growth parameters were analyzed. Duncan’s multiple range test (DMRT) for all the studied parameters and drought factor index (DFI) based on performance index on the absorption basis (PI\n              abs\n              ) were used for screening the plants based on their tolerance to drought condition. Result showed that compared to the control plants, vegetative growth parameters, RWC, PI\n              abs\n              , relative maximal variable fluorescence (F\n              M\n              /F\n              0\n              ), maximum quantum efficiency of PSII (F\n              V\n              /F\n              M\n              ), quantum yield of electron transport (ΦE\n              0\n              ) and electron transport flux per reaction center (RC) (ET\n              0\n              /RC) were decreased, whereas, EL, quantum yield of energy dissipation (ΦD\n              0\n              ), specific energy fluxes per RC for energy absorption (ABS/RC) and dissipated energy flux (DI\n              0\n              /RC), which are closely related to the incidence of photoinhibition were increased in plants exposed to water withholding. DMRT and DFI screening results clearly categorized the landraces into three groups (tolerant, moderately sensitive and sensitive). Tolerant landraces showed less change for most of the measured parameters compared to sensitive and moderately sensitive landraces. We found that adapted landraces to dry climates had a higher tolerance to drought stress. Principal component analysis (PCA) revealed that F\n              M\n              /F\n              0\n              , F\n              V\n              /F\n              M\n              , ΦE\n              0\n              , ΦD\n              0\n              , PI\n              abs\n              , ABS/RC, ET\n              0\n              /RC and DI\n              0\n              /RC parameters are the most sensitive parameters for detection of impact of drought stress on tomato plants. In conclusion, the eight parameters have the potential to identify the drought injury in tomato seedlings.","container-title":"Horticulture, Environment, and Biotechnology","DOI":"10.1007/s13580-020-00328-5","ISSN":"2211-3452, 2211-3460","issue":"4","journalAbbreviation":"Hortic. Environ. Biotechnol.","language":"en","page":"521-535","source":"DOI.org (Crossref)","title":"Screening of tomato landraces for drought tolerance based on growth and chlorophyll fluorescence analyses","URL":"https://link.springer.com/10.1007/s13580-020-00328-5","volume":"62","author":[{"family":"Sousaraei","given":"Naeimeh"},{"family":"Mashayekhi","given":"Kambiz"},{"family":"Mousavizadeh","given":"Seyyed Javad"},{"family":"Akbarpour","given":"Vahid"},{"family":"Medina","given":"Joaquín"},{"family":"Aliniaeifard","given":"Sasan"}],"accessed":{"date-parts":[["2025",4,2]]},"issued":{"date-parts":[["2021",8]]}},"label":"page"},{"id":1388,"uris":["http://zotero.org/users/12642312/items/7NARAWA2"],"itemData":{"id":1388,"type":"article-journal","container-title":"Food Chemistry: X","note":"publisher: Elsevier","page":"100756","source":"Google Scholar","title":"Controlling water deficiency as an abiotic stress factor to improve tomato nutritional and flavour quality","URL":"https://www.sciencedirect.com/science/article/pii/S2590157523001992","volume":"19","author":[{"family":"Jin","given":"Ning"},{"family":"Zhang","given":"Dan"},{"family":"Jin","given":"Li"},{"family":"Wang","given":"Shuya"},{"family":"Yang","given":"Xiting"},{"family":"Lei","given":"Yongzhong"},{"family":"Meng","given":"Xin"},{"family":"Xu","given":"Zhiqi"},{"family":"Sun","given":"Jianhong"},{"family":"Lyu","given":"Jian"}],"accessed":{"date-parts":[["2025",4,2]]},"issued":{"date-parts":[["2023"]]}},"label":"page"}],"schema":"https://github.com/citation-style-language/schema/raw/master/csl-citation.json"} </w:instrText>
      </w:r>
      <w:r>
        <w:rPr>
          <w:rFonts w:ascii="Arial" w:eastAsia="Calibri" w:hAnsi="Arial" w:cs="Arial"/>
          <w:color w:val="000000"/>
          <w:sz w:val="24"/>
          <w:szCs w:val="24"/>
          <w:lang w:val="es-ES"/>
        </w:rPr>
        <w:fldChar w:fldCharType="separate"/>
      </w:r>
      <w:r w:rsidR="00CE513C" w:rsidRPr="007A5005">
        <w:rPr>
          <w:rFonts w:ascii="Arial" w:hAnsi="Arial" w:cs="Arial"/>
          <w:sz w:val="24"/>
          <w:szCs w:val="24"/>
          <w:lang w:val="es-ES"/>
        </w:rPr>
        <w:t xml:space="preserve">(Jiang </w:t>
      </w:r>
      <w:r w:rsidR="00CE513C" w:rsidRPr="007A5005">
        <w:rPr>
          <w:rFonts w:ascii="Arial" w:hAnsi="Arial" w:cs="Arial"/>
          <w:i/>
          <w:iCs/>
          <w:sz w:val="24"/>
          <w:szCs w:val="24"/>
          <w:lang w:val="es-ES"/>
        </w:rPr>
        <w:t>et al</w:t>
      </w:r>
      <w:r w:rsidR="00CE513C" w:rsidRPr="007A5005">
        <w:rPr>
          <w:rFonts w:ascii="Arial" w:hAnsi="Arial" w:cs="Arial"/>
          <w:sz w:val="24"/>
          <w:szCs w:val="24"/>
          <w:lang w:val="es-ES"/>
        </w:rPr>
        <w:t xml:space="preserve">., 2019; Sousaraei </w:t>
      </w:r>
      <w:r w:rsidR="00CE513C" w:rsidRPr="007A5005">
        <w:rPr>
          <w:rFonts w:ascii="Arial" w:hAnsi="Arial" w:cs="Arial"/>
          <w:i/>
          <w:iCs/>
          <w:sz w:val="24"/>
          <w:szCs w:val="24"/>
          <w:lang w:val="es-ES"/>
        </w:rPr>
        <w:t>et al</w:t>
      </w:r>
      <w:r w:rsidR="00CE513C" w:rsidRPr="007A5005">
        <w:rPr>
          <w:rFonts w:ascii="Arial" w:hAnsi="Arial" w:cs="Arial"/>
          <w:sz w:val="24"/>
          <w:szCs w:val="24"/>
          <w:lang w:val="es-ES"/>
        </w:rPr>
        <w:t xml:space="preserve">., 2021; Jin </w:t>
      </w:r>
      <w:r w:rsidR="00CE513C" w:rsidRPr="007A5005">
        <w:rPr>
          <w:rFonts w:ascii="Arial" w:hAnsi="Arial" w:cs="Arial"/>
          <w:i/>
          <w:iCs/>
          <w:sz w:val="24"/>
          <w:szCs w:val="24"/>
          <w:lang w:val="es-ES"/>
        </w:rPr>
        <w:t>et al</w:t>
      </w:r>
      <w:r w:rsidR="00CE513C" w:rsidRPr="007A5005">
        <w:rPr>
          <w:rFonts w:ascii="Arial" w:hAnsi="Arial" w:cs="Arial"/>
          <w:sz w:val="24"/>
          <w:szCs w:val="24"/>
          <w:lang w:val="es-ES"/>
        </w:rPr>
        <w:t>., 2023)</w:t>
      </w:r>
      <w:r>
        <w:rPr>
          <w:rFonts w:ascii="Arial" w:eastAsia="Calibri" w:hAnsi="Arial" w:cs="Arial"/>
          <w:color w:val="000000"/>
          <w:sz w:val="24"/>
          <w:szCs w:val="24"/>
          <w:lang w:val="es-ES"/>
        </w:rPr>
        <w:fldChar w:fldCharType="end"/>
      </w:r>
      <w:r>
        <w:rPr>
          <w:rFonts w:ascii="Arial" w:hAnsi="Arial" w:cs="Arial"/>
          <w:sz w:val="24"/>
          <w:szCs w:val="24"/>
          <w:lang w:val="es-ES"/>
        </w:rPr>
        <w:t>.</w:t>
      </w:r>
    </w:p>
    <w:p w14:paraId="4B47D3BC" w14:textId="77777777" w:rsidR="008403BD" w:rsidRDefault="007D49D9">
      <w:pPr>
        <w:autoSpaceDE w:val="0"/>
        <w:autoSpaceDN w:val="0"/>
        <w:adjustRightInd w:val="0"/>
        <w:spacing w:before="120" w:after="0" w:line="360" w:lineRule="auto"/>
        <w:jc w:val="both"/>
        <w:rPr>
          <w:rFonts w:ascii="Arial" w:hAnsi="Arial" w:cs="Arial"/>
          <w:sz w:val="24"/>
          <w:szCs w:val="24"/>
          <w:lang w:val="es-US"/>
        </w:rPr>
      </w:pPr>
      <w:r>
        <w:rPr>
          <w:rFonts w:ascii="Arial" w:hAnsi="Arial" w:cs="Arial"/>
          <w:sz w:val="24"/>
          <w:szCs w:val="24"/>
          <w:lang w:val="es-US"/>
        </w:rPr>
        <w:t xml:space="preserve">A pesar de la importancia del tomate, su explotación comercial en </w:t>
      </w:r>
      <w:r w:rsidR="00E15CA3">
        <w:rPr>
          <w:rFonts w:ascii="Arial" w:hAnsi="Arial" w:cs="Arial"/>
          <w:sz w:val="24"/>
          <w:szCs w:val="24"/>
          <w:lang w:val="es-US"/>
        </w:rPr>
        <w:t>Cuba</w:t>
      </w:r>
      <w:r>
        <w:rPr>
          <w:rFonts w:ascii="Arial" w:hAnsi="Arial" w:cs="Arial"/>
          <w:sz w:val="24"/>
          <w:szCs w:val="24"/>
          <w:lang w:val="es-US"/>
        </w:rPr>
        <w:t>, al igual que en la mayoría de los países tropicales</w:t>
      </w:r>
      <w:r w:rsidR="00876F09">
        <w:rPr>
          <w:rFonts w:ascii="Arial" w:hAnsi="Arial" w:cs="Arial"/>
          <w:sz w:val="24"/>
          <w:szCs w:val="24"/>
          <w:lang w:val="es-US"/>
        </w:rPr>
        <w:t>, se limita generalmente al peri</w:t>
      </w:r>
      <w:r>
        <w:rPr>
          <w:rFonts w:ascii="Arial" w:hAnsi="Arial" w:cs="Arial"/>
          <w:sz w:val="24"/>
          <w:szCs w:val="24"/>
          <w:lang w:val="es-US"/>
        </w:rPr>
        <w:t>odo óptimo, debido a las disminuciones en los rendimientos y en la calidad de los frutos en la</w:t>
      </w:r>
      <w:r w:rsidR="00876F09">
        <w:rPr>
          <w:rFonts w:ascii="Arial" w:hAnsi="Arial" w:cs="Arial"/>
          <w:sz w:val="24"/>
          <w:szCs w:val="24"/>
          <w:lang w:val="es-US"/>
        </w:rPr>
        <w:t>s siembras fuera de ese peri</w:t>
      </w:r>
      <w:r w:rsidR="00E15CA3">
        <w:rPr>
          <w:rFonts w:ascii="Arial" w:hAnsi="Arial" w:cs="Arial"/>
          <w:sz w:val="24"/>
          <w:szCs w:val="24"/>
          <w:lang w:val="es-US"/>
        </w:rPr>
        <w:t>odo</w:t>
      </w:r>
      <w:r>
        <w:rPr>
          <w:rFonts w:ascii="Arial" w:hAnsi="Arial" w:cs="Arial"/>
          <w:sz w:val="24"/>
          <w:szCs w:val="24"/>
          <w:lang w:val="es-US"/>
        </w:rPr>
        <w:t xml:space="preserve"> y que se atribuye, entre otros,</w:t>
      </w:r>
      <w:r>
        <w:rPr>
          <w:rFonts w:ascii="Arial" w:hAnsi="Arial" w:cs="Arial"/>
          <w:color w:val="FF0000"/>
          <w:sz w:val="24"/>
          <w:szCs w:val="24"/>
          <w:lang w:val="es-US"/>
        </w:rPr>
        <w:t xml:space="preserve"> </w:t>
      </w:r>
      <w:r>
        <w:rPr>
          <w:rFonts w:ascii="Arial" w:hAnsi="Arial" w:cs="Arial"/>
          <w:sz w:val="24"/>
          <w:szCs w:val="24"/>
          <w:lang w:val="es-US"/>
        </w:rPr>
        <w:t xml:space="preserve">a los efectos negativos que producen fundamentalmente las temperaturas altas sobre las estructuras reproductivas, ocasionando un cuajado pobre de los frutos y la disminución de la producción, de ahí que éstos constituyan factores importantes que inciden en los rendimientos bajos del tomate en ambientes tropicales, convirtiéndose en una situación crítica cuando las siembras se realizan </w:t>
      </w:r>
      <w:r w:rsidR="002D4E73">
        <w:rPr>
          <w:rFonts w:ascii="Arial" w:hAnsi="Arial" w:cs="Arial"/>
          <w:sz w:val="24"/>
          <w:szCs w:val="24"/>
          <w:lang w:val="es-US"/>
        </w:rPr>
        <w:t>en condiciones de campo a</w:t>
      </w:r>
      <w:r>
        <w:rPr>
          <w:rFonts w:ascii="Arial" w:hAnsi="Arial" w:cs="Arial"/>
          <w:sz w:val="24"/>
          <w:szCs w:val="24"/>
          <w:lang w:val="es-US"/>
        </w:rPr>
        <w:t xml:space="preserve"> cielo abierto </w:t>
      </w:r>
      <w:r>
        <w:rPr>
          <w:rFonts w:ascii="Arial" w:hAnsi="Arial" w:cs="Arial"/>
          <w:sz w:val="24"/>
          <w:szCs w:val="24"/>
          <w:lang w:val="es-US"/>
        </w:rPr>
        <w:fldChar w:fldCharType="begin"/>
      </w:r>
      <w:r w:rsidR="001F65B0">
        <w:rPr>
          <w:rFonts w:ascii="Arial" w:hAnsi="Arial" w:cs="Arial"/>
          <w:sz w:val="24"/>
          <w:szCs w:val="24"/>
          <w:lang w:val="es-US"/>
        </w:rPr>
        <w:instrText xml:space="preserve"> ADDIN ZOTERO_ITEM CSL_CITATION {"citationID":"emRYvm6U","properties":{"formattedCitation":"(Florido &amp; \\uc0\\u193{}lvarez, 2015)","plainCitation":"(Florido &amp; Álvarez, 2015)","noteIndex":0},"citationItems":[{"id":840,"uris":["http://zotero.org/users/12642312/items/5BXZC3QR"],"itemData":{"id":840,"type":"article-journal","container-title":"Cultivos Tropicales","ISSN":"0258-5936","note":"publisher: Ediciones INCA","page":"77-95","source":"SciELO","title":"Aspectos relacionados con el estrés de calor en tomate (Solanum lycopersicum L.)","URL":"http://scielo.sld.cu/scielo.php?script=sci_abstract&amp;pid=S0258-59362015000500008&amp;lng=es&amp;nrm=iso&amp;tlng=en","volume":"36","author":[{"family":"Florido","given":"Marilyn"},{"family":"Álvarez","given":"Marta"}],"accessed":{"date-parts":[["2025",3,25]]},"issued":{"date-parts":[["2015"]]}}}],"schema":"https://github.com/citation-style-language/schema/raw/master/csl-citation.json"} </w:instrText>
      </w:r>
      <w:r>
        <w:rPr>
          <w:rFonts w:ascii="Arial" w:hAnsi="Arial" w:cs="Arial"/>
          <w:sz w:val="24"/>
          <w:szCs w:val="24"/>
          <w:lang w:val="es-US"/>
        </w:rPr>
        <w:fldChar w:fldCharType="separate"/>
      </w:r>
      <w:r w:rsidR="001F65B0" w:rsidRPr="00A22828">
        <w:rPr>
          <w:rFonts w:ascii="Arial" w:hAnsi="Arial" w:cs="Arial"/>
          <w:sz w:val="24"/>
          <w:szCs w:val="24"/>
          <w:lang w:val="es-ES"/>
        </w:rPr>
        <w:t>(Florido &amp; Álvarez, 2015)</w:t>
      </w:r>
      <w:r>
        <w:rPr>
          <w:rFonts w:ascii="Arial" w:hAnsi="Arial" w:cs="Arial"/>
          <w:sz w:val="24"/>
          <w:szCs w:val="24"/>
          <w:lang w:val="es-US"/>
        </w:rPr>
        <w:fldChar w:fldCharType="end"/>
      </w:r>
      <w:r>
        <w:rPr>
          <w:rFonts w:ascii="Arial" w:hAnsi="Arial" w:cs="Arial"/>
          <w:sz w:val="24"/>
          <w:szCs w:val="24"/>
          <w:lang w:val="es-ES"/>
        </w:rPr>
        <w:t>.</w:t>
      </w:r>
      <w:r>
        <w:rPr>
          <w:rFonts w:ascii="Arial" w:hAnsi="Arial" w:cs="Arial"/>
          <w:color w:val="000000"/>
          <w:sz w:val="24"/>
          <w:szCs w:val="24"/>
          <w:lang w:val="es-US"/>
        </w:rPr>
        <w:t xml:space="preserve"> </w:t>
      </w:r>
    </w:p>
    <w:p w14:paraId="1D92A725" w14:textId="7C965D38" w:rsidR="008403BD" w:rsidRDefault="007D49D9">
      <w:pPr>
        <w:spacing w:before="120" w:after="0" w:line="360" w:lineRule="auto"/>
        <w:jc w:val="both"/>
        <w:rPr>
          <w:rFonts w:ascii="Arial" w:hAnsi="Arial" w:cs="Arial"/>
          <w:sz w:val="24"/>
          <w:szCs w:val="24"/>
          <w:lang w:val="es-US"/>
        </w:rPr>
      </w:pPr>
      <w:r>
        <w:rPr>
          <w:rFonts w:ascii="Arial" w:hAnsi="Arial" w:cs="Arial"/>
          <w:sz w:val="24"/>
          <w:szCs w:val="24"/>
          <w:lang w:val="es-US"/>
        </w:rPr>
        <w:t xml:space="preserve">Producto del calentamiento global se estima que el promedio de </w:t>
      </w:r>
      <w:r w:rsidR="003460CA">
        <w:rPr>
          <w:rFonts w:ascii="Arial" w:hAnsi="Arial" w:cs="Arial"/>
          <w:sz w:val="24"/>
          <w:szCs w:val="24"/>
          <w:lang w:val="es-US"/>
        </w:rPr>
        <w:t xml:space="preserve">la </w:t>
      </w:r>
      <w:r>
        <w:rPr>
          <w:rFonts w:ascii="Arial" w:hAnsi="Arial" w:cs="Arial"/>
          <w:sz w:val="24"/>
          <w:szCs w:val="24"/>
          <w:lang w:val="es-US"/>
        </w:rPr>
        <w:t xml:space="preserve">temperatura puede incrementarse hasta en 5,8°C para el año 2100, lo cual causaría serios daños económicos en el cultivo si se tiene en cuenta que la fructificación en el tomate disminuye significativamente con pequeños incrementos de la temperatura </w:t>
      </w:r>
      <w:r>
        <w:rPr>
          <w:rFonts w:ascii="Arial" w:hAnsi="Arial" w:cs="Arial"/>
          <w:sz w:val="24"/>
          <w:szCs w:val="24"/>
          <w:lang w:val="es-US"/>
        </w:rPr>
        <w:fldChar w:fldCharType="begin"/>
      </w:r>
      <w:r w:rsidR="00CE513C">
        <w:rPr>
          <w:rFonts w:ascii="Arial" w:hAnsi="Arial" w:cs="Arial"/>
          <w:sz w:val="24"/>
          <w:szCs w:val="24"/>
          <w:lang w:val="es-US"/>
        </w:rPr>
        <w:instrText xml:space="preserve"> ADDIN ZOTERO_ITEM CSL_CITATION {"citationID":"AYSu2dL0","properties":{"custom":"(Abdel {\\i{}et al}., 2015)","formattedCitation":"(Abdel {\\i{}et al}., 2015)","plainCitation":"(Abdel et al., 2015)","noteIndex":0},"citationItems":[{"id":505,"uris":["http://zotero.org/users/12642312/items/2DAKGXEG"],"itemData":{"id":505,"type":"article-journal","abstract":"Shading the greenhouses is necessary in summer to reduce the solar radiation load. This however generates a considerable amount of thermal radiation heat load that needs to be removed via cooling systems. This study aimed to evaluate the effect of different shading configurations on the solar and thermal radiation in a greenhouse. Nets at four different locations were employed to shade the roof and side-walls of a polycarbonate, mechanically ventilated greenhouse. The spectral radiative properties of all these plastic materials were measured in short and long wave spectrum bands. The net solar and thermal radiations and air temperature were measured outside and inside two identical shaded and unshaded greenhouses. The results showed that external roof-shading is desirable, as it reduced the generated thermal radiation in the greenhouse by 21% and 15% during the day and night time, respectively and reduced the greenhouse air temperature during the day. The internal shading (roof and side walls) is undesirable, since it drastically increased the generated thermal radiation in the greenhouse by 147% and strongly increased the greenhouse air temperature during the day. Shading the side-walls is not recommended because it significantly reduces the transmitted solar radiation in the morning and afternoon (when the outside irradiance is low) and is useless at around noon when the outside irradiance is extremely high.","container-title":"Energies","DOI":"10.3390/en81212404","ISSN":"1996-1073","issue":"12","language":"en","license":"http://creativecommons.org/licenses/by/3.0/","note":"number: 12\npublisher: Multidisciplinary Digital Publishing Institute","page":"13928-13937","source":"www.mdpi.com","title":"Radiometric Characterization, Solar and Thermal Radiation in a Greenhouse as Affected by Shading Configuration in an Arid Climate","URL":"https://www.mdpi.com/1996-1073/8/12/12404","volume":"8","author":[{"family":"Abdel","given":"Ahmed M."},{"family":"Picuno","given":"Pietro"},{"family":"Al","given":"Ibrahim"},{"family":"Alsadon","given":"Abdullah"},{"family":"Ibrahim","given":"Abdullah"},{"family":"Shady","given":"Mohamed"}],"accessed":{"date-parts":[["2024",10,14]]},"issued":{"date-parts":[["2015",12]]}}}],"schema":"https://github.com/citation-style-language/schema/raw/master/csl-citation.json"} </w:instrText>
      </w:r>
      <w:r>
        <w:rPr>
          <w:rFonts w:ascii="Arial" w:hAnsi="Arial" w:cs="Arial"/>
          <w:sz w:val="24"/>
          <w:szCs w:val="24"/>
          <w:lang w:val="es-US"/>
        </w:rPr>
        <w:fldChar w:fldCharType="separate"/>
      </w:r>
      <w:r w:rsidR="00CE513C" w:rsidRPr="00CE513C">
        <w:rPr>
          <w:rFonts w:ascii="Arial" w:hAnsi="Arial" w:cs="Arial"/>
          <w:sz w:val="24"/>
          <w:szCs w:val="24"/>
          <w:lang w:val="es-ES"/>
        </w:rPr>
        <w:t xml:space="preserve">(Abdel </w:t>
      </w:r>
      <w:r w:rsidR="00CE513C" w:rsidRPr="00CE513C">
        <w:rPr>
          <w:rFonts w:ascii="Arial" w:hAnsi="Arial" w:cs="Arial"/>
          <w:i/>
          <w:iCs/>
          <w:sz w:val="24"/>
          <w:szCs w:val="24"/>
          <w:lang w:val="es-ES"/>
        </w:rPr>
        <w:t>et al</w:t>
      </w:r>
      <w:r w:rsidR="00CE513C" w:rsidRPr="00CE513C">
        <w:rPr>
          <w:rFonts w:ascii="Arial" w:hAnsi="Arial" w:cs="Arial"/>
          <w:sz w:val="24"/>
          <w:szCs w:val="24"/>
          <w:lang w:val="es-ES"/>
        </w:rPr>
        <w:t>., 2015)</w:t>
      </w:r>
      <w:r>
        <w:rPr>
          <w:rFonts w:ascii="Arial" w:hAnsi="Arial" w:cs="Arial"/>
          <w:sz w:val="24"/>
          <w:szCs w:val="24"/>
          <w:lang w:val="es-US"/>
        </w:rPr>
        <w:fldChar w:fldCharType="end"/>
      </w:r>
      <w:r>
        <w:rPr>
          <w:rFonts w:ascii="Arial" w:hAnsi="Arial" w:cs="Arial"/>
          <w:sz w:val="24"/>
          <w:szCs w:val="24"/>
          <w:lang w:val="es-US"/>
        </w:rPr>
        <w:t xml:space="preserve">. </w:t>
      </w:r>
      <w:r>
        <w:rPr>
          <w:rFonts w:ascii="Arial" w:hAnsi="Arial" w:cs="Arial"/>
          <w:color w:val="C00000"/>
          <w:sz w:val="24"/>
          <w:szCs w:val="24"/>
          <w:highlight w:val="green"/>
          <w:u w:val="single"/>
        </w:rPr>
        <w:fldChar w:fldCharType="begin"/>
      </w:r>
      <w:r w:rsidR="005F4615">
        <w:rPr>
          <w:rFonts w:ascii="Arial" w:hAnsi="Arial" w:cs="Arial"/>
          <w:color w:val="C00000"/>
          <w:sz w:val="24"/>
          <w:szCs w:val="24"/>
          <w:highlight w:val="green"/>
          <w:u w:val="single"/>
          <w:lang w:val="es-US"/>
        </w:rPr>
        <w:instrText xml:space="preserve"> ADDIN ZOTERO_ITEM CSL_CITATION {"citationID":"i94MD8xw","properties":{"formattedCitation":"(5)","plainCitation":"(5)","dontUpdate":true,"noteIndex":0},"citationItems":[{"id":"CwEAk9Hn/aXVGHXux","uris":["http://zotero.org/users/local/CuhAoZlG/items/BM2XXBPI"],"itemData":{"id":131,"type":"article-journal","container-title":"BMC genomics","issue":"1","note":"ISBN: 1471-2164\npublisher: BioMed Central","page":"1-18","title":"Temperature stress differentially modulates transcription in meiotic anthers of heat-tolerant and heat-sensitive tomato plants","volume":"12","author":[{"family":"Bita","given":"Craita E."},{"family":"Zenoni","given":"Sara"},{"family":"Vriezen","given":"Wim H."},{"family":"Mariani","given":"Celestina"},{"family":"Pezzotti","given":"Mario"},{"family":"Gerats","given":"Tom"}],"issued":{"date-parts":[["2011"]]}}}],"schema":"https://github.com/citation-style-language/schema/raw/master/csl-citation.json"} </w:instrText>
      </w:r>
      <w:r>
        <w:rPr>
          <w:rFonts w:ascii="Arial" w:hAnsi="Arial" w:cs="Arial"/>
          <w:color w:val="C00000"/>
          <w:sz w:val="24"/>
          <w:szCs w:val="24"/>
          <w:highlight w:val="green"/>
          <w:u w:val="single"/>
        </w:rPr>
        <w:fldChar w:fldCharType="end"/>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highlight w:val="yellow"/>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U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_tradnl"/>
        </w:rPr>
        <w:t xml:space="preserve">Este efecto de las temperaturas, unido a la </w:t>
      </w:r>
      <w:r>
        <w:rPr>
          <w:rFonts w:ascii="Arial" w:hAnsi="Arial" w:cs="Arial"/>
          <w:sz w:val="24"/>
          <w:szCs w:val="24"/>
          <w:lang w:val="es-US"/>
        </w:rPr>
        <w:t xml:space="preserve">disminución de las precipitaciones se consideran como los más perjudiciales </w:t>
      </w:r>
      <w:r w:rsidR="003460CA">
        <w:rPr>
          <w:rFonts w:ascii="Arial" w:hAnsi="Arial" w:cs="Arial"/>
          <w:sz w:val="24"/>
          <w:szCs w:val="24"/>
          <w:lang w:val="es-US"/>
        </w:rPr>
        <w:t xml:space="preserve">a los efectos </w:t>
      </w:r>
      <w:r>
        <w:rPr>
          <w:rFonts w:ascii="Arial" w:hAnsi="Arial" w:cs="Arial"/>
          <w:sz w:val="24"/>
          <w:szCs w:val="24"/>
          <w:lang w:val="es-US"/>
        </w:rPr>
        <w:t xml:space="preserve">del cambio climático sobre la actividad agrícola </w:t>
      </w:r>
      <w:r>
        <w:rPr>
          <w:rFonts w:ascii="Arial" w:hAnsi="Arial" w:cs="Arial"/>
          <w:sz w:val="24"/>
          <w:szCs w:val="24"/>
          <w:lang w:val="es-US"/>
        </w:rPr>
        <w:fldChar w:fldCharType="begin"/>
      </w:r>
      <w:r w:rsidR="00CE513C">
        <w:rPr>
          <w:rFonts w:ascii="Arial" w:hAnsi="Arial" w:cs="Arial"/>
          <w:sz w:val="24"/>
          <w:szCs w:val="24"/>
          <w:lang w:val="es-US"/>
        </w:rPr>
        <w:instrText xml:space="preserve"> ADDIN ZOTERO_ITEM CSL_CITATION {"citationID":"xCiPiORH","properties":{"custom":"(Somraj {\\i{}et al}., 2017; Dar {\\i{}et al}., 2021)","unsorted":true,"formattedCitation":"(Somraj {\\i{}et al}., 2017; Dar {\\i{}et al}., 2021)","plainCitation":"(Somraj et al., 2017; Dar et al., 2021)","noteIndex":0},"citationItems":[{"id":580,"uris":["http://zotero.org/users/12642312/items/IN6KE6J6"],"itemData":{"id":580,"type":"article-journal","abstract":"Genetic variability was investigated in twenty genotypes of tomato for yield and quality traits during Kharif, 2014 at Experimental Farm of Vegetable Research Station, ARI, Rajendranagar, Hyderabad. The results of the study revealed that high PCV and GCV estimates were recorded for plant height, number of primary branches, number of clusters per plant, fruit set per cent, number of fruits per plant, number of fruit per cluster, fruit length, average fruit weight, fruit yield per plant, stomatal diffusive resistance, relative water content and chlorophyll content. High heritability coupled with high genetic advance as per cent of mean indicates operation of additive gene action which was observed in characters plant height, root to shoot ratio, number of primary branches per plant, number of flowers per cluster, number of clusters per plant, fruit set (%), number of fruits per cluster, number of fruits per plant, fruit length, fruit width, average fruit weight, fruit yield per plant, number of locules per fruit, ascorbic acid, lycopene content, stomatal diffusive resistance, relative water content and chlorophyll content. Hence, directional selection for the above characters could be effective for desired genetic improvement.","container-title":"Journal of Pharmacognosy and Phytochemistry","journalAbbreviation":"Journal of Pharmacognosy and Phytochemistry","page":"1956-1960","source":"ResearchGate","title":"Genetic variability, heritability and genetic advance for yield and quality attributes in heat tolerant exotic lines of tomato (Solanum lycopersicum L.)","URL":"https://www.researchgate.net/publication/321624734_Genetic_variability_heritability_and_genetic_advance_for_yield_and_quality_attributes_in_heat_tolerant_exotic_lines_of_tomato_Solanum_lycopersicum_L","volume":"6","author":[{"literal":"Somraj"},{"family":"Reddy","given":"R.V.S.K."},{"family":"Reddy","given":"K.Ravinder"},{"family":"Saidaiah","given":"dr.pidigam"},{"family":"Reddy","given":"Medagam"}],"issued":{"date-parts":[["2017",11,5]]}},"label":"page"},{"id":842,"uris":["http://zotero.org/users/12642312/items/IVADPK67"],"itemData":{"id":842,"type":"article-journal","abstract":"Extreme precipitation is considered one of the deadliest events causing climatological catastrophes around the globe. With the upsurge in global temperature, the chances of unprecedented events are increasing, continually escalating implications on society. The paper’s native aim is to understand the spatial-temporal variability of extreme precipitation indices connected with global oscillations over Srinagar city in central Kashmir, India. For the quantification of extreme precipitation, three types of precipitation indices based on percentile threshold and six types of fixed threshold indices have been utilized over the study region. Trend analysis has been performed on these extreme precipitation indices along with the Lag correlation technique to see the interference of these events with three global oscillation indices (El Niño southern oscillation (ENSO), Pacific decadal oscillation (PDO), and Atlantic multidecadal oscillation (AMO)). The observations depicted that the daily precipitation over the study region falls in the range of 5 to 30 mm, with 50-mm precipitation to be considered unprecedented as it shows maximum correlations with the discharge. Hence, precipitation of such intensity can cause flood situations in the study area. On observing the trend in these extreme precipitation indices, it is found that a slightly increasing trend exists in all extreme precipitation indices, with consecutive dry days showing a decreasing trend. The ENSO and PDO are positively correlated with all extreme precipitation indices in zero-lag primarily, while AMO only affects R_30–50 in a positive way. This study can be helpful for the flood forecasting system and assist in managing the water resources system, as it has quantified the precipitation excess and deficit years.","container-title":"Arabian Journal of Geosciences","DOI":"10.1007/s12517-021-07820-x","ISSN":"1866-7538","issue":"14","journalAbbreviation":"Arab J Geosci","language":"en","page":"1412","source":"Springer Link","title":"The anatomy of extreme precipitation events over Srinagar, Kashmir, India, over the past 50 years","URL":"https://doi.org/10.1007/s12517-021-07820-x","volume":"14","author":[{"family":"Dar","given":"Junaid"},{"family":"Nabi","given":"Sakiba"},{"family":"Dar","given":"Abdul Qayoom"},{"family":"Ahanger","given":"Manzoor Ahmad"}],"accessed":{"date-parts":[["2025",3,25]]},"issued":{"date-parts":[["2021",7,16]]}},"label":"page"}],"schema":"https://github.com/citation-style-language/schema/raw/master/csl-citation.json"} </w:instrText>
      </w:r>
      <w:r>
        <w:rPr>
          <w:rFonts w:ascii="Arial" w:hAnsi="Arial" w:cs="Arial"/>
          <w:sz w:val="24"/>
          <w:szCs w:val="24"/>
          <w:lang w:val="es-US"/>
        </w:rPr>
        <w:fldChar w:fldCharType="separate"/>
      </w:r>
      <w:r w:rsidR="00CE513C" w:rsidRPr="00716AA5">
        <w:rPr>
          <w:rFonts w:ascii="Arial" w:hAnsi="Arial" w:cs="Arial"/>
          <w:sz w:val="24"/>
          <w:szCs w:val="24"/>
          <w:lang w:val="es-ES"/>
        </w:rPr>
        <w:t>(</w:t>
      </w:r>
      <w:proofErr w:type="spellStart"/>
      <w:r w:rsidR="00CE513C" w:rsidRPr="00716AA5">
        <w:rPr>
          <w:rFonts w:ascii="Arial" w:hAnsi="Arial" w:cs="Arial"/>
          <w:sz w:val="24"/>
          <w:szCs w:val="24"/>
          <w:lang w:val="es-ES"/>
        </w:rPr>
        <w:t>Somraj</w:t>
      </w:r>
      <w:proofErr w:type="spellEnd"/>
      <w:r w:rsidR="00CE513C" w:rsidRPr="00716AA5">
        <w:rPr>
          <w:rFonts w:ascii="Arial" w:hAnsi="Arial" w:cs="Arial"/>
          <w:sz w:val="24"/>
          <w:szCs w:val="24"/>
          <w:lang w:val="es-ES"/>
        </w:rPr>
        <w:t xml:space="preserve"> </w:t>
      </w:r>
      <w:r w:rsidR="00CE513C" w:rsidRPr="00716AA5">
        <w:rPr>
          <w:rFonts w:ascii="Arial" w:hAnsi="Arial" w:cs="Arial"/>
          <w:i/>
          <w:iCs/>
          <w:sz w:val="24"/>
          <w:szCs w:val="24"/>
          <w:lang w:val="es-ES"/>
        </w:rPr>
        <w:t>et al</w:t>
      </w:r>
      <w:r w:rsidR="00CE513C" w:rsidRPr="00716AA5">
        <w:rPr>
          <w:rFonts w:ascii="Arial" w:hAnsi="Arial" w:cs="Arial"/>
          <w:sz w:val="24"/>
          <w:szCs w:val="24"/>
          <w:lang w:val="es-ES"/>
        </w:rPr>
        <w:t xml:space="preserve">., 2017; Dar </w:t>
      </w:r>
      <w:r w:rsidR="00CE513C" w:rsidRPr="00716AA5">
        <w:rPr>
          <w:rFonts w:ascii="Arial" w:hAnsi="Arial" w:cs="Arial"/>
          <w:i/>
          <w:iCs/>
          <w:sz w:val="24"/>
          <w:szCs w:val="24"/>
          <w:lang w:val="es-ES"/>
        </w:rPr>
        <w:t>et al</w:t>
      </w:r>
      <w:r w:rsidR="00CE513C" w:rsidRPr="00716AA5">
        <w:rPr>
          <w:rFonts w:ascii="Arial" w:hAnsi="Arial" w:cs="Arial"/>
          <w:sz w:val="24"/>
          <w:szCs w:val="24"/>
          <w:lang w:val="es-ES"/>
        </w:rPr>
        <w:t>., 2021)</w:t>
      </w:r>
      <w:r>
        <w:rPr>
          <w:rFonts w:ascii="Arial" w:hAnsi="Arial" w:cs="Arial"/>
          <w:sz w:val="24"/>
          <w:szCs w:val="24"/>
          <w:lang w:val="es-US"/>
        </w:rPr>
        <w:fldChar w:fldCharType="end"/>
      </w:r>
      <w:r>
        <w:rPr>
          <w:rFonts w:ascii="Arial" w:hAnsi="Arial" w:cs="Arial"/>
          <w:sz w:val="24"/>
          <w:szCs w:val="24"/>
          <w:lang w:val="es-US"/>
        </w:rPr>
        <w:t xml:space="preserve">. </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rFonts w:ascii="Arial" w:hAnsi="Arial" w:cs="Arial"/>
          <w:sz w:val="24"/>
          <w:szCs w:val="24"/>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r>
        <w:rPr>
          <w:lang w:val="es-ES"/>
        </w:rPr>
        <w:t>‬</w:t>
      </w:r>
    </w:p>
    <w:p w14:paraId="1E22F3BC" w14:textId="77777777" w:rsidR="008403BD" w:rsidRDefault="007D49D9">
      <w:pPr>
        <w:autoSpaceDE w:val="0"/>
        <w:autoSpaceDN w:val="0"/>
        <w:adjustRightInd w:val="0"/>
        <w:spacing w:before="120" w:after="0" w:line="360" w:lineRule="auto"/>
        <w:jc w:val="both"/>
        <w:rPr>
          <w:rFonts w:ascii="Arial" w:hAnsi="Arial" w:cs="Arial"/>
          <w:sz w:val="24"/>
          <w:szCs w:val="24"/>
          <w:lang w:val="es-US"/>
        </w:rPr>
      </w:pPr>
      <w:r>
        <w:rPr>
          <w:rFonts w:ascii="Arial" w:hAnsi="Arial" w:cs="Arial"/>
          <w:sz w:val="24"/>
          <w:szCs w:val="24"/>
          <w:lang w:val="es-US"/>
        </w:rPr>
        <w:t xml:space="preserve">En este sentido, </w:t>
      </w:r>
      <w:r w:rsidR="003460CA">
        <w:rPr>
          <w:rFonts w:ascii="Arial" w:hAnsi="Arial" w:cs="Arial"/>
          <w:sz w:val="24"/>
          <w:szCs w:val="24"/>
          <w:lang w:val="es-US"/>
        </w:rPr>
        <w:t>nuestro país</w:t>
      </w:r>
      <w:r>
        <w:rPr>
          <w:rFonts w:ascii="Arial" w:hAnsi="Arial" w:cs="Arial"/>
          <w:sz w:val="24"/>
          <w:szCs w:val="24"/>
          <w:lang w:val="es-US"/>
        </w:rPr>
        <w:t xml:space="preserve"> se debe preparar para enfrentar el desafío del cambio climático, de ahí que disponer de instrumentos que permitan simular situaciones </w:t>
      </w:r>
      <w:r w:rsidR="000C5319">
        <w:rPr>
          <w:rFonts w:ascii="Arial" w:hAnsi="Arial" w:cs="Arial"/>
          <w:sz w:val="24"/>
          <w:szCs w:val="24"/>
          <w:lang w:val="es-US"/>
        </w:rPr>
        <w:t>extremas</w:t>
      </w:r>
      <w:r>
        <w:rPr>
          <w:rFonts w:ascii="Arial" w:hAnsi="Arial" w:cs="Arial"/>
          <w:sz w:val="24"/>
          <w:szCs w:val="24"/>
          <w:lang w:val="es-US"/>
        </w:rPr>
        <w:t xml:space="preserve"> para los cultivos, permitirá tomar medidas alternativas para mitigar los mismos.   </w:t>
      </w:r>
    </w:p>
    <w:p w14:paraId="3DED3D1A" w14:textId="77777777" w:rsidR="008403BD" w:rsidRDefault="007D49D9">
      <w:p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ES"/>
        </w:rPr>
        <w:lastRenderedPageBreak/>
        <w:t xml:space="preserve">De forma integrada, se han combinado muchas ecuaciones matemáticas para desarrollar un modelo que relacionen las plantas, los suelos y la atmósfera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{"citationID":"CC3mW2eZ","properties":{"custom":"(Saqib {\\i{}et al}., 2020)","formattedCitation":"(Saqib {\\i{}et al}., 2020)","plainCitation":"(Saqib et al., 2020)","noteIndex":0},"citationItems":[{"id":846,"uris":["http://zotero.org/users/12642312/items/8AU6LV6P"],"itemData":{"id":846,"type":"article-journal","language":"en","source":"Zotero","title":"Integrating Novel Deep Neural Networks on the Analysis of Fractional Epidemiological Models in both Populations with Disease Infection","author":[{"family":"Saqib","given":"Sana Ullah"},{"family":"Anjum","given":"Muhammad Wajahat"},{"family":"Hasan","given":"Ali"},{"family":"Qasmi","given":"M Hakam Ali"}],"issued":{"date-parts":[["2020"]]}}}],"schema":"https://github.com/citation-style-language/schema/raw/master/csl-citation.json"}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(Saqib </w:t>
      </w:r>
      <w:r>
        <w:rPr>
          <w:rFonts w:ascii="Arial" w:hAnsi="Arial" w:cs="Arial"/>
          <w:i/>
          <w:iCs/>
          <w:sz w:val="24"/>
          <w:szCs w:val="24"/>
          <w:lang w:val="es-ES"/>
        </w:rPr>
        <w:t>et al</w:t>
      </w:r>
      <w:r>
        <w:rPr>
          <w:rFonts w:ascii="Arial" w:hAnsi="Arial" w:cs="Arial"/>
          <w:sz w:val="24"/>
          <w:szCs w:val="24"/>
          <w:lang w:val="es-ES"/>
        </w:rPr>
        <w:t>., 2020)</w:t>
      </w:r>
      <w:r>
        <w:rPr>
          <w:rFonts w:ascii="Arial" w:hAnsi="Arial" w:cs="Arial"/>
          <w:sz w:val="24"/>
          <w:szCs w:val="24"/>
          <w:lang w:val="es-ES"/>
        </w:rPr>
        <w:fldChar w:fldCharType="end"/>
      </w:r>
      <w:r>
        <w:rPr>
          <w:rFonts w:ascii="Arial" w:hAnsi="Arial" w:cs="Arial"/>
          <w:sz w:val="24"/>
          <w:szCs w:val="24"/>
          <w:lang w:val="es-ES"/>
        </w:rPr>
        <w:t xml:space="preserve">. Estos modelos simulan el rendimiento del cultivo estudiado, prediciendo con exactitud su crecimiento y las etapas de desarrollo morfológico de sus partes, como el tallo, las raíces, las hojas y los frutos. Los modelos de simulación de cultivos constituyen la mayor parte de los sistemas de apoyo a la toma de decisiones de diferentes cultivos como el tomate. </w:t>
      </w:r>
      <w:r>
        <w:rPr>
          <w:rFonts w:ascii="Arial" w:hAnsi="Arial" w:cs="Arial"/>
          <w:sz w:val="24"/>
          <w:szCs w:val="24"/>
          <w:lang w:val="es-US"/>
        </w:rPr>
        <w:t xml:space="preserve">Estos modelos de simulación son útiles para el tipo de análisis de factibilidad de la producción agrícola y la predicción de rendimientos medios y potenciales, contemplando su variabilidad temporal y espacial, evaluando el riesgo productivo ante los cambios climáticos previstos </w:t>
      </w:r>
      <w:r>
        <w:rPr>
          <w:rFonts w:ascii="Arial" w:hAnsi="Arial" w:cs="Arial"/>
          <w:sz w:val="24"/>
          <w:szCs w:val="24"/>
          <w:lang w:val="es-US"/>
        </w:rPr>
        <w:fldChar w:fldCharType="begin"/>
      </w:r>
      <w:r>
        <w:rPr>
          <w:rFonts w:ascii="Arial" w:hAnsi="Arial" w:cs="Arial"/>
          <w:sz w:val="24"/>
          <w:szCs w:val="24"/>
          <w:lang w:val="es-US"/>
        </w:rPr>
        <w:instrText xml:space="preserve"> ADDIN ZOTERO_ITEM CSL_CITATION {"citationID":"r3Ir3SDo","properties":{"custom":"(Ara {\\i{}et al}., 2021; Phuoc {\\i{}et al}., 2023)","formattedCitation":"(Ara {\\i{}et al}., 2021; Phuoc {\\i{}et al}., 2023)","plainCitation":"(Ara et al., 2021; Phuoc et al., 2023)","noteIndex":0},"citationItems":[{"id":847,"uris":["http://zotero.org/users/12642312/items/26FL5V4C"],"itemData":{"id":847,"type":"article-journal","abstract":"Decision support systems (DSS) have long been used in research, service provision and extension. Despite the diversity of technological applications in which past agricultural DSS canvass, there has been relatively little information on either the functional aspects of DSS designed for economic decisions in irrigated cropping, or the human and social factors influencing the adoption of knowledge from such DSS. The objectives of the study were to (1) review the functionality and target end-users of economic DSS for irrigated cropping systems, (2) document the extent to which these DSS account for and visualise uncertainty in DSS outputs, (3) examine tactical or strategic decisions able to be explored in DSS (with irrigation infrastructure being a key strategic decision), and (4) explore the human and social factors influencing adoption of DSS heuristics. This study showed that development of previous DSS has often occurred as a result of a technology push instead of end-user pull, which has meant that previous DSS have been generated in a top-down fashion rather than being demand-driven by end-user needs. We found that few DSS enable analysis of both tactical and strategic decisions, and that few DSS account for uncertainty in their outputs. We uncover a surprising lack of documented end-user feedback on economic DSS for irrigated cropping, such as end-user satisfaction with DSS functionality or future intentions to use the technology, as well as a lack of DSS application outside regions in which they were originally developed. Declining adoption of DSS does not necessarily imply declining adoption of DSS heuristics; in fact, declining DSS uptake may indicate that knowledge and heuristics extended by the DSS has been successful, obviating the need for use of the DSS per se. Future DSS could be improved through the use of demand-driven participatory approaches more aligned with user needs, with more training to build human capacity including understanding uncertainty and ability to contrast tactical and strategic decisions using multiple economic, environmental and social metrics.","container-title":"Agricultural Water Management","DOI":"10.1016/j.agwat.2021.107161","ISSN":"0378-3774","journalAbbreviation":"Agricultural Water Management","page":"107161","source":"ScienceDirect","title":"Application, adoption and opportunities for improving decision support systems in irrigated agriculture: A review","title-short":"Application, adoption and opportunities for improving decision support systems in irrigated agriculture","URL":"https://www.sciencedirect.com/science/article/pii/S0378377421004388","volume":"257","author":[{"family":"Ara","given":"Iffat"},{"family":"Turner","given":"Lydia"},{"family":"Harrison","given":"Matthew Tom"},{"family":"Monjardino","given":"Marta"},{"family":"deVoil","given":"Peter"},{"family":"Rodriguez","given":"Daniel"}],"accessed":{"date-parts":[["2025",3,25]]},"issued":{"date-parts":[["2021",11,1]]}},"label":"page"},{"id":631,"uris":["http://zotero.org/users/12642312/items/I77XCMEQ"],"itemData":{"id":631,"type":"article-journal","abstract":"Modeling science has been applied by many advanced countries in many fields, such as geology, meteorology, climate change, crop productivity, environment, erosion, and landslide. The crop model simulates the processes of agriculture. The writing of this article is descriptive qualitative using the Systematic Literature Review (SLR) method. So far, each model has its advantages and disadvantages but generally is based on the physiology of the growth and development of crops in relationship with soil, climate, solar radiation energy, and limiting factors to plant growth. There have been many models for rice that can forecast yield and biomass or predict future climate change dynamics. Meanwhile, many models such as DSSAT, AquaCrop, Oryza, APSIM, EPIC need more data to operate their modeling, which in many cases, data is not readily available. In this review, we would like to introduce the model “SIMPLE” which includes only thirteen parameters and four of which describe cultivar characteristics. Another advantage of “SIMPLE” is that it can be adapted for many crop species and added variable modules such as nutrient dynamics, water stress, temperature stress, or pests. It is entirely open source based on R programming, but limitations still exist that have been mentioned in the review.","container-title":"Journal of Applied Agricultural Science and Technology","DOI":"10.55043/jaast.v7i3.123","ISSN":"2621-2528, 2621-4709","issue":"3","journalAbbreviation":"J. appl. agricultural sci. technol.","language":"en","license":"https://creativecommons.org/licenses/by-sa/4.0","page":"197-216","source":"DOI.org (Crossref)","title":"Literature Review Crop Modeling and Introduction a Simple Crop Model","URL":"https://www.jaast.org/index.php/jaast/article/view/123","volume":"7","author":[{"family":"Phuoc","given":"Le Huu"},{"family":"Suliansyah","given":"Irfan"},{"family":"Arlius","given":"Feri"},{"family":"Chaniago","given":"Irawati"},{"family":"Xuan","given":"Nguyen Thi Thanh"},{"family":"Quang","given":"Pham Van"}],"accessed":{"date-parts":[["2025",3,12]]},"issued":{"date-parts":[["2023",8,25]]}},"label":"page"}],"schema":"https://github.com/citation-style-language/schema/raw/master/csl-citation.json"} </w:instrText>
      </w:r>
      <w:r>
        <w:rPr>
          <w:rFonts w:ascii="Arial" w:hAnsi="Arial" w:cs="Arial"/>
          <w:sz w:val="24"/>
          <w:szCs w:val="24"/>
          <w:lang w:val="es-US"/>
        </w:rPr>
        <w:fldChar w:fldCharType="separate"/>
      </w:r>
      <w:r>
        <w:rPr>
          <w:rFonts w:ascii="Arial" w:hAnsi="Arial" w:cs="Arial"/>
          <w:sz w:val="24"/>
          <w:szCs w:val="24"/>
          <w:lang w:val="es-ES"/>
        </w:rPr>
        <w:t xml:space="preserve">(Ara </w:t>
      </w:r>
      <w:r>
        <w:rPr>
          <w:rFonts w:ascii="Arial" w:hAnsi="Arial" w:cs="Arial"/>
          <w:i/>
          <w:iCs/>
          <w:sz w:val="24"/>
          <w:szCs w:val="24"/>
          <w:lang w:val="es-ES"/>
        </w:rPr>
        <w:t>et al</w:t>
      </w:r>
      <w:r>
        <w:rPr>
          <w:rFonts w:ascii="Arial" w:hAnsi="Arial" w:cs="Arial"/>
          <w:sz w:val="24"/>
          <w:szCs w:val="24"/>
          <w:lang w:val="es-ES"/>
        </w:rPr>
        <w:t xml:space="preserve">., 2021; Phuoc </w:t>
      </w:r>
      <w:r>
        <w:rPr>
          <w:rFonts w:ascii="Arial" w:hAnsi="Arial" w:cs="Arial"/>
          <w:i/>
          <w:iCs/>
          <w:sz w:val="24"/>
          <w:szCs w:val="24"/>
          <w:lang w:val="es-ES"/>
        </w:rPr>
        <w:t>et al</w:t>
      </w:r>
      <w:r>
        <w:rPr>
          <w:rFonts w:ascii="Arial" w:hAnsi="Arial" w:cs="Arial"/>
          <w:sz w:val="24"/>
          <w:szCs w:val="24"/>
          <w:lang w:val="es-ES"/>
        </w:rPr>
        <w:t>., 2023)</w:t>
      </w:r>
      <w:r>
        <w:rPr>
          <w:rFonts w:ascii="Arial" w:hAnsi="Arial" w:cs="Arial"/>
          <w:sz w:val="24"/>
          <w:szCs w:val="24"/>
          <w:lang w:val="es-US"/>
        </w:rPr>
        <w:fldChar w:fldCharType="end"/>
      </w:r>
      <w:r>
        <w:rPr>
          <w:rFonts w:ascii="Arial" w:hAnsi="Arial" w:cs="Arial"/>
          <w:sz w:val="24"/>
          <w:szCs w:val="24"/>
          <w:lang w:val="es-ES"/>
        </w:rPr>
        <w:t xml:space="preserve">. Estos permiten la experimentación, sustituyendo la investigación tradicional basada en experimentos de campo, permitiendo realizar una evaluación económica y rápida del efecto de diversas alternativas de manejo agrícola, reduciendo el riesgo, el tiempo de respuesta y los costos.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{"citationID":"5eeyZ5JR","properties":{"custom":"(Yang {\\i{}et al}., 2014)","formattedCitation":"(Yang {\\i{}et al}., 2014)","plainCitation":"(Yang et al., 2014)","noteIndex":0},"citationItems":[{"id":855,"uris":["http://zotero.org/users/12642312/items/CNBD9J7Z"],"itemData":{"id":855,"type":"article-journal","abstract":"Calibration and evaluation are two important steps prior to the application of a crop simulation model. The objective of this paper was to review common statistical methods that are being used for crop model calibration and evaluation. A group of deviation statistics were reviewed, including root mean squired error (RMSE), normalize-RMSE (nRMSE), mean absolute error (MAE), mean error (E), paired-t, index of agreement (d), modified index of agreement (d1), revised index of agreement (d1′), modeling efficiency (EF) and revised modeling efficiency (EF1). A case study of the statistical evaluation was conducted for the DSSAT Cropping System Model (CSM) using 10 experimental datasets for maize, peanut, soybean, wheat and potato from Brazil, China, Ghana, and the USA. The results indicated that R2 was not a good statistic for model evaluation because it is insensitive to regression coefficients (α and β) of the linear model y=α+βx+ε. However, linear regression can be used for model evaluation (test H0: α=0, β=1) if auto-correlation, normality and heteroskedasticaity of the error term (ε) are tested or the proper data transfers are made. The results also illustrated that statistical evaluation of total dataset across treatments might be insufficient. Hence the evaluation of each treatment is necessary to make the right conclusion, especially when evaluating soil water content under different planting date treatments and soil mineral N under different N treatments. Co-variability analysis among dimensionless statistics (d, d1, d1′, EF and EF1) recommended that d and EF are inflated by the sum of squares-based deviations, i.e., the larger deviations contribute more weight on the statistic than the smaller deviation due to the squared term. However, EF had a larger range and a clear physical meaning at EF=0, making it superior to d. Values of d=0.75 were obtained from regression with all positive values of EF (EF</w:instrText>
      </w:r>
      <w:r>
        <w:rPr>
          <w:rFonts w:ascii="Cambria Math" w:hAnsi="Cambria Math" w:cs="Cambria Math"/>
          <w:sz w:val="24"/>
          <w:szCs w:val="24"/>
          <w:lang w:val="es-ES"/>
        </w:rPr>
        <w:instrText>⩾</w:instrText>
      </w:r>
      <w:r>
        <w:rPr>
          <w:rFonts w:ascii="Arial" w:hAnsi="Arial" w:cs="Arial"/>
          <w:sz w:val="24"/>
          <w:szCs w:val="24"/>
          <w:lang w:val="es-ES"/>
        </w:rPr>
        <w:instrText>0), indicating that values of d</w:instrText>
      </w:r>
      <w:r>
        <w:rPr>
          <w:rFonts w:ascii="Cambria Math" w:hAnsi="Cambria Math" w:cs="Cambria Math"/>
          <w:sz w:val="24"/>
          <w:szCs w:val="24"/>
          <w:lang w:val="es-ES"/>
        </w:rPr>
        <w:instrText>⩾</w:instrText>
      </w:r>
      <w:r>
        <w:rPr>
          <w:rFonts w:ascii="Arial" w:hAnsi="Arial" w:cs="Arial"/>
          <w:sz w:val="24"/>
          <w:szCs w:val="24"/>
          <w:lang w:val="es-ES"/>
        </w:rPr>
        <w:instrText>0.75 and EF</w:instrText>
      </w:r>
      <w:r>
        <w:rPr>
          <w:rFonts w:ascii="Cambria Math" w:hAnsi="Cambria Math" w:cs="Cambria Math"/>
          <w:sz w:val="24"/>
          <w:szCs w:val="24"/>
          <w:lang w:val="es-ES"/>
        </w:rPr>
        <w:instrText>⩾</w:instrText>
      </w:r>
      <w:r>
        <w:rPr>
          <w:rFonts w:ascii="Arial" w:hAnsi="Arial" w:cs="Arial"/>
          <w:sz w:val="24"/>
          <w:szCs w:val="24"/>
          <w:lang w:val="es-ES"/>
        </w:rPr>
        <w:instrText>0 should be the minimum values for plant growth evaluation. Values of d</w:instrText>
      </w:r>
      <w:r>
        <w:rPr>
          <w:rFonts w:ascii="Cambria Math" w:hAnsi="Cambria Math" w:cs="Cambria Math"/>
          <w:sz w:val="24"/>
          <w:szCs w:val="24"/>
          <w:lang w:val="es-ES"/>
        </w:rPr>
        <w:instrText>⩾</w:instrText>
      </w:r>
      <w:r>
        <w:rPr>
          <w:rFonts w:ascii="Arial" w:hAnsi="Arial" w:cs="Arial"/>
          <w:sz w:val="24"/>
          <w:szCs w:val="24"/>
          <w:lang w:val="es-ES"/>
        </w:rPr>
        <w:instrText>0.60 and EF</w:instrText>
      </w:r>
      <w:r>
        <w:rPr>
          <w:rFonts w:ascii="Cambria Math" w:hAnsi="Cambria Math" w:cs="Cambria Math"/>
          <w:sz w:val="24"/>
          <w:szCs w:val="24"/>
          <w:lang w:val="es-ES"/>
        </w:rPr>
        <w:instrText>⩾</w:instrText>
      </w:r>
      <w:r>
        <w:rPr>
          <w:rFonts w:ascii="Arial" w:hAnsi="Arial" w:cs="Arial"/>
          <w:sz w:val="24"/>
          <w:szCs w:val="24"/>
          <w:lang w:val="es-ES"/>
        </w:rPr>
        <w:instrText xml:space="preserve">−1.0 should be the minimum values for soil outputs evaluation combined with t-test due to the fact that the soil parameters in the DSSAT SOIL module are difficult to calibrate compared with plant growth parameters because of no sufficient observed soil dataset. Due to the statistical nature, no single statistic is more robust over others but some statistics are highly correlated. Therefore, several statistics may be used from each of the following correlated groups (RMSE, MAE), (E, t-test), (d, d1, d1′) and (EF, EF1) in one assessment of model evaluation so that a representative statistical conclusion can be obtained with respect to model performance.","container-title":"Agricultural Systems","DOI":"10.1016/j.agsy.2014.01.008","ISSN":"0308-521X","journalAbbreviation":"Agricultural Systems","page":"81-89","source":"ScienceDirect","title":"An evaluation of the statistical methods for testing the performance of crop models with observed data","URL":"https://www.sciencedirect.com/science/article/pii/S0308521X14000171","volume":"127","author":[{"family":"Yang","given":"J. M."},{"family":"Yang","given":"J. Y."},{"family":"Liu","given":"S."},{"family":"Hoogenboom","given":"G."}],"accessed":{"date-parts":[["2025",3,25]]},"issued":{"date-parts":[["2014",5,1]]}}}],"schema":"https://github.com/citation-style-language/schema/raw/master/csl-citation.json"}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(Yang </w:t>
      </w:r>
      <w:r>
        <w:rPr>
          <w:rFonts w:ascii="Arial" w:hAnsi="Arial" w:cs="Arial"/>
          <w:i/>
          <w:iCs/>
          <w:sz w:val="24"/>
          <w:szCs w:val="24"/>
          <w:lang w:val="es-ES"/>
        </w:rPr>
        <w:t>et al</w:t>
      </w:r>
      <w:r>
        <w:rPr>
          <w:rFonts w:ascii="Arial" w:hAnsi="Arial" w:cs="Arial"/>
          <w:sz w:val="24"/>
          <w:szCs w:val="24"/>
          <w:lang w:val="es-ES"/>
        </w:rPr>
        <w:t>., 2014)</w:t>
      </w:r>
      <w:r>
        <w:rPr>
          <w:rFonts w:ascii="Arial" w:hAnsi="Arial" w:cs="Arial"/>
          <w:sz w:val="24"/>
          <w:szCs w:val="24"/>
          <w:lang w:val="es-ES"/>
        </w:rPr>
        <w:fldChar w:fldCharType="end"/>
      </w:r>
      <w:r>
        <w:rPr>
          <w:rFonts w:ascii="Arial" w:hAnsi="Arial" w:cs="Arial"/>
          <w:sz w:val="24"/>
          <w:szCs w:val="24"/>
          <w:lang w:val="es-ES"/>
        </w:rPr>
        <w:t>.</w:t>
      </w:r>
    </w:p>
    <w:p w14:paraId="514DE510" w14:textId="77777777" w:rsidR="008403BD" w:rsidRDefault="007D49D9">
      <w:pPr>
        <w:autoSpaceDE w:val="0"/>
        <w:autoSpaceDN w:val="0"/>
        <w:adjustRightInd w:val="0"/>
        <w:spacing w:before="120" w:after="0" w:line="360" w:lineRule="auto"/>
        <w:jc w:val="both"/>
        <w:rPr>
          <w:rFonts w:ascii="Arial" w:hAnsi="Arial" w:cs="Arial"/>
          <w:sz w:val="24"/>
          <w:szCs w:val="24"/>
          <w:lang w:val="es-US"/>
        </w:rPr>
      </w:pPr>
      <w:r>
        <w:rPr>
          <w:rStyle w:val="tlid-translation"/>
          <w:rFonts w:ascii="Arial" w:hAnsi="Arial" w:cs="Arial"/>
          <w:sz w:val="24"/>
          <w:szCs w:val="24"/>
          <w:lang w:val="es-US"/>
        </w:rPr>
        <w:t xml:space="preserve">El uso exitoso del modelo de cultivo depende de la determinación de los coeficientes genéticos de un cultivar, los cuales se puede obtener a partir de la calibración apropiada del modelo </w:t>
      </w:r>
      <w:r>
        <w:rPr>
          <w:rStyle w:val="tlid-translation"/>
          <w:rFonts w:ascii="Arial" w:hAnsi="Arial" w:cs="Arial"/>
          <w:sz w:val="24"/>
          <w:szCs w:val="24"/>
          <w:lang w:val="es-US"/>
        </w:rPr>
        <w:fldChar w:fldCharType="begin"/>
      </w:r>
      <w:r w:rsidR="00D929D9">
        <w:rPr>
          <w:rStyle w:val="tlid-translation"/>
          <w:rFonts w:ascii="Arial" w:hAnsi="Arial" w:cs="Arial"/>
          <w:sz w:val="24"/>
          <w:szCs w:val="24"/>
          <w:lang w:val="es-US"/>
        </w:rPr>
        <w:instrText xml:space="preserve"> ADDIN ZOTERO_ITEM CSL_CITATION {"citationID":"bh0IdPgy","properties":{"custom":"(Choudhury {\\i{}et al}., 2018)","formattedCitation":"(Choudhury {\\i{}et al}., 2018)","plainCitation":"(Choudhury et al., 2018)","noteIndex":0},"citationItems":[{"id":926,"uris":["http://zotero.org/users/12642312/items/B9AHY8ZQ"],"itemData":{"id":926,"type":"article-journal","abstract":"Semi-numerical models of the reionization of neutral hydrogen (HI) based on the excursion set (ES) approach are known to violate photon number conservation at the few per cent level. In this work, we highlight a more severe, previously unrecognized shortcoming of ES models: the large-scale 21 cm power spectrum (equivalently, HI bias bHI) is a relatively strong function of the spatial resolution used to generate ES ionization maps. We trace this problem to the fact that photon non-conservation in these models arises from a resolution-dependent mixture of spatially resolved, photon non-conserving bubbles, and partially ionized grid cells which are perfectly photon-conserving by construction. We argue that this inevitably leads to a resolutiondependence of bHI, with the correct, converged value only emerging at very coarse resolution. Quantitatively, we ﬁnd that bHI can be non-converged by as much as </w:instrText>
      </w:r>
      <w:r w:rsidR="00D929D9">
        <w:rPr>
          <w:rStyle w:val="tlid-translation"/>
          <w:rFonts w:ascii="Cambria Math" w:hAnsi="Cambria Math" w:cs="Cambria Math"/>
          <w:sz w:val="24"/>
          <w:szCs w:val="24"/>
          <w:lang w:val="es-US"/>
        </w:rPr>
        <w:instrText>∼</w:instrText>
      </w:r>
      <w:r w:rsidR="00D929D9">
        <w:rPr>
          <w:rStyle w:val="tlid-translation"/>
          <w:rFonts w:ascii="Arial" w:hAnsi="Arial" w:cs="Arial"/>
          <w:sz w:val="24"/>
          <w:szCs w:val="24"/>
          <w:lang w:val="es-US"/>
        </w:rPr>
        <w:instrText xml:space="preserve"> 2025% in conservative ES implementations with grid sizes ∆x = 5-10h−1cMpc, even when photon non-conservation is as small as </w:instrText>
      </w:r>
      <w:r w:rsidR="00D929D9">
        <w:rPr>
          <w:rStyle w:val="tlid-translation"/>
          <w:rFonts w:ascii="Cambria Math" w:hAnsi="Cambria Math" w:cs="Cambria Math"/>
          <w:sz w:val="24"/>
          <w:szCs w:val="24"/>
          <w:lang w:val="es-US"/>
        </w:rPr>
        <w:instrText>∼</w:instrText>
      </w:r>
      <w:r w:rsidR="00D929D9">
        <w:rPr>
          <w:rStyle w:val="tlid-translation"/>
          <w:rFonts w:ascii="Arial" w:hAnsi="Arial" w:cs="Arial"/>
          <w:sz w:val="24"/>
          <w:szCs w:val="24"/>
          <w:lang w:val="es-US"/>
        </w:rPr>
        <w:instrText xml:space="preserve"> 3-4%. Thus, although numerically eﬃcient, ES ionization maps coarse enough to produce a converged HI bias would wash out all topological features of the ionization ﬁeld at scales k &amp; 0.05h/cMpc. We therefore present a new, explicitly photon conserving (PC) semi-numerical algorithm which distributes photons isotropically around sources while also accounting for anisotropic overlaps between nearby bubbles. Our PC algorithm predicts a resolution-independent value of bHI consistent with the result of low-resolution ES maps, thus serving as a useful compromise between standard ES implementations and more expensive radiative transfer simulations.","container-title":"Monthly Notices of the Royal Astronomical Society","DOI":"10.1093/mnras/sty2551","ISSN":"0035-8711, 1365-2966","issue":"3","language":"en","note":"arXiv:1807.00836 [astro-ph]","page":"3821-3837","source":"arXiv.org","title":"Photon number conservation and the large-scale 21 cm power spectrum in semi-numerical models of reionization","URL":"http://arxiv.org/abs/1807.00836","volume":"481","author":[{"family":"Choudhury","given":"T. Roy"},{"family":"Paranjape","given":"Aseem"}],"accessed":{"date-parts":[["2025",3,26]]},"issued":{"date-parts":[["2018",12,11]]}}}],"schema":"https://github.com/citation-style-language/schema/raw/master/csl-citation.json"} </w:instrText>
      </w:r>
      <w:r>
        <w:rPr>
          <w:rStyle w:val="tlid-translation"/>
          <w:rFonts w:ascii="Arial" w:hAnsi="Arial" w:cs="Arial"/>
          <w:sz w:val="24"/>
          <w:szCs w:val="24"/>
          <w:lang w:val="es-US"/>
        </w:rPr>
        <w:fldChar w:fldCharType="separate"/>
      </w:r>
      <w:r w:rsidR="00D929D9" w:rsidRPr="00D929D9">
        <w:rPr>
          <w:rFonts w:ascii="Arial" w:hAnsi="Arial" w:cs="Arial"/>
          <w:sz w:val="24"/>
          <w:szCs w:val="24"/>
          <w:lang w:val="es-ES"/>
        </w:rPr>
        <w:t xml:space="preserve">(Choudhury </w:t>
      </w:r>
      <w:r w:rsidR="00D929D9" w:rsidRPr="00D929D9">
        <w:rPr>
          <w:rFonts w:ascii="Arial" w:hAnsi="Arial" w:cs="Arial"/>
          <w:i/>
          <w:iCs/>
          <w:sz w:val="24"/>
          <w:szCs w:val="24"/>
          <w:lang w:val="es-ES"/>
        </w:rPr>
        <w:t>et al</w:t>
      </w:r>
      <w:r w:rsidR="00D929D9" w:rsidRPr="00D929D9">
        <w:rPr>
          <w:rFonts w:ascii="Arial" w:hAnsi="Arial" w:cs="Arial"/>
          <w:sz w:val="24"/>
          <w:szCs w:val="24"/>
          <w:lang w:val="es-ES"/>
        </w:rPr>
        <w:t>., 2018)</w:t>
      </w:r>
      <w:r>
        <w:rPr>
          <w:rStyle w:val="tlid-translation"/>
          <w:rFonts w:ascii="Arial" w:hAnsi="Arial" w:cs="Arial"/>
          <w:sz w:val="24"/>
          <w:szCs w:val="24"/>
          <w:lang w:val="es-US"/>
        </w:rPr>
        <w:fldChar w:fldCharType="end"/>
      </w:r>
      <w:r>
        <w:rPr>
          <w:rStyle w:val="tlid-translation"/>
          <w:rFonts w:ascii="Arial" w:hAnsi="Arial" w:cs="Arial"/>
          <w:sz w:val="24"/>
          <w:szCs w:val="24"/>
          <w:lang w:val="es-US"/>
        </w:rPr>
        <w:t xml:space="preserve">. </w:t>
      </w:r>
      <w:r>
        <w:rPr>
          <w:rFonts w:ascii="Arial" w:hAnsi="Arial" w:cs="Arial"/>
          <w:sz w:val="24"/>
          <w:szCs w:val="24"/>
          <w:lang w:val="es-US"/>
        </w:rPr>
        <w:t xml:space="preserve">Los modelos de cultivos calibrados con parámetros de cultivar pueden utilizarse para analizar e interpretar distintos escenarios futuros debido a modificaciones que deseen proponerse en el manejo del cultivo, cambios en las condiciones climáticas o para el pronóstico de rendimiento, entre otros indicadores  </w:t>
      </w:r>
      <w:r>
        <w:rPr>
          <w:rFonts w:ascii="Arial" w:hAnsi="Arial" w:cs="Arial"/>
          <w:sz w:val="24"/>
          <w:szCs w:val="24"/>
          <w:lang w:val="es-US"/>
        </w:rPr>
        <w:fldChar w:fldCharType="begin"/>
      </w:r>
      <w:r w:rsidR="00364F43">
        <w:rPr>
          <w:rFonts w:ascii="Arial" w:hAnsi="Arial" w:cs="Arial"/>
          <w:sz w:val="24"/>
          <w:szCs w:val="24"/>
          <w:lang w:val="es-US"/>
        </w:rPr>
        <w:instrText xml:space="preserve"> ADDIN ZOTERO_ITEM CSL_CITATION {"citationID":"DHW8urhD","properties":{"custom":"(Rodr\\uc0\\u237{}guez {\\i{}et al}., 2018)","formattedCitation":"(Rodr\\uc0\\u237{}guez {\\i{}et al}., 2018)","plainCitation":"(Rodríguez et al., 2018)","noteIndex":0},"citationItems":[{"id":306,"uris":["http://zotero.org/users/12642312/items/Y2TUN3BH"],"itemData":{"id":306,"type":"article-journal","container-title":"Cultivos Tropicales","ISSN":"0258-5936","issue":"1","note":"publisher: Ediciones INCA","page":"121-126","source":"SciELO","title":"Aplicaciones de la modelación matemática y la simulación de cultivos agrícolas en Cuba","URL":"http://scielo.sld.cu/scielo.php?script=sci_abstract&amp;pid=S0258-59362018000100018&amp;lng=es&amp;nrm=iso&amp;tlng=es","volume":"39","author":[{"family":"Rodríguez","given":"Osmel"},{"family":"Florido-Bacallao","given":"René"},{"family":"Varela-Nualles","given":"Mario"}],"accessed":{"date-parts":[["2023",12,18]]},"issued":{"date-parts":[["2018",3]]}}}],"schema":"https://github.com/citation-style-language/schema/raw/master/csl-citation.json"} </w:instrText>
      </w:r>
      <w:r>
        <w:rPr>
          <w:rFonts w:ascii="Arial" w:hAnsi="Arial" w:cs="Arial"/>
          <w:sz w:val="24"/>
          <w:szCs w:val="24"/>
          <w:lang w:val="es-US"/>
        </w:rPr>
        <w:fldChar w:fldCharType="separate"/>
      </w:r>
      <w:r w:rsidR="00364F43" w:rsidRPr="00364F43">
        <w:rPr>
          <w:rFonts w:ascii="Arial" w:hAnsi="Arial" w:cs="Arial"/>
          <w:sz w:val="24"/>
          <w:szCs w:val="24"/>
          <w:lang w:val="es-ES"/>
        </w:rPr>
        <w:t xml:space="preserve">(Rodríguez </w:t>
      </w:r>
      <w:r w:rsidR="00364F43" w:rsidRPr="00364F43">
        <w:rPr>
          <w:rFonts w:ascii="Arial" w:hAnsi="Arial" w:cs="Arial"/>
          <w:i/>
          <w:iCs/>
          <w:sz w:val="24"/>
          <w:szCs w:val="24"/>
          <w:lang w:val="es-ES"/>
        </w:rPr>
        <w:t>et al</w:t>
      </w:r>
      <w:r w:rsidR="00364F43" w:rsidRPr="00364F43">
        <w:rPr>
          <w:rFonts w:ascii="Arial" w:hAnsi="Arial" w:cs="Arial"/>
          <w:sz w:val="24"/>
          <w:szCs w:val="24"/>
          <w:lang w:val="es-ES"/>
        </w:rPr>
        <w:t>., 2018)</w:t>
      </w:r>
      <w:r>
        <w:rPr>
          <w:rFonts w:ascii="Arial" w:hAnsi="Arial" w:cs="Arial"/>
          <w:sz w:val="24"/>
          <w:szCs w:val="24"/>
          <w:lang w:val="es-US"/>
        </w:rPr>
        <w:fldChar w:fldCharType="end"/>
      </w:r>
      <w:r>
        <w:rPr>
          <w:rFonts w:ascii="Arial" w:hAnsi="Arial" w:cs="Arial"/>
          <w:sz w:val="24"/>
          <w:szCs w:val="24"/>
          <w:lang w:val="es-US"/>
        </w:rPr>
        <w:t xml:space="preserve">. </w:t>
      </w:r>
    </w:p>
    <w:p w14:paraId="34596FC1" w14:textId="77777777" w:rsidR="008403BD" w:rsidRDefault="007D49D9">
      <w:p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US"/>
        </w:rPr>
        <w:t xml:space="preserve">La obtención de nuevos datos mediante la experimentación agronómica, además de generar resultados específicos para cada lugar en concreto en el espacio y el tiempo es un proceso costoso, lo que sugiere la búsqueda de otras alternativas para dar respuesta a tal situación, entre los que se enmarcan los modelos matemáticos y de simulación </w:t>
      </w:r>
      <w:r>
        <w:rPr>
          <w:rFonts w:ascii="Arial" w:hAnsi="Arial" w:cs="Arial"/>
          <w:sz w:val="24"/>
          <w:szCs w:val="24"/>
          <w:lang w:val="es-US"/>
        </w:rPr>
        <w:fldChar w:fldCharType="begin"/>
      </w:r>
      <w:r w:rsidR="004844D7">
        <w:rPr>
          <w:rFonts w:ascii="Arial" w:hAnsi="Arial" w:cs="Arial"/>
          <w:sz w:val="24"/>
          <w:szCs w:val="24"/>
          <w:lang w:val="es-US"/>
        </w:rPr>
        <w:instrText xml:space="preserve"> ADDIN ZOTERO_ITEM CSL_CITATION {"citationID":"eoluzRAb","properties":{"custom":"(Rodr\\uc0\\u237{}guez {\\i{}et al}., 2018)","formattedCitation":"(Rodr\\uc0\\u237{}guez {\\i{}et al}., 2018)","plainCitation":"(Rodríguez et al., 2018)","noteIndex":0},"citationItems":[{"id":306,"uris":["http://zotero.org/users/12642312/items/Y2TUN3BH"],"itemData":{"id":306,"type":"article-journal","container-title":"Cultivos Tropicales","ISSN":"0258-5936","issue":"1","note":"publisher: Ediciones INCA","page":"121-126","source":"SciELO","title":"Aplicaciones de la modelación matemática y la simulación de cultivos agrícolas en Cuba","URL":"http://scielo.sld.cu/scielo.php?script=sci_abstract&amp;pid=S0258-59362018000100018&amp;lng=es&amp;nrm=iso&amp;tlng=es","volume":"39","author":[{"family":"Rodríguez","given":"Osmel"},{"family":"Florido-Bacallao","given":"René"},{"family":"Varela-Nualles","given":"Mario"}],"accessed":{"date-parts":[["2023",12,18]]},"issued":{"date-parts":[["2018",3]]}}}],"schema":"https://github.com/citation-style-language/schema/raw/master/csl-citation.json"} </w:instrText>
      </w:r>
      <w:r>
        <w:rPr>
          <w:rFonts w:ascii="Arial" w:hAnsi="Arial" w:cs="Arial"/>
          <w:sz w:val="24"/>
          <w:szCs w:val="24"/>
          <w:lang w:val="es-US"/>
        </w:rPr>
        <w:fldChar w:fldCharType="separate"/>
      </w:r>
      <w:r w:rsidR="004844D7" w:rsidRPr="004844D7">
        <w:rPr>
          <w:rFonts w:ascii="Arial" w:hAnsi="Arial" w:cs="Arial"/>
          <w:sz w:val="24"/>
          <w:szCs w:val="24"/>
          <w:lang w:val="es-ES"/>
        </w:rPr>
        <w:t xml:space="preserve">(Rodríguez </w:t>
      </w:r>
      <w:r w:rsidR="004844D7" w:rsidRPr="004844D7">
        <w:rPr>
          <w:rFonts w:ascii="Arial" w:hAnsi="Arial" w:cs="Arial"/>
          <w:i/>
          <w:iCs/>
          <w:sz w:val="24"/>
          <w:szCs w:val="24"/>
          <w:lang w:val="es-ES"/>
        </w:rPr>
        <w:t>et al</w:t>
      </w:r>
      <w:r w:rsidR="004844D7" w:rsidRPr="004844D7">
        <w:rPr>
          <w:rFonts w:ascii="Arial" w:hAnsi="Arial" w:cs="Arial"/>
          <w:sz w:val="24"/>
          <w:szCs w:val="24"/>
          <w:lang w:val="es-ES"/>
        </w:rPr>
        <w:t>., 2018)</w:t>
      </w:r>
      <w:r>
        <w:rPr>
          <w:rFonts w:ascii="Arial" w:hAnsi="Arial" w:cs="Arial"/>
          <w:sz w:val="24"/>
          <w:szCs w:val="24"/>
          <w:lang w:val="es-US"/>
        </w:rPr>
        <w:fldChar w:fldCharType="end"/>
      </w:r>
      <w:r>
        <w:rPr>
          <w:rFonts w:ascii="Arial" w:hAnsi="Arial" w:cs="Arial"/>
          <w:sz w:val="24"/>
          <w:szCs w:val="24"/>
          <w:lang w:val="es-US"/>
        </w:rPr>
        <w:t xml:space="preserve">. </w:t>
      </w:r>
    </w:p>
    <w:p w14:paraId="662109E4" w14:textId="4A5D78A6" w:rsidR="008403BD" w:rsidRDefault="007D49D9">
      <w:pPr>
        <w:autoSpaceDE w:val="0"/>
        <w:autoSpaceDN w:val="0"/>
        <w:adjustRightInd w:val="0"/>
        <w:spacing w:before="120" w:after="0" w:line="360" w:lineRule="auto"/>
        <w:jc w:val="both"/>
        <w:rPr>
          <w:rFonts w:ascii="Arial" w:eastAsia="Times New Roman" w:hAnsi="Arial" w:cs="Arial"/>
          <w:sz w:val="24"/>
          <w:szCs w:val="24"/>
          <w:lang w:val="es-ES" w:eastAsia="es-ES"/>
        </w:rPr>
      </w:pPr>
      <w:r>
        <w:rPr>
          <w:rFonts w:ascii="Arial" w:hAnsi="Arial" w:cs="Arial"/>
          <w:sz w:val="24"/>
          <w:szCs w:val="24"/>
          <w:lang w:val="es-ES"/>
        </w:rPr>
        <w:t xml:space="preserve">En condiciones de campo, el cultivo del tomate se ha simulado utilizando diferentes modelos de cultivo como EPIC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{"citationID":"TrVPxmPK","properties":{"custom":"(Di Bene {\\i{}et al}., 2022)","formattedCitation":"(Di Bene {\\i{}et al}., 2022)","plainCitation":"(Di Bene et al., 2022)","noteIndex":0},"citationItems":[{"id":929,"uris":["http://zotero.org/users/12642312/items/HCCM5RC6"],"itemData":{"id":929,"type":"article-journal","abstract":"Agricultural intensification negatively affects the environment through soil degradation, loss of agrobiodiversity, greenhouse gas emissions, and nutrient leaching. Thus, the introduction of crop diversification strategies and alternative management practices is crucial to re-design agricultural intensification systems. To better understand the contribution of crop diversification to more sustainable agricultural systems, an accurate evaluation of synergies and trade-offs is needed. In this context, the 5-year Horizon 2020 DIVERFARMING project aims to define sustainable, diversified cropping systems with low-input farming practices, adopting a multi-disciplinary approach. The overall objective of this study was to improve the understanding of the stakeholders’ perceptions of barriers and opportunities for implementing farming practices and crop diversification strategies in intensive rainfed and irrigated cereal-based cropping systems in Italy. Fifty stakeholders, grouped in farmers and technical agricultural advisors, field technical officers from public agricultural administrations, technical experts from NGOs with experience on farming practices, and researchers in agriculture, were engaged by public consultations to capture their practical knowledge of current farming practices for promoting suitable diversified cropping system, as alternative to agricultural intensification systems. The analysis of the stakeholders’ perceptions of barriers and opportunities to the transition of cropping systems towards diversification was done using a multi-criteria decision analysis The most important agro-environmental problem identified by the stakeholders in both the cropping systems was the loss of profitability, associated with the risk of farm abandonment, while minimum tillage, maintenance of vegetation covers, application of organic matter/manure and use of green manure, integrated pest management, and change of rotations were identified as the most adequate and effective practices to be adopted in the case study areas. Crop rotation and legumes were the most adequate diversification strategies selected for the intensive rainfed cereal-based cropping systems, while crop rotations with processing tomato and multiple cropping with short cycle maize and wheat were selected as the most appropriate alternatives for irrigated cereal-based production. Our findings highlight relevant strengths and drawbacks for the implementation of diversified cropping systems under low-input agricultural practices. An important strength is that the crop alternatives selected for the diversification are already cultivated as monocultures and are adapted to the local pedoclimatic conditions, while a major weakness is that few farmers are experts in crop diversification. These results can provide insights to support the planning of agricultural policies at different levels.","container-title":"Frontiers in Environmental Science","DOI":"10.3389/fenvs.2022.861225","ISSN":"2296-665X","journalAbbreviation":"Front. Environ. Sci.","language":"en","page":"861225","source":"DOI.org (Crossref)","title":"Barriers and Opportunities for Sustainable Farming Practices and Crop Diversification Strategies in Mediterranean Cereal-Based Systems","URL":"https://www.frontiersin.org/articles/10.3389/fenvs.2022.861225/full","volume":"10","author":[{"family":"Di Bene","given":"Claudia"},{"family":"Dolores Gómez-López","given":"María"},{"family":"Francaviglia","given":"Rosa"},{"family":"Farina","given":"Roberta"},{"family":"Blasi","given":"Emanuele"},{"family":"Martínez-Granados","given":"David"},{"family":"Calatrava","given":"Javier"}],"accessed":{"date-parts":[["2025",3,26]]},"issued":{"date-parts":[["2022",7,14]]}}}],"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rPr>
        <w:t xml:space="preserve">(Di Bene </w:t>
      </w:r>
      <w:r>
        <w:rPr>
          <w:rFonts w:ascii="Arial" w:hAnsi="Arial" w:cs="Arial"/>
          <w:i/>
          <w:iCs/>
          <w:sz w:val="24"/>
          <w:szCs w:val="24"/>
        </w:rPr>
        <w:t>et al</w:t>
      </w:r>
      <w:r>
        <w:rPr>
          <w:rFonts w:ascii="Arial" w:hAnsi="Arial" w:cs="Arial"/>
          <w:sz w:val="24"/>
          <w:szCs w:val="24"/>
        </w:rPr>
        <w:t>., 2022)</w:t>
      </w:r>
      <w:r>
        <w:rPr>
          <w:rFonts w:ascii="Arial" w:hAnsi="Arial" w:cs="Arial"/>
          <w:sz w:val="24"/>
          <w:szCs w:val="24"/>
          <w:lang w:val="es-ES"/>
        </w:rPr>
        <w:fldChar w:fldCharType="end"/>
      </w:r>
      <w:r>
        <w:rPr>
          <w:rFonts w:ascii="Arial" w:hAnsi="Arial" w:cs="Arial"/>
          <w:sz w:val="24"/>
          <w:szCs w:val="24"/>
          <w:lang w:val="es-ES"/>
        </w:rPr>
        <w:t xml:space="preserve">, TOMGRO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{"citationID":"F7uL4XBH","properties":{"custom":"(Gong {\\i{}et al}., 2021)","formattedCitation":"(Gong {\\i{}et al}., 2021)","plainCitation":"(Gong et al., 2021)","noteIndex":0},"citationItems":[{"id":930,"uris":["http://zotero.org/users/12642312/items/MTYDP9DU"],"itemData":{"id":930,"type":"article-journal","abstract":"The reduced Tomgro model is one of the popular biophysical models, which can reflect the actual growth process and model the yields of tomato-based on environmental parameters in a greenhouse. It is commonly integrated with the greenhouse environmental control system for optimally controlling environmental parameters to maximize the tomato growth/yields under acceptable energy consumption. In this work, we compare three mainstream evolutionary algorithms (genetic algorithm (GA), particle swarm optimization (PSO), and differential evolutionary (DE)) for calibrating the reduced Tomgro model, to model the tomato mature fruit dry matter (DM) weights. Different evolutionary algorithms have been applied to calibrate 14 key parameters of the reduced Tomgro model. And the performance of the calibrated Tomgro models based on different evolutionary algorithms has been evaluated based on three datasets obtained from a real tomato grower, with each dataset containing greenhouse environmental parameters (e.g., carbon dioxide concentration, temperature, photosynthetically active radiation (PAR)) and tomato yield information at a particular greenhouse for one year. Multiple metrics (root mean square errors (RMSEs), relative root mean square errors (r-RSMEs), and mean average errors (MAEs)) between actual DM weights and model-simulated ones for all three datasets, are used to validate the performance of calibrated reduced Tomgro model.","container-title":"Smart Agricultural Technology","DOI":"10.1016/j.atech.2021.100011","ISSN":"2772-3755","journalAbbreviation":"Smart Agricultural Technology","page":"100011","source":"ScienceDirect","title":"Studies of evolutionary algorithms for the reduced Tomgro model calibration for modelling tomato yields","URL":"https://www.sciencedirect.com/science/article/pii/S2772375521000113","volume":"1","author":[{"family":"Gong","given":"Liyun"},{"family":"Yu","given":"Miao"},{"family":"Jiang","given":"Shouyong"},{"family":"Cutsuridis","given":"Vassilis"},{"family":"Kollias","given":"Stefanos"},{"family":"Pearson","given":"Simon"}],"accessed":{"date-parts":[["2025",3,26]]},"issued":{"date-parts":[["2021",12,1]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rPr>
        <w:t xml:space="preserve">(Gong </w:t>
      </w:r>
      <w:r>
        <w:rPr>
          <w:rFonts w:ascii="Arial" w:hAnsi="Arial" w:cs="Arial"/>
          <w:i/>
          <w:iCs/>
          <w:sz w:val="24"/>
          <w:szCs w:val="24"/>
        </w:rPr>
        <w:t>et al</w:t>
      </w:r>
      <w:r>
        <w:rPr>
          <w:rFonts w:ascii="Arial" w:hAnsi="Arial" w:cs="Arial"/>
          <w:sz w:val="24"/>
          <w:szCs w:val="24"/>
        </w:rPr>
        <w:t>., 2021)</w:t>
      </w:r>
      <w:r>
        <w:rPr>
          <w:rFonts w:ascii="Arial" w:hAnsi="Arial" w:cs="Arial"/>
          <w:sz w:val="24"/>
          <w:szCs w:val="24"/>
          <w:lang w:val="es-ES"/>
        </w:rPr>
        <w:fldChar w:fldCharType="end"/>
      </w:r>
      <w:r>
        <w:rPr>
          <w:rFonts w:ascii="Arial" w:hAnsi="Arial" w:cs="Arial"/>
          <w:sz w:val="24"/>
          <w:szCs w:val="24"/>
          <w:lang w:val="es-ES"/>
        </w:rPr>
        <w:t xml:space="preserve">, </w:t>
      </w:r>
      <w:proofErr w:type="spellStart"/>
      <w:r>
        <w:rPr>
          <w:rFonts w:ascii="Arial" w:eastAsia="Calibri" w:hAnsi="Arial" w:cs="Arial"/>
          <w:sz w:val="24"/>
          <w:szCs w:val="24"/>
          <w:lang w:val="es-ES" w:eastAsia="es-ES"/>
        </w:rPr>
        <w:t>AquaCrop</w:t>
      </w:r>
      <w:proofErr w:type="spellEnd"/>
      <w:r>
        <w:rPr>
          <w:rFonts w:ascii="Arial" w:eastAsia="Calibri" w:hAnsi="Arial" w:cs="Arial"/>
          <w:sz w:val="24"/>
          <w:szCs w:val="24"/>
          <w:lang w:val="es-ES" w:eastAsia="es-ES"/>
        </w:rPr>
        <w:t xml:space="preserve"> </w:t>
      </w:r>
      <w:r>
        <w:rPr>
          <w:rFonts w:ascii="Arial" w:eastAsia="Calibri" w:hAnsi="Arial" w:cs="Arial"/>
          <w:sz w:val="24"/>
          <w:szCs w:val="24"/>
          <w:lang w:val="es-ES" w:eastAsia="es-ES"/>
        </w:rPr>
        <w:fldChar w:fldCharType="begin"/>
      </w:r>
      <w:r w:rsidR="00CE513C">
        <w:rPr>
          <w:rFonts w:ascii="Arial" w:eastAsia="Calibri" w:hAnsi="Arial" w:cs="Arial"/>
          <w:sz w:val="24"/>
          <w:szCs w:val="24"/>
          <w:lang w:val="es-ES" w:eastAsia="es-ES"/>
        </w:rPr>
        <w:instrText xml:space="preserve"> ADDIN ZOTERO_ITEM CSL_CITATION {"citationID":"nZXY1y61","properties":{"custom":"(Corbari {\\i{}et al}., 2021; Cheng {\\i{}et al}., 2022; Ebrahimipak {\\i{}et al}., 2022)","unsorted":true,"formattedCitation":"(Corbari {\\i{}et al}., 2021; Cheng {\\i{}et al}., 2022; Ebrahimipak {\\i{}et al}., 2022)","plainCitation":"(Corbari et al., 2021; Cheng et al., 2022; Ebrahimipak et al., 2022)","noteIndex":0},"citationItems":[{"id":989,"uris":["http://zotero.org/users/12642312/items/3ILHYXFH"],"itemData":{"id":989,"type":"article-journal","abstract":"Remote sensing data of canopy cover and leaf area index are used together with the AquaCrop model to optimize irrigation water use efﬁciency for tomato and maize ﬁelds across Italy, which differ in climate, soil types and irrigation technique. An optimization irrigation strategy, “SIM strategy”, is developed based on crop stress thresholds and then applied to all the analyzed ﬁelds in different crop seasons, evaluating the effect not only on irrigation volume and number of irrigations but also on crop yield and canopy cover, and on the drainage ﬂux which represents the main water loss. Irrigation volume reduction is found to be between 200 and 1000 mm, mainly depending on the different soil types within the climate, irrigation technique and crop type. This is directly related to the drainage ﬂux reduction which is of a similar entity. The SIM strategy efﬁciency has then been quantiﬁed by different indicators, such as the irrigation water use efﬁciency (IWUE) which is higher than with the observed irrigations (around 35% for tomato ﬁelds in Southern Italy, between 30 and 80% for maize in Northern Italy), and the percolation deﬁcit and irrigation efﬁciency. The AquaCrop model has been previously calibrated against canopy cover and leaf area index (LAI) data, producing errors between 0.7 and 5%, while absolute mean errors (MAE) between 0.015 and 0.04 are obtained for soil moisture (SM). The validation of the AquaCrop model has been performed against evapotranspiration (ET) ground-measured data and crop yields producing MAE values ranging from 0.3 to 0.9 mm/day, and 0.9 ton/ha for maize and 10 ton/ha for tomatoes, respectively.","container-title":"Hydrology","DOI":"10.3390/hydrology8010039","ISSN":"2306-5338","issue":"1","journalAbbreviation":"Hydrology","language":"en","license":"https://creativecommons.org/licenses/by/4.0/","page":"39","source":"DOI.org (Crossref)","title":"Optimizing Irrigation Water Use Efficiency for Tomato and Maize Fields across Italy Combining Remote Sensing Data and the AquaCrop Model","URL":"https://www.mdpi.com/2306-5338/8/1/39","volume":"8","author":[{"family":"Corbari","given":"Chiara"},{"family":"Ben Charfi","given":"Imen"},{"family":"Mancini","given":"Marco"}],"accessed":{"date-parts":[["2025",3,26]]},"issued":{"date-parts":[["2021",3,2]]}},"label":"page"},{"id":993,"uris":["http://zotero.org/users/12642312/items/ZRZXSQUJ"],"itemData":{"id":993,"type":"article-journal","abstract":"Assessing and optimizing crop management strategies, e.g. irrigation and nitrogen (N) fertilization, is critical for the sustainable production of crops. Currently, crop simulation models combined with experimental data have been proved to be effective tools. Herein, the FAO AquaCrop model was calibrated and validated based on fieldmeasured data during two consecutive growing seasons (2020 and 2021) for predicting canopy cover (CC, %), aboveground biomass and soil water content (SWC, mm) on a daily scale, and for simulating final fruit yield, evapotranspiration (ET, mm) and water productivity (WP, kg m 3) on a seasonal scale under plastic film mulch condition. The two-year experiment included three irrigation levels (60 %, 80 % and 100 % ET0, where ET0 is the reference evapotranspiration) and five N fertilizer rates (0, 180, 270, 360 and 450 kg N ha 1). In general, the AquaCrop model adequately simulated the dynamic changes of cherry tomato CC, aboveground biomass and final fruit yield. Nonetheless, the model severely overestimated SWC especially under full irrigation in the twoyear experiment, and the simulation accuracy gradually increased with the increase of N rate. For ET, it was largely underestimated. With the decrease in irrigation level and N rate, the simulation accuracy improved and the impact of water stress was stronger than that of nitrogen stress. The simulation accuracy of WP decreased as irrigation level and N rate increased. The optimal integrated regime was deficit irrigation of 80 % ET0 combined with N rate of 360 kg ha 1 (I80N360), which obtained 98.24 % of potential yield while significantly decreasing water input. The simulation of the mulched module and parameters of the AquaCrop model (crop transpiration, water productivity, etc.) should be further optimized and verified. If these improvements can be made, the AquaCrop model can be used in the decision-making of irrigation and N fertilization strategies of cherry tomato under plastic film mulch condition.","container-title":"Agricultural Water Management","DOI":"10.1016/j.agwat.2022.107949","ISSN":"03783774","journalAbbreviation":"Agricultural Water Management","language":"en","page":"107949","source":"DOI.org (Crossref)","title":"Evaluation of AquaCrop model for greenhouse cherry tomato with plastic film mulch under various water and nitrogen supplies","URL":"https://linkinghub.elsevier.com/retrieve/pii/S0378377422004966","volume":"274","author":[{"family":"Cheng","given":"Minghui"},{"family":"Wang","given":"Haidong"},{"family":"Fan","given":"Junliang"},{"family":"Xiang","given":"Youzhen"},{"family":"Liu","given":"Xiaoqiang"},{"family":"Liao","given":"Zhenqi"},{"family":"Abdelghany","given":"Ahmed Elsayed"},{"family":"Zhang","given":"Fucang"},{"family":"Li","given":"Zhijun"}],"accessed":{"date-parts":[["2025",3,26]]},"issued":{"date-parts":[["2022",12]]}},"label":"page"},{"id":875,"uris":["http://zotero.org/users/12642312/items/QALGBCCK"],"itemData":{"id":875,"type":"article-journal","abstract":"Irrigation water and nitrogen fertilizer management have an effective effect on tomato yield and water use efficiency. So, it is important to know the best amount of irrigation and nitrogen fertilizer for tomato cultivation. Since doing farm researches need time and funds, it is necessary to use crop growth models like AquaCrop. Regarding that, data collected from Ismaeel Abad research station was used. The study was conducted there, irrigation was considered as four levels (E1: 50, E2: 75, E3: 100, and E4: 125 mm evaporation from pan class A) and fertility uses was considered as three levels (F1: 70, F2:100, and F3: 40 percent as fertility needed). At first, AquaCrop was calibrated without considering any fertility stresses using first year data. Then, F3 treatment in the first and second year was used to calibrate AquaCrop for fertility stress (40 percent as fertility needed). Results showed high correlation between observation and simulation values for yield (R2=0.915) and water use efficiency (R2=0.893). MBE, RMSE and NRMSE values showed a good precision for the model. The mentioned values were -0.02 (ton.ha-1), 0.42 (ton.ha-1) and 0.07 for yield, respectively, and -0.01 (ton.ha-1), 0.02 (ton.ha-1) and 0.03 for water use efficiency, respectively. Due to AquaCrop efficiency for simulating tomato yield (EF=0.41) and water use efficiency (EF=0.19), it is recommended to use AquaCop for simulating tomato yield and water use efficiency.","container-title":"Irrigation and Water Engineering","DOI":"10.22125/iwe.2022.146391","ISSN":"2251-7359","issue":"3","language":"en","note":"publisher: انجمن علم</w:instrText>
      </w:r>
      <w:r w:rsidR="00CE513C">
        <w:rPr>
          <w:rFonts w:ascii="Arial" w:eastAsia="Calibri" w:hAnsi="Arial" w:cs="Arial" w:hint="cs"/>
          <w:sz w:val="24"/>
          <w:szCs w:val="24"/>
          <w:lang w:val="es-ES" w:eastAsia="es-ES"/>
        </w:rPr>
        <w:instrText>ی</w:instrText>
      </w:r>
      <w:r w:rsidR="00CE513C">
        <w:rPr>
          <w:rFonts w:ascii="Arial" w:eastAsia="Calibri" w:hAnsi="Arial" w:cs="Arial"/>
          <w:sz w:val="24"/>
          <w:szCs w:val="24"/>
          <w:lang w:val="es-ES" w:eastAsia="es-ES"/>
        </w:rPr>
        <w:instrText xml:space="preserve"> مهن</w:instrText>
      </w:r>
      <w:r w:rsidR="00CE513C">
        <w:rPr>
          <w:rFonts w:ascii="Arial" w:eastAsia="Calibri" w:hAnsi="Arial" w:cs="Arial" w:hint="eastAsia"/>
          <w:sz w:val="24"/>
          <w:szCs w:val="24"/>
          <w:lang w:val="es-ES" w:eastAsia="es-ES"/>
        </w:rPr>
        <w:instrText>دس</w:instrText>
      </w:r>
      <w:r w:rsidR="00CE513C">
        <w:rPr>
          <w:rFonts w:ascii="Arial" w:eastAsia="Calibri" w:hAnsi="Arial" w:cs="Arial" w:hint="cs"/>
          <w:sz w:val="24"/>
          <w:szCs w:val="24"/>
          <w:lang w:val="es-ES" w:eastAsia="es-ES"/>
        </w:rPr>
        <w:instrText>ی</w:instrText>
      </w:r>
      <w:r w:rsidR="00CE513C">
        <w:rPr>
          <w:rFonts w:ascii="Arial" w:eastAsia="Calibri" w:hAnsi="Arial" w:cs="Arial"/>
          <w:sz w:val="24"/>
          <w:szCs w:val="24"/>
          <w:lang w:val="es-ES" w:eastAsia="es-ES"/>
        </w:rPr>
        <w:instrText xml:space="preserve"> آب</w:instrText>
      </w:r>
      <w:r w:rsidR="00CE513C">
        <w:rPr>
          <w:rFonts w:ascii="Arial" w:eastAsia="Calibri" w:hAnsi="Arial" w:cs="Arial" w:hint="cs"/>
          <w:sz w:val="24"/>
          <w:szCs w:val="24"/>
          <w:lang w:val="es-ES" w:eastAsia="es-ES"/>
        </w:rPr>
        <w:instrText>ی</w:instrText>
      </w:r>
      <w:r w:rsidR="00CE513C">
        <w:rPr>
          <w:rFonts w:ascii="Arial" w:eastAsia="Calibri" w:hAnsi="Arial" w:cs="Arial" w:hint="eastAsia"/>
          <w:sz w:val="24"/>
          <w:szCs w:val="24"/>
          <w:lang w:val="es-ES" w:eastAsia="es-ES"/>
        </w:rPr>
        <w:instrText>ار</w:instrText>
      </w:r>
      <w:r w:rsidR="00CE513C">
        <w:rPr>
          <w:rFonts w:ascii="Arial" w:eastAsia="Calibri" w:hAnsi="Arial" w:cs="Arial" w:hint="cs"/>
          <w:sz w:val="24"/>
          <w:szCs w:val="24"/>
          <w:lang w:val="es-ES" w:eastAsia="es-ES"/>
        </w:rPr>
        <w:instrText>ی</w:instrText>
      </w:r>
      <w:r w:rsidR="00CE513C">
        <w:rPr>
          <w:rFonts w:ascii="Arial" w:eastAsia="Calibri" w:hAnsi="Arial" w:cs="Arial"/>
          <w:sz w:val="24"/>
          <w:szCs w:val="24"/>
          <w:lang w:val="es-ES" w:eastAsia="es-ES"/>
        </w:rPr>
        <w:instrText xml:space="preserve"> و آب ا</w:instrText>
      </w:r>
      <w:r w:rsidR="00CE513C">
        <w:rPr>
          <w:rFonts w:ascii="Arial" w:eastAsia="Calibri" w:hAnsi="Arial" w:cs="Arial" w:hint="cs"/>
          <w:sz w:val="24"/>
          <w:szCs w:val="24"/>
          <w:lang w:val="es-ES" w:eastAsia="es-ES"/>
        </w:rPr>
        <w:instrText>ی</w:instrText>
      </w:r>
      <w:r w:rsidR="00CE513C">
        <w:rPr>
          <w:rFonts w:ascii="Arial" w:eastAsia="Calibri" w:hAnsi="Arial" w:cs="Arial" w:hint="eastAsia"/>
          <w:sz w:val="24"/>
          <w:szCs w:val="24"/>
          <w:lang w:val="es-ES" w:eastAsia="es-ES"/>
        </w:rPr>
        <w:instrText>ران</w:instrText>
      </w:r>
      <w:r w:rsidR="00CE513C">
        <w:rPr>
          <w:rFonts w:ascii="Arial" w:eastAsia="Calibri" w:hAnsi="Arial" w:cs="Arial"/>
          <w:sz w:val="24"/>
          <w:szCs w:val="24"/>
          <w:lang w:val="es-ES" w:eastAsia="es-ES"/>
        </w:rPr>
        <w:instrText xml:space="preserve">","page":"121-136","source":"www.waterjournal.ir","title":"The Effect of Irrigation Water Management and Fertilizer Amount on AquaCrop Accuracy and Efficiency for Tomato Yield and Water Use Efficiency Simulation","URL":"https://www.waterjournal.ir/article_146391_en.html","volume":"12","author":[{"family":"Ebrahimipak","given":"Niazali"},{"family":"Egdarnejad","given":"Aslan"},{"family":"Tafteh","given":"Arash"},{"family":"Ansari","given":"Mohammad Ali"}],"accessed":{"date-parts":[["2025",3,26]]},"issued":{"date-parts":[["2022",3,21]]}},"label":"page"}],"schema":"https://github.com/citation-style-language/schema/raw/master/csl-citation.json"} </w:instrText>
      </w:r>
      <w:r>
        <w:rPr>
          <w:rFonts w:ascii="Arial" w:eastAsia="Calibri" w:hAnsi="Arial" w:cs="Arial"/>
          <w:sz w:val="24"/>
          <w:szCs w:val="24"/>
          <w:lang w:val="es-ES" w:eastAsia="es-ES"/>
        </w:rPr>
        <w:fldChar w:fldCharType="separate"/>
      </w:r>
      <w:r w:rsidR="00CE513C" w:rsidRPr="00CE513C">
        <w:rPr>
          <w:rFonts w:ascii="Arial" w:hAnsi="Arial" w:cs="Arial"/>
          <w:sz w:val="24"/>
          <w:szCs w:val="24"/>
        </w:rPr>
        <w:t xml:space="preserve">(Corbari </w:t>
      </w:r>
      <w:r w:rsidR="00CE513C" w:rsidRPr="00CE513C">
        <w:rPr>
          <w:rFonts w:ascii="Arial" w:hAnsi="Arial" w:cs="Arial"/>
          <w:i/>
          <w:iCs/>
          <w:sz w:val="24"/>
          <w:szCs w:val="24"/>
        </w:rPr>
        <w:t>et al</w:t>
      </w:r>
      <w:r w:rsidR="00CE513C" w:rsidRPr="00CE513C">
        <w:rPr>
          <w:rFonts w:ascii="Arial" w:hAnsi="Arial" w:cs="Arial"/>
          <w:sz w:val="24"/>
          <w:szCs w:val="24"/>
        </w:rPr>
        <w:t xml:space="preserve">., 2021; Cheng </w:t>
      </w:r>
      <w:r w:rsidR="00CE513C" w:rsidRPr="00CE513C">
        <w:rPr>
          <w:rFonts w:ascii="Arial" w:hAnsi="Arial" w:cs="Arial"/>
          <w:i/>
          <w:iCs/>
          <w:sz w:val="24"/>
          <w:szCs w:val="24"/>
        </w:rPr>
        <w:t>et al</w:t>
      </w:r>
      <w:r w:rsidR="00CE513C" w:rsidRPr="00CE513C">
        <w:rPr>
          <w:rFonts w:ascii="Arial" w:hAnsi="Arial" w:cs="Arial"/>
          <w:sz w:val="24"/>
          <w:szCs w:val="24"/>
        </w:rPr>
        <w:t xml:space="preserve">., 2022; Ebrahimipak </w:t>
      </w:r>
      <w:r w:rsidR="00CE513C" w:rsidRPr="00CE513C">
        <w:rPr>
          <w:rFonts w:ascii="Arial" w:hAnsi="Arial" w:cs="Arial"/>
          <w:i/>
          <w:iCs/>
          <w:sz w:val="24"/>
          <w:szCs w:val="24"/>
        </w:rPr>
        <w:t>et al</w:t>
      </w:r>
      <w:r w:rsidR="00CE513C" w:rsidRPr="00CE513C">
        <w:rPr>
          <w:rFonts w:ascii="Arial" w:hAnsi="Arial" w:cs="Arial"/>
          <w:sz w:val="24"/>
          <w:szCs w:val="24"/>
        </w:rPr>
        <w:t>., 2022)</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r>
        <w:rPr>
          <w:rFonts w:ascii="Arial" w:hAnsi="Arial" w:cs="Arial"/>
          <w:sz w:val="24"/>
          <w:szCs w:val="24"/>
          <w:lang w:val="es-ES"/>
        </w:rPr>
        <w:lastRenderedPageBreak/>
        <w:t xml:space="preserve">CROPGRO </w:t>
      </w:r>
      <w:r>
        <w:rPr>
          <w:rFonts w:ascii="Arial" w:hAnsi="Arial" w:cs="Arial"/>
          <w:sz w:val="24"/>
          <w:szCs w:val="24"/>
          <w:lang w:val="es-ES"/>
        </w:rPr>
        <w:fldChar w:fldCharType="begin"/>
      </w:r>
      <w:r w:rsidR="00241E18">
        <w:rPr>
          <w:rFonts w:ascii="Arial" w:hAnsi="Arial" w:cs="Arial"/>
          <w:sz w:val="24"/>
          <w:szCs w:val="24"/>
          <w:lang w:val="es-ES"/>
        </w:rPr>
        <w:instrText xml:space="preserve"> ADDIN ZOTERO_ITEM CSL_CITATION {"citationID":"HE4MiGpx","properties":{"custom":"(Ventrella, {\\i{}et al}., 2012; Fink {\\i{}et al}., 2023)","unsorted":true,"formattedCitation":"(Ventrella, {\\i{}et al}., 2012; Fink {\\i{}et al}., 2023)","plainCitation":"(Ventrella, et al., 2012; Fink et al., 2023)","noteIndex":0},"citationItems":[{"id":640,"uris":["http://zotero.org/users/12642312/items/VLD4ER7M"],"itemData":{"id":640,"type":"article-journal","abstract":"Many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id":636,"uris":["http://zotero.org/users/12642312/items/KKY4DBAD"],"itemData":{"id":636,"type":"article","abstract":"As global demand for efﬁciency in agriculture rises, there is a growing interest in high-precision farming practices. Particularly greenhouses play a critical role in ensuring a yearround supply of fresh produce. In order to maximize efﬁciency and productivity while minimizing resource use, mathematical techniques such as optimal control have been employed. However, selecting appropriate models for optimal control requires domain expertise. This study aims to compare three established tomato models for their suitability in an optimal control framework. Results show that all three models have similar yield predictions and accuracy, but only two models are currently applicable for optimal control due to implementation limitations. The two remaining models each have advantages in terms of economic yield and computation times, but the differences in optimal control strategies suggest that they require more accurate parameter identiﬁcation and calibration tailored to greenhouses.","DOI":"10.48550/arXiv.2308.06031","language":"en","note":"arXiv:2308.06031 [math]","number":"arXiv:2308.06031","publisher":"arXiv","source":"arXiv.org","title":"Comparison of Dynamic Tomato Growth Models for Optimal Control in Greenhouses","URL":"http://arxiv.org/abs/2308.06031","author":[{"family":"Fink","given":"Michael"},{"family":"Daniels","given":"Annalena"},{"family":"Qian","given":"Cheng"},{"family":"Velásquez","given":"Víctor Martínez"},{"family":"Salotra","given":"Sahil"},{"family":"Wollherr","given":"Dirk"}],"accessed":{"date-parts":[["2025",3,12]]},"issued":{"date-parts":[["2023",8,11]]}},"label":"page"}],"schema":"https://github.com/citation-style-language/schema/raw/master/csl-citation.json"} </w:instrText>
      </w:r>
      <w:r>
        <w:rPr>
          <w:rFonts w:ascii="Arial" w:hAnsi="Arial" w:cs="Arial"/>
          <w:sz w:val="24"/>
          <w:szCs w:val="24"/>
          <w:lang w:val="es-ES"/>
        </w:rPr>
        <w:fldChar w:fldCharType="separate"/>
      </w:r>
      <w:r w:rsidR="00241E18" w:rsidRPr="00241E18">
        <w:rPr>
          <w:rFonts w:ascii="Arial" w:hAnsi="Arial" w:cs="Arial"/>
          <w:sz w:val="24"/>
          <w:szCs w:val="24"/>
          <w:lang w:val="es-ES"/>
        </w:rPr>
        <w:t xml:space="preserve">(Ventrella, </w:t>
      </w:r>
      <w:r w:rsidR="00241E18" w:rsidRPr="00241E18">
        <w:rPr>
          <w:rFonts w:ascii="Arial" w:hAnsi="Arial" w:cs="Arial"/>
          <w:i/>
          <w:iCs/>
          <w:sz w:val="24"/>
          <w:szCs w:val="24"/>
          <w:lang w:val="es-ES"/>
        </w:rPr>
        <w:t>et al</w:t>
      </w:r>
      <w:r w:rsidR="00241E18" w:rsidRPr="00241E18">
        <w:rPr>
          <w:rFonts w:ascii="Arial" w:hAnsi="Arial" w:cs="Arial"/>
          <w:sz w:val="24"/>
          <w:szCs w:val="24"/>
          <w:lang w:val="es-ES"/>
        </w:rPr>
        <w:t xml:space="preserve">., 2012; Fink </w:t>
      </w:r>
      <w:r w:rsidR="00241E18" w:rsidRPr="00241E18">
        <w:rPr>
          <w:rFonts w:ascii="Arial" w:hAnsi="Arial" w:cs="Arial"/>
          <w:i/>
          <w:iCs/>
          <w:sz w:val="24"/>
          <w:szCs w:val="24"/>
          <w:lang w:val="es-ES"/>
        </w:rPr>
        <w:t>et al</w:t>
      </w:r>
      <w:r w:rsidR="00241E18" w:rsidRPr="00241E18">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 xml:space="preserve"> y TOMSIM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{"citationID":"fC6nFrXn","properties":{"custom":"(Kuijpers {\\i{}et al}., 2019; Xiuyuan, 2023)","formattedCitation":"(Kuijpers {\\i{}et al}., 2019; Xiuyuan, 2023)","plainCitation":"(Kuijpers et al., 2019; Xiuyuan, 2023)","noteIndex":0},"citationItems":[{"id":596,"uris":["http://zotero.org/users/12642312/items/I8A524CZ"],"itemData":{"id":596,"type":"article-journal","container-title":"Biosystems Engineering","DOI":"10.1016/j.biosystemseng.2019.09.010","ISSN":"15375110","journalAbbreviation":"Biosystems Engineering","language":"en","page":"247-257","source":"DOI.org (Crossref)","title":"Model selection with a common structure: Tomato crop growth models","title-short":"Model selection with a common structure","URL":"https://linkinghub.elsevier.com/retrieve/pii/S1537511019308323","volume":"187","author":[{"family":"Kuijpers","given":"Wouter J.P."},{"family":"Van De Molengraft","given":"Marinus J.G."},{"family":"Van Mourik","given":"Simon"},{"family":"Van ’T Ooster","given":"Albertus"},{"family":"Hemming","given":"Silke"},{"family":"Van Henten","given":"Eldert J."}],"accessed":{"date-parts":[["2025",3,12]]},"issued":{"date-parts":[["2019",11]]}},"label":"page"},{"id":981,"uris":["http://zotero.org/users/12642312/items/B89JHE5J"],"itemData":{"id":981,"type":"article-journal","abstract":"Methods </w:instrText>
      </w:r>
      <w:r>
        <w:rPr>
          <w:rFonts w:ascii="Arial" w:hAnsi="Arial" w:cs="Arial" w:hint="eastAsia"/>
          <w:sz w:val="24"/>
          <w:szCs w:val="24"/>
          <w:lang w:val="es-ES"/>
        </w:rPr>
        <w:instrText></w:instrText>
      </w:r>
      <w:r>
        <w:rPr>
          <w:rFonts w:ascii="Arial" w:hAnsi="Arial" w:cs="Arial"/>
          <w:sz w:val="24"/>
          <w:szCs w:val="24"/>
          <w:lang w:val="es-ES"/>
        </w:rPr>
        <w:instrText xml:space="preserve">\nResults and Analysis </w:instrText>
      </w:r>
      <w:r>
        <w:rPr>
          <w:rFonts w:ascii="Arial" w:hAnsi="Arial" w:cs="Arial" w:hint="eastAsia"/>
          <w:sz w:val="24"/>
          <w:szCs w:val="24"/>
          <w:lang w:val="es-ES"/>
        </w:rPr>
        <w:instrText></w:instrText>
      </w:r>
      <w:r>
        <w:rPr>
          <w:rFonts w:ascii="Arial" w:hAnsi="Arial" w:cs="Arial"/>
          <w:sz w:val="24"/>
          <w:szCs w:val="24"/>
          <w:lang w:val="es-ES"/>
        </w:rPr>
        <w:instrText xml:space="preserve"> Discussion </w:instrText>
      </w:r>
      <w:r>
        <w:rPr>
          <w:rFonts w:ascii="Arial" w:hAnsi="Arial" w:cs="Arial" w:hint="eastAsia"/>
          <w:sz w:val="24"/>
          <w:szCs w:val="24"/>
          <w:lang w:val="es-ES"/>
        </w:rPr>
        <w:instrText></w:instrText>
      </w:r>
      <w:r>
        <w:rPr>
          <w:rFonts w:ascii="Arial" w:hAnsi="Arial" w:cs="Arial"/>
          <w:sz w:val="24"/>
          <w:szCs w:val="24"/>
          <w:lang w:val="es-ES"/>
        </w:rPr>
        <w:instrText xml:space="preserve">\nConclusions </w:instrText>
      </w:r>
      <w:r>
        <w:rPr>
          <w:rFonts w:ascii="Arial" w:hAnsi="Arial" w:cs="Arial" w:hint="eastAsia"/>
          <w:sz w:val="24"/>
          <w:szCs w:val="24"/>
          <w:lang w:val="es-ES"/>
        </w:rPr>
        <w:instrText></w:instrText>
      </w:r>
      <w:r>
        <w:rPr>
          <w:rFonts w:ascii="Arial" w:hAnsi="Arial" w:cs="Arial"/>
          <w:sz w:val="24"/>
          <w:szCs w:val="24"/>
          <w:lang w:val="es-ES"/>
        </w:rPr>
        <w:instrText xml:space="preserve">","language":"en","source":"Zotero","title":"Modelo de predicción del rendimiento del tomate en invernadero utilizando datos basados ​​en diferentes condiciones de fertilidad del suelo","author":[{"family":"Xiuyuan","given":"Peng"}],"issued":{"date-parts":[["2023"]]}},"label":"page"}],"schema":"https://github.com/citation-style-language/schema/raw/master/csl-citation.json"}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(Kuijpers </w:t>
      </w:r>
      <w:r>
        <w:rPr>
          <w:rFonts w:ascii="Arial" w:hAnsi="Arial" w:cs="Arial"/>
          <w:i/>
          <w:iCs/>
          <w:sz w:val="24"/>
          <w:szCs w:val="24"/>
          <w:lang w:val="es-ES"/>
        </w:rPr>
        <w:t>et al</w:t>
      </w:r>
      <w:r>
        <w:rPr>
          <w:rFonts w:ascii="Arial" w:hAnsi="Arial" w:cs="Arial"/>
          <w:sz w:val="24"/>
          <w:szCs w:val="24"/>
          <w:lang w:val="es-ES"/>
        </w:rPr>
        <w:t>., 2019; Xiuyuan, 2023)</w:t>
      </w:r>
      <w:r>
        <w:rPr>
          <w:rFonts w:ascii="Arial" w:hAnsi="Arial" w:cs="Arial"/>
          <w:sz w:val="24"/>
          <w:szCs w:val="24"/>
          <w:lang w:val="es-ES"/>
        </w:rPr>
        <w:fldChar w:fldCharType="end"/>
      </w:r>
      <w:r>
        <w:rPr>
          <w:rFonts w:ascii="Arial" w:hAnsi="Arial" w:cs="Arial"/>
          <w:sz w:val="24"/>
          <w:szCs w:val="24"/>
          <w:lang w:val="es-ES"/>
        </w:rPr>
        <w:t xml:space="preserve">, entre otros. El modelo CROPGRO-Tomato de la </w:t>
      </w:r>
      <w:r>
        <w:rPr>
          <w:rFonts w:ascii="Arial" w:eastAsia="Calibri" w:hAnsi="Arial" w:cs="Arial"/>
          <w:sz w:val="24"/>
          <w:szCs w:val="24"/>
          <w:lang w:val="es-ES" w:eastAsia="es-ES"/>
        </w:rPr>
        <w:t xml:space="preserve">plataforma de simulación de cultivos DSSAT </w:t>
      </w:r>
      <w:r>
        <w:rPr>
          <w:rFonts w:ascii="Arial" w:hAnsi="Arial" w:cs="Arial"/>
          <w:sz w:val="24"/>
          <w:szCs w:val="24"/>
          <w:lang w:val="es-ES"/>
        </w:rPr>
        <w:t xml:space="preserve">(Sistema de Apoyo para la Toma de Decisiones y Transferencia de </w:t>
      </w:r>
      <w:proofErr w:type="spellStart"/>
      <w:r>
        <w:rPr>
          <w:rFonts w:ascii="Arial" w:hAnsi="Arial" w:cs="Arial"/>
          <w:sz w:val="24"/>
          <w:szCs w:val="24"/>
          <w:lang w:val="es-ES"/>
        </w:rPr>
        <w:t>Agrotecnología</w:t>
      </w:r>
      <w:proofErr w:type="spellEnd"/>
      <w:r>
        <w:rPr>
          <w:rFonts w:ascii="Arial" w:hAnsi="Arial" w:cs="Arial"/>
          <w:sz w:val="24"/>
          <w:szCs w:val="24"/>
          <w:lang w:val="es-ES"/>
        </w:rPr>
        <w:t xml:space="preserve">, del inglés </w:t>
      </w:r>
      <w:proofErr w:type="spellStart"/>
      <w:r>
        <w:rPr>
          <w:rStyle w:val="A5"/>
          <w:rFonts w:ascii="Arial" w:hAnsi="Arial" w:cs="Arial"/>
          <w:i/>
          <w:sz w:val="24"/>
          <w:szCs w:val="24"/>
          <w:lang w:val="es-ES"/>
        </w:rPr>
        <w:t>Decision</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Support</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System</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for</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Agrotechnology</w:t>
      </w:r>
      <w:proofErr w:type="spellEnd"/>
      <w:r>
        <w:rPr>
          <w:rFonts w:ascii="Arial" w:hAnsi="Arial" w:cs="Arial"/>
          <w:sz w:val="24"/>
          <w:szCs w:val="24"/>
          <w:lang w:val="es-ES"/>
        </w:rPr>
        <w:t xml:space="preserve">) es el más citado en la literatura y se ha utilizado ampliamente para simular las funciones de crecimiento del tomate y los parámetros de rendimiento en condiciones de campo abierto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{"citationID":"O0ugIE8K","properties":{"custom":"(Saqib {\\i{}et al}., 2020)","formattedCitation":"(Saqib {\\i{}et al}., 2020)","plainCitation":"(Saqib et al., 2020)","noteIndex":0},"citationItems":[{"id":846,"uris":["http://zotero.org/users/12642312/items/8AU6LV6P"],"itemData":{"id":846,"type":"article-journal","language":"en","source":"Zotero","title":"Integrating Novel Deep Neural Networks on the Analysis of Fractional Epidemiological Models in both Populations with Disease Infection","author":[{"family":"Saqib","given":"Sana Ullah"},{"family":"Anjum","given":"Muhammad Wajahat"},{"family":"Hasan","given":"Ali"},{"family":"Qasmi","given":"M Hakam Ali"}],"issued":{"date-parts":[["2020"]]}}}],"schema":"https://github.com/citation-style-language/schema/raw/master/csl-citation.json"}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(Saqib </w:t>
      </w:r>
      <w:r>
        <w:rPr>
          <w:rFonts w:ascii="Arial" w:hAnsi="Arial" w:cs="Arial"/>
          <w:i/>
          <w:iCs/>
          <w:sz w:val="24"/>
          <w:szCs w:val="24"/>
          <w:lang w:val="es-ES"/>
        </w:rPr>
        <w:t>et al</w:t>
      </w:r>
      <w:r>
        <w:rPr>
          <w:rFonts w:ascii="Arial" w:hAnsi="Arial" w:cs="Arial"/>
          <w:sz w:val="24"/>
          <w:szCs w:val="24"/>
          <w:lang w:val="es-ES"/>
        </w:rPr>
        <w:t>., 2020)</w:t>
      </w:r>
      <w:r>
        <w:rPr>
          <w:rFonts w:ascii="Arial" w:hAnsi="Arial" w:cs="Arial"/>
          <w:sz w:val="24"/>
          <w:szCs w:val="24"/>
          <w:lang w:val="es-ES"/>
        </w:rPr>
        <w:fldChar w:fldCharType="end"/>
      </w:r>
      <w:r>
        <w:rPr>
          <w:rFonts w:ascii="Arial" w:hAnsi="Arial" w:cs="Arial"/>
          <w:sz w:val="24"/>
          <w:szCs w:val="24"/>
          <w:lang w:val="es-ES"/>
        </w:rPr>
        <w:t xml:space="preserve">. </w:t>
      </w:r>
      <w:r>
        <w:rPr>
          <w:rFonts w:ascii="Arial" w:eastAsia="Times New Roman" w:hAnsi="Arial" w:cs="Arial"/>
          <w:sz w:val="24"/>
          <w:szCs w:val="24"/>
          <w:lang w:val="es-ES" w:eastAsia="es-ES"/>
        </w:rPr>
        <w:t xml:space="preserve">Este simula la </w:t>
      </w:r>
      <w:r>
        <w:rPr>
          <w:rStyle w:val="A5"/>
          <w:rFonts w:ascii="Arial" w:hAnsi="Arial" w:cs="Arial"/>
          <w:sz w:val="24"/>
          <w:szCs w:val="24"/>
          <w:lang w:val="es-ES"/>
        </w:rPr>
        <w:t>dinámica suelo-planta-atmósfera, el comportamiento del agua y la temperatura a escala de campo, el crecimiento, el desarrollo y el rendimiento de los cultivos; además se utiliza para</w:t>
      </w:r>
      <w:r>
        <w:rPr>
          <w:rFonts w:ascii="Arial" w:eastAsia="Times New Roman" w:hAnsi="Arial" w:cs="Arial"/>
          <w:sz w:val="24"/>
          <w:szCs w:val="24"/>
          <w:lang w:val="es-ES" w:eastAsia="es-ES"/>
        </w:rPr>
        <w:t xml:space="preserve"> evaluar el impacto del cambio climático en la agricultura y evaluar las opciones de adaptación </w:t>
      </w:r>
      <w:r>
        <w:rPr>
          <w:rFonts w:ascii="Arial" w:eastAsia="Times New Roman" w:hAnsi="Arial" w:cs="Arial"/>
          <w:sz w:val="24"/>
          <w:szCs w:val="24"/>
          <w:lang w:val="es-ES" w:eastAsia="es-ES"/>
        </w:rPr>
        <w:fldChar w:fldCharType="begin"/>
      </w:r>
      <w:r w:rsidR="0074060C">
        <w:rPr>
          <w:rFonts w:ascii="Arial" w:eastAsia="Times New Roman" w:hAnsi="Arial" w:cs="Arial"/>
          <w:sz w:val="24"/>
          <w:szCs w:val="24"/>
          <w:lang w:val="es-ES" w:eastAsia="es-ES"/>
        </w:rPr>
        <w:instrText xml:space="preserve"> ADDIN ZOTERO_ITEM CSL_CITATION {"citationID":"u5aZn3eR","properties":{"custom":"(Ayankojo &amp; Morgan, 2020; Abayechaw, 2021; Ge {\\i{}et al}., 2023; Fink {\\i{}et al}., 2023)","unsorted":true,"formattedCitation":"(Ayankojo &amp; Morgan, 2020; Abayechaw, 2021; Ge {\\i{}et al}., 2023; Fink {\\i{}et al}., 2023)","plainCitation":"(Ayankojo &amp; Morgan, 2020; Abayechaw, 2021; Ge et al., 2023; Fink et al., 2023)","noteIndex":0},"citationItems":[{"id":645,"uris":["http://zotero.org/users/12642312/items/YP76YLUU"],"itemData":{"id":645,"type":"article-journal","abstract":"Florida ranks ﬁrst among US states in fresh-market tomato production with annual production exceeding one-third of the total annual production in the country. Although tomato is a signature crop in Florida, current and future ambient temperatures could impose a major production challenge, especially during the fall growing season. This problem is increasingly becoming an important concern among tomato growers in south Florida, but studies addressing these concerns have not been conducted until now. Therefore, this study was conducted to determine the impacts of the present ambient temperature conditions and planting dates on tomato productivity in south Florida. The study was conducted using crop simulation model CROPGRO-Tomato of DSSAT (Decision Support System for Agricultural Transfer) version 4.7. Five treatments were evaluated, and included AT (simulated treatment using 14 years of actual daily weather conditions at the study location) while other treatments were conducted based on a percentage (−20%, −10%, +10%, +20%) of AT to simulate cooler and warmer temperature regimes. The results suggested that under the current temperature conditions during the fall growing season in south Florida, average tomato yield was up to 29% lower compared to the cooler temperature regimes. Tomato yield further decreased by 52% to 85% at air temperatures above the current condition. Yield reduction under high temperature was primarily due to lower fruit production. Contrary to yield, both tomato biomass accumulation and leaf area index increased with increase in temperature. Results also indicated that due to changes in air temperature pattern, tomato yield increased as planting date increased from July to December. Therefore, planting date modiﬁcation during the fall season from the current July–September to dates between November and December will reduce the impacts of heat stress and increase tomato productivity in south Florida.","container-title":"Plants","DOI":"10.3390/plants9091245","ISSN":"2223-7747","issue":"9","journalAbbreviation":"Plants","language":"en","license":"https://creativecommons.org/licenses/by/4.0/","page":"1245","source":"DOI.org (Crossref)","title":"Increasing Air Temperatures and Its Effects on Growth and Productivity of Tomato in South Florida","URL":"https://www.mdpi.com/2223-7747/9/9/1245","volume":"9","author":[{"family":"Ayankojo","given":"Ibukun T."},{"family":"Morgan","given":"Kelly T."}],"accessed":{"date-parts":[["2025",3,12]]},"issued":{"date-parts":[["2020",9,21]]}},"label":"page"},{"id":707,"uris":["http://zotero.org/users/12642312/items/WB7F9CNU"],"itemData":{"id":707,"type":"article-journal","abstract":"Traditional agronomic experiments were conducted at a specific location in time and space, resulting in long, seasonal, time-consuming, and expensive experiments. An international team of scientists has developed a decision support system for the transfer of agrotechnology, which has been used by researchers from around and the world for 15 years. This package incorporates models for over 42 crops (since Version 4.7.5) as well as tools to facilitate effective use of the models. Tools include database management programs for soil, weather, crop management, and experimental data, utilities, and implementation programs. Crop simulation models simulate growth, development, and yield in accordance with soil-plantatmosphere dynamics. Over the last few years, it has become increasingly difficult to maintain the DSSAT crop models, partly due to the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In this review paper, I described the approaches used to model the primary scientific components (soil, crop, weather, and management). Besides, the review paper describes the limitations, the future of the DSSAT model, and its importance. The benefits of the new, redesigned DSSAT–CSM will provide considerable opportunities for its development and others in the scientific community for greater cooperation in interdisciplinary research and in the application of knowledge to solve problems in the field, farm, and higher levels.","container-title":"International Journal of Intelligent Information Systems","DOI":"10.11648/j.ijiis.20211006.13","ISSN":"2328-7675","issue":"6","journalAbbreviation":"IJIIS","language":"en","page":"117","source":"DOI.org (Crossref)","title":"Review on Decision Support System for Agrotechnology Transfer (DSSAT) Model","URL":"http://www.sciencepublishinggroup.com/journal/paperinfo?journalid=135&amp;doi=10.11648/j.ijiis.20211006.13","volume":"10","author":[{"family":"Abayechaw","given":"Desta"}],"accessed":{"date-parts":[["2025",3,12]]},"issued":{"date-parts":[["2021"]]}},"label":"page"},{"id":998,"uris":["http://zotero.org/users/12642312/items/7HYWWNQQ"],"itemData":{"id":998,"type":"article-journal","abstract":"The improvement of the simulation accuracy of crop models in different greenhouse environments would be better applied to the automation management of greenhouse cultivation. Tomatoes under drip irrigation in a greenhouse were taken as the research object, and the cumulative evaporation capacity (Ep) of the 20 cm standard evaporation dish was taken as the basis for irrigation. Three treatments were set up in the experiment: high water treatment without mulch (NM-0.9 Ep), high water treatment with mulch (M-0.9 Ep), and low water treatment with mulch (M-0.5 Ep). AquaCrop and DSSAT models were used to simulate the canopy coverage, soil water content, biomass, and yield of the tomatoes. Data from 2020 were used to correct the model, and simulation results from 2021 were analyzed in this paper. The results showed that: (1) Of the two crop models, the simulation accuracy of the greenhouse tomato canopy coverage kCC was higher, and the root mean square errors were less than 6.8% (AquaCrop model) and 8.5% (DSSAT model); (2) The AquaCrop model could accurately simulate soil water change under high water treatments, while the DSSAT model was more suitable for the conditions without mulch; (3) The relative error RE of simulated and observed values for biomass B, yield Y, and water use efﬁciency WUE in the AquaCrop model were less than 2.0%, 2.3%, and 9.0%, respectively, while those of the DSSAT model were less than 4.7%, 7.6%, and 10.4%, respectively; (4) Considering the simulation results of each index comprehensively, the AquaCrop model was superior to the DSSAT model; subsequently, the former was used to predict 16 different water and ﬁlm coating treatments (S1–S16). It was found that the greenhouse tomato yield and WUE were the highest under S7 (0.8 Ep), at 8.201 t/ha and 2.79 kg/m3, respectively.","container-title":"Plants","DOI":"10.3390/plants12223863","ISSN":"2223-7747","issue":"22","journalAbbreviation":"Plants","language":"en","license":"https://creativecommons.org/licenses/by/4.0/","page":"3863","source":"DOI.org (Crossref)","title":"Evaluation of Irrigation Modes for Greenhouse Drip Irrigation Tomatoes Based on AquaCrop and DSSAT Models","URL":"https://www.mdpi.com/2223-7747/12/22/3863","volume":"12","author":[{"family":"Ge","given":"Jiankun"},{"family":"Yu","given":"Zihui"},{"family":"Gong","given":"Xuewen"},{"family":"Ping","given":"Yinglu"},{"family":"Luo","given":"Jinyao"},{"family":"Li","given":"Yanbin"}],"accessed":{"date-parts":[["2025",3,26]]},"issued":{"date-parts":[["2023",11,15]]}},"label":"page"},{"id":636,"uris":["http://zotero.org/users/12642312/items/KKY4DBAD"],"itemData":{"id":636,"type":"article","abstract":"As global demand for efﬁciency in agriculture rises, there is a growing interest in high-precision farming practices. Particularly greenhouses play a critical role in ensuring a yearround supply of fresh produce. In order to maximize efﬁciency and productivity while minimizing resource use, mathematical techniques such as optimal control have been employed. However, selecting appropriate models for optimal control requires domain expertise. This study aims to compare three established tomato models for their suitability in an optimal control framework. Results show that all three models have similar yield predictions and accuracy, but only two models are currently applicable for optimal control due to implementation limitations. The two remaining models each have advantages in terms of economic yield and computation times, but the differences in optimal control strategies suggest that they require more accurate parameter identiﬁcation and calibration tailored to greenhouses.","DOI":"10.48550/arXiv.2308.06031","language":"en","note":"arXiv:2308.06031 [math]","number":"arXiv:2308.06031","publisher":"arXiv","source":"arXiv.org","title":"Comparison of Dynamic Tomato Growth Models for Optimal Control in Greenhouses","URL":"http://arxiv.org/abs/2308.06031","author":[{"family":"Fink","given":"Michael"},{"family":"Daniels","given":"Annalena"},{"family":"Qian","given":"Cheng"},{"family":"Velásquez","given":"Víctor Martínez"},{"family":"Salotra","given":"Sahil"},{"family":"Wollherr","given":"Dirk"}],"accessed":{"date-parts":[["2025",3,12]]},"issued":{"date-parts":[["2023",8,11]]}},"label":"page"}],"schema":"https://github.com/citation-style-language/schema/raw/master/csl-citation.json"} </w:instrText>
      </w:r>
      <w:r>
        <w:rPr>
          <w:rFonts w:ascii="Arial" w:eastAsia="Times New Roman" w:hAnsi="Arial" w:cs="Arial"/>
          <w:sz w:val="24"/>
          <w:szCs w:val="24"/>
          <w:lang w:val="es-ES" w:eastAsia="es-ES"/>
        </w:rPr>
        <w:fldChar w:fldCharType="separate"/>
      </w:r>
      <w:r w:rsidR="0074060C" w:rsidRPr="00716AA5">
        <w:rPr>
          <w:rFonts w:ascii="Arial" w:hAnsi="Arial" w:cs="Arial"/>
          <w:sz w:val="24"/>
          <w:szCs w:val="24"/>
          <w:lang w:val="es-ES"/>
        </w:rPr>
        <w:t>(</w:t>
      </w:r>
      <w:proofErr w:type="spellStart"/>
      <w:r w:rsidR="0074060C" w:rsidRPr="00716AA5">
        <w:rPr>
          <w:rFonts w:ascii="Arial" w:hAnsi="Arial" w:cs="Arial"/>
          <w:sz w:val="24"/>
          <w:szCs w:val="24"/>
          <w:lang w:val="es-ES"/>
        </w:rPr>
        <w:t>Ayankojo</w:t>
      </w:r>
      <w:proofErr w:type="spellEnd"/>
      <w:r w:rsidR="0074060C" w:rsidRPr="00716AA5">
        <w:rPr>
          <w:rFonts w:ascii="Arial" w:hAnsi="Arial" w:cs="Arial"/>
          <w:sz w:val="24"/>
          <w:szCs w:val="24"/>
          <w:lang w:val="es-ES"/>
        </w:rPr>
        <w:t xml:space="preserve"> &amp; Morgan, 2020; </w:t>
      </w:r>
      <w:proofErr w:type="spellStart"/>
      <w:r w:rsidR="0074060C" w:rsidRPr="00716AA5">
        <w:rPr>
          <w:rFonts w:ascii="Arial" w:hAnsi="Arial" w:cs="Arial"/>
          <w:sz w:val="24"/>
          <w:szCs w:val="24"/>
          <w:lang w:val="es-ES"/>
        </w:rPr>
        <w:t>Abayechaw</w:t>
      </w:r>
      <w:proofErr w:type="spellEnd"/>
      <w:r w:rsidR="0074060C" w:rsidRPr="00716AA5">
        <w:rPr>
          <w:rFonts w:ascii="Arial" w:hAnsi="Arial" w:cs="Arial"/>
          <w:sz w:val="24"/>
          <w:szCs w:val="24"/>
          <w:lang w:val="es-ES"/>
        </w:rPr>
        <w:t xml:space="preserve">, 2021; Ge </w:t>
      </w:r>
      <w:r w:rsidR="0074060C" w:rsidRPr="00716AA5">
        <w:rPr>
          <w:rFonts w:ascii="Arial" w:hAnsi="Arial" w:cs="Arial"/>
          <w:i/>
          <w:iCs/>
          <w:sz w:val="24"/>
          <w:szCs w:val="24"/>
          <w:lang w:val="es-ES"/>
        </w:rPr>
        <w:t>et al</w:t>
      </w:r>
      <w:r w:rsidR="0074060C" w:rsidRPr="00716AA5">
        <w:rPr>
          <w:rFonts w:ascii="Arial" w:hAnsi="Arial" w:cs="Arial"/>
          <w:sz w:val="24"/>
          <w:szCs w:val="24"/>
          <w:lang w:val="es-ES"/>
        </w:rPr>
        <w:t xml:space="preserve">., 2023; </w:t>
      </w:r>
      <w:proofErr w:type="spellStart"/>
      <w:r w:rsidR="0074060C" w:rsidRPr="00716AA5">
        <w:rPr>
          <w:rFonts w:ascii="Arial" w:hAnsi="Arial" w:cs="Arial"/>
          <w:sz w:val="24"/>
          <w:szCs w:val="24"/>
          <w:lang w:val="es-ES"/>
        </w:rPr>
        <w:t>Fink</w:t>
      </w:r>
      <w:proofErr w:type="spellEnd"/>
      <w:r w:rsidR="0074060C" w:rsidRPr="00716AA5">
        <w:rPr>
          <w:rFonts w:ascii="Arial" w:hAnsi="Arial" w:cs="Arial"/>
          <w:sz w:val="24"/>
          <w:szCs w:val="24"/>
          <w:lang w:val="es-ES"/>
        </w:rPr>
        <w:t xml:space="preserve"> </w:t>
      </w:r>
      <w:r w:rsidR="0074060C" w:rsidRPr="00716AA5">
        <w:rPr>
          <w:rFonts w:ascii="Arial" w:hAnsi="Arial" w:cs="Arial"/>
          <w:i/>
          <w:iCs/>
          <w:sz w:val="24"/>
          <w:szCs w:val="24"/>
          <w:lang w:val="es-ES"/>
        </w:rPr>
        <w:t>et al</w:t>
      </w:r>
      <w:r w:rsidR="0074060C" w:rsidRPr="00716AA5">
        <w:rPr>
          <w:rFonts w:ascii="Arial" w:hAnsi="Arial" w:cs="Arial"/>
          <w:sz w:val="24"/>
          <w:szCs w:val="24"/>
          <w:lang w:val="es-ES"/>
        </w:rPr>
        <w:t>., 2023)</w:t>
      </w:r>
      <w:r>
        <w:rPr>
          <w:rFonts w:ascii="Arial" w:eastAsia="Times New Roman" w:hAnsi="Arial" w:cs="Arial"/>
          <w:sz w:val="24"/>
          <w:szCs w:val="24"/>
          <w:lang w:val="es-ES" w:eastAsia="es-ES"/>
        </w:rPr>
        <w:fldChar w:fldCharType="end"/>
      </w:r>
      <w:r>
        <w:rPr>
          <w:rFonts w:ascii="Arial" w:eastAsia="Times New Roman" w:hAnsi="Arial" w:cs="Arial"/>
          <w:sz w:val="24"/>
          <w:szCs w:val="24"/>
          <w:lang w:val="es-ES" w:eastAsia="es-ES"/>
        </w:rPr>
        <w:t xml:space="preserve">. </w:t>
      </w:r>
    </w:p>
    <w:p w14:paraId="1C85544F" w14:textId="28FEEE3A" w:rsidR="008403BD" w:rsidRDefault="007D49D9">
      <w:pPr>
        <w:autoSpaceDE w:val="0"/>
        <w:autoSpaceDN w:val="0"/>
        <w:adjustRightInd w:val="0"/>
        <w:spacing w:before="120" w:after="0" w:line="360" w:lineRule="auto"/>
        <w:jc w:val="both"/>
        <w:rPr>
          <w:rStyle w:val="tlid-translation"/>
          <w:rFonts w:ascii="Arial" w:hAnsi="Arial" w:cs="Arial"/>
          <w:sz w:val="24"/>
          <w:szCs w:val="24"/>
          <w:lang w:val="es-US"/>
        </w:rPr>
      </w:pPr>
      <w:r>
        <w:rPr>
          <w:rStyle w:val="tlid-translation"/>
          <w:rFonts w:ascii="Arial" w:hAnsi="Arial" w:cs="Arial"/>
          <w:sz w:val="24"/>
          <w:szCs w:val="24"/>
          <w:lang w:val="es-US"/>
        </w:rPr>
        <w:t xml:space="preserve">DSSAT es un modelo popular de cultivo utilizado en 91 países para más de 40 cultivos </w:t>
      </w:r>
      <w:r>
        <w:rPr>
          <w:rStyle w:val="tlid-translation"/>
          <w:rFonts w:ascii="Arial" w:hAnsi="Arial" w:cs="Arial"/>
          <w:i/>
          <w:sz w:val="24"/>
          <w:szCs w:val="24"/>
          <w:lang w:val="es-US"/>
        </w:rPr>
        <w:fldChar w:fldCharType="begin"/>
      </w:r>
      <w:r w:rsidR="005F4615">
        <w:rPr>
          <w:rStyle w:val="tlid-translation"/>
          <w:rFonts w:ascii="Arial" w:hAnsi="Arial" w:cs="Arial"/>
          <w:i/>
          <w:sz w:val="24"/>
          <w:szCs w:val="24"/>
          <w:lang w:val="es-US"/>
        </w:rPr>
        <w:instrText xml:space="preserve"> ADDIN ZOTERO_ITEM CSL_CITATION {"citationID":"SHsdjid9","properties":{"custom":"(Xiang {\\i{}et al}., 2020; {\\i{}DSSAT.Net - Official Home of the DSSAT Cropping Systems Model}, 2023)","unsorted":true,"formattedCitation":"(Xiang {\\i{}et al}., 2020; {\\i{}DSSAT.Net - Official Home of the DSSAT Cropping Systems Model}, 2023)","plainCitation":"(Xiang et al., 2020; DSSAT.Net - Official Home of the DSSAT Cropping Systems Model, 2023)","noteIndex":0},"citationItems":[{"id":589,"uris":["http://zotero.org/users/12642312/items/QI8BEFND"],"itemData":{"id":589,"type":"article-journal","abstract":"Groundwater models are often used to assess the impact of climate or management strategies on groundwater resources in arid and semiarid regions of the world. However, these models do not account for crop growth and crop yield, and thus cannot be used for evaluating long-term impacts of climate and management strategies on water use efficiency and farm profitability of agricultural systems while managing the aquifers sustainably. This study presented a linkage between DSSAT, an agronomic model, and MODFLOW, a groundwater flow model. The linkage between these two models occurred on an annual basis, with rates of irrigation and deep percolation from an ensemble of field-scale DSSAT simulations converted to pumping rates and recharge rates for the MODFLOW simulation. MODFLOW simulated groundwater head, which can be used to update saturated thickness and thereby well capacities for each pumping well in the model domain. Simulated well capacities were then used to constrain irrigation applications in the DSSAT simulations during the following growing season. Python scripts were used to convert output from one model to input files for the other model. The DSSAT-MODFLOW modeling system was applied to the Ogallala aquifer underlying Finney County, Kansas, a region experiencing significant groundwater depletion due to irrigation practices, and was tested against observed water table elevation and crop yield. Over a decadal period, well capacity decreased by &gt; 50 % for many pumping wells in the county. A no-irrigation scenario for this same time period resulted in average water table elevation increasing by 2 m, but also a 70 % decline in crop yield. Additional work is needed to balance groundwater c</w:instrText>
      </w:r>
      <w:r w:rsidR="005F4615" w:rsidRPr="00716AA5">
        <w:rPr>
          <w:rStyle w:val="tlid-translation"/>
          <w:rFonts w:ascii="Arial" w:hAnsi="Arial" w:cs="Arial"/>
          <w:i/>
          <w:sz w:val="24"/>
          <w:szCs w:val="24"/>
          <w:lang w:val="es-ES"/>
        </w:rPr>
        <w:instrText>onservation w</w:instrText>
      </w:r>
      <w:r w:rsidR="005F4615" w:rsidRPr="00716AA5">
        <w:rPr>
          <w:rStyle w:val="tlid-translation"/>
          <w:rFonts w:ascii="Arial" w:hAnsi="Arial" w:cs="Arial"/>
          <w:i/>
          <w:sz w:val="24"/>
          <w:szCs w:val="24"/>
        </w:rPr>
        <w:instrText>ith crop yield. The DSSAT-MODFLOW modeling system can be used in regions worldwide to assess changes in irrigation technologies, crop selection, and climate change adaptation strategies.","container-title":"Agricultural Water Management","DOI":"10.1016/j.agwat.2020.106033","ISSN":"0378-3774","journalAbbreviation":"Agricultural Water Management","page":"106033","source":"ScienceDirect","title":"DSSAT-MODFLOW: A new modeling framework for exploring groundwater conservation strategies in irrigated areas","title-short":"DSSAT-MODFLOW","URL":"https://www.sciencedirect.com/science/artic</w:instrText>
      </w:r>
      <w:r w:rsidR="005F4615" w:rsidRPr="005F4615">
        <w:rPr>
          <w:rStyle w:val="tlid-translation"/>
          <w:rFonts w:ascii="Arial" w:hAnsi="Arial" w:cs="Arial"/>
          <w:i/>
          <w:sz w:val="24"/>
          <w:szCs w:val="24"/>
        </w:rPr>
        <w:instrText xml:space="preserve">le/pii/S0378377419316427","volume":"232","author":[{"family":"Xiang","given":"Zaichen"},{"family":"Bailey","given":"Ryan T."},{"family":"Nozari","given":"Soheil"},{"family":"Husain","given":"Zainab"},{"family":"Kisekka","given":"Isaya"},{"family":"Sharda","given":"Vaishali"},{"family":"Gowda","given":"Prasanna"}],"accessed":{"date-parts":[["2024",10,14]]},"issued":{"date-parts":[["2020",4,1]]}},"label":"page"},{"id":999,"uris":["http://zotero.org/users/12642312/items/HM7PECNK"],"itemData":{"id":999,"type":"webpage","abstract":"Official Home of the DSSAT Cropping Systems Model","container-title":"DSSAT.net","title":"DSSAT.net - Official Home of the DSSAT Cropping Systems Model","URL":"https://dssat.net/","accessed":{"date-parts":[["2025",3,26]]},"issued":{"date-parts":[["2023"]]}},"label":"page"}],"schema":"https://github.com/citation-style-language/schema/raw/master/csl-citation.json"} </w:instrText>
      </w:r>
      <w:r>
        <w:rPr>
          <w:rStyle w:val="tlid-translation"/>
          <w:rFonts w:ascii="Arial" w:hAnsi="Arial" w:cs="Arial"/>
          <w:i/>
          <w:sz w:val="24"/>
          <w:szCs w:val="24"/>
          <w:lang w:val="es-US"/>
        </w:rPr>
        <w:fldChar w:fldCharType="separate"/>
      </w:r>
      <w:r w:rsidR="005F4615" w:rsidRPr="005F4615">
        <w:rPr>
          <w:rFonts w:ascii="Arial" w:hAnsi="Arial" w:cs="Arial"/>
          <w:sz w:val="24"/>
          <w:szCs w:val="24"/>
        </w:rPr>
        <w:t xml:space="preserve">(Xiang </w:t>
      </w:r>
      <w:r w:rsidR="005F4615" w:rsidRPr="005F4615">
        <w:rPr>
          <w:rFonts w:ascii="Arial" w:hAnsi="Arial" w:cs="Arial"/>
          <w:i/>
          <w:iCs/>
          <w:sz w:val="24"/>
          <w:szCs w:val="24"/>
        </w:rPr>
        <w:t>et al</w:t>
      </w:r>
      <w:r w:rsidR="005F4615" w:rsidRPr="005F4615">
        <w:rPr>
          <w:rFonts w:ascii="Arial" w:hAnsi="Arial" w:cs="Arial"/>
          <w:sz w:val="24"/>
          <w:szCs w:val="24"/>
        </w:rPr>
        <w:t xml:space="preserve">., 2020; </w:t>
      </w:r>
      <w:r w:rsidR="005F4615" w:rsidRPr="005F4615">
        <w:rPr>
          <w:rFonts w:ascii="Arial" w:hAnsi="Arial" w:cs="Arial"/>
          <w:i/>
          <w:iCs/>
          <w:sz w:val="24"/>
          <w:szCs w:val="24"/>
        </w:rPr>
        <w:t>DSSAT.Net - Official Home of the DSSAT Cropping Systems Model</w:t>
      </w:r>
      <w:r w:rsidR="005F4615" w:rsidRPr="005F4615">
        <w:rPr>
          <w:rFonts w:ascii="Arial" w:hAnsi="Arial" w:cs="Arial"/>
          <w:sz w:val="24"/>
          <w:szCs w:val="24"/>
        </w:rPr>
        <w:t>, 2023)</w:t>
      </w:r>
      <w:r>
        <w:rPr>
          <w:rStyle w:val="tlid-translation"/>
          <w:rFonts w:ascii="Arial" w:hAnsi="Arial" w:cs="Arial"/>
          <w:i/>
          <w:sz w:val="24"/>
          <w:szCs w:val="24"/>
          <w:lang w:val="es-US"/>
        </w:rPr>
        <w:fldChar w:fldCharType="end"/>
      </w:r>
      <w:r>
        <w:rPr>
          <w:rStyle w:val="tlid-translation"/>
          <w:rFonts w:ascii="Arial" w:hAnsi="Arial" w:cs="Arial"/>
          <w:sz w:val="24"/>
          <w:szCs w:val="24"/>
        </w:rPr>
        <w:t xml:space="preserve">. </w:t>
      </w:r>
      <w:r>
        <w:rPr>
          <w:rStyle w:val="tlid-translation"/>
          <w:rFonts w:ascii="Arial" w:hAnsi="Arial" w:cs="Arial"/>
          <w:sz w:val="24"/>
          <w:szCs w:val="24"/>
          <w:lang w:val="es-US"/>
        </w:rPr>
        <w:t>Es un paquete de software para microcomputadoras, que proporciona una interfaz de modelos de simulación de cultivos-suelo,</w:t>
      </w:r>
      <w:r w:rsidR="00E7698E">
        <w:rPr>
          <w:rStyle w:val="tlid-translation"/>
          <w:rFonts w:ascii="Arial" w:hAnsi="Arial" w:cs="Arial"/>
          <w:sz w:val="24"/>
          <w:szCs w:val="24"/>
          <w:lang w:val="es-US"/>
        </w:rPr>
        <w:t xml:space="preserve"> datos para el suelo, el clima</w:t>
      </w:r>
      <w:r>
        <w:rPr>
          <w:rStyle w:val="tlid-translation"/>
          <w:rFonts w:ascii="Arial" w:hAnsi="Arial" w:cs="Arial"/>
          <w:sz w:val="24"/>
          <w:szCs w:val="24"/>
          <w:lang w:val="es-US"/>
        </w:rPr>
        <w:t xml:space="preserve"> y programas para evaluar estrategias de manejo. Los coeficientes genéticos de los cultivares de tomate de Cuba no se incluyen en la base de datos de cultivares de DSSAT.</w:t>
      </w:r>
    </w:p>
    <w:p w14:paraId="4200246E" w14:textId="77777777" w:rsidR="008403BD" w:rsidRDefault="007D49D9">
      <w:pPr>
        <w:autoSpaceDE w:val="0"/>
        <w:autoSpaceDN w:val="0"/>
        <w:adjustRightInd w:val="0"/>
        <w:spacing w:before="120" w:line="360" w:lineRule="auto"/>
        <w:jc w:val="both"/>
        <w:rPr>
          <w:rFonts w:ascii="Arial" w:hAnsi="Arial" w:cs="Arial"/>
          <w:color w:val="000000"/>
          <w:sz w:val="24"/>
          <w:szCs w:val="24"/>
          <w:lang w:val="es-ES"/>
        </w:rPr>
      </w:pPr>
      <w:r>
        <w:rPr>
          <w:rFonts w:ascii="Arial" w:hAnsi="Arial" w:cs="Arial"/>
          <w:color w:val="000000"/>
          <w:sz w:val="24"/>
          <w:szCs w:val="24"/>
          <w:lang w:val="es-US"/>
        </w:rPr>
        <w:t xml:space="preserve">Teniendo en cuenta lo anterior, se plantea como </w:t>
      </w:r>
      <w:r>
        <w:rPr>
          <w:rFonts w:ascii="Arial" w:hAnsi="Arial" w:cs="Arial"/>
          <w:b/>
          <w:color w:val="000000"/>
          <w:sz w:val="24"/>
          <w:szCs w:val="24"/>
          <w:lang w:val="es-US"/>
        </w:rPr>
        <w:t>problema científico</w:t>
      </w:r>
      <w:r>
        <w:rPr>
          <w:rFonts w:ascii="Arial" w:hAnsi="Arial" w:cs="Arial"/>
          <w:color w:val="000000"/>
          <w:sz w:val="24"/>
          <w:szCs w:val="24"/>
          <w:lang w:val="es-US"/>
        </w:rPr>
        <w:t xml:space="preserve">: </w:t>
      </w:r>
      <w:r>
        <w:rPr>
          <w:rFonts w:ascii="Arial" w:hAnsi="Arial" w:cs="Arial"/>
          <w:color w:val="000000"/>
          <w:sz w:val="24"/>
          <w:szCs w:val="24"/>
          <w:lang w:val="es-ES"/>
        </w:rPr>
        <w:t>¿Cómo propiciar la obtención de los coeficientes genéticos del cultivar de tomate Elbita?</w:t>
      </w:r>
    </w:p>
    <w:p w14:paraId="1A825F9D" w14:textId="77777777" w:rsidR="008403BD" w:rsidRDefault="007D49D9">
      <w:pPr>
        <w:autoSpaceDE w:val="0"/>
        <w:autoSpaceDN w:val="0"/>
        <w:adjustRightInd w:val="0"/>
        <w:spacing w:before="120" w:after="0" w:line="360" w:lineRule="auto"/>
        <w:jc w:val="both"/>
        <w:rPr>
          <w:rFonts w:ascii="Arial" w:hAnsi="Arial" w:cs="Arial"/>
          <w:b/>
          <w:color w:val="000000"/>
          <w:sz w:val="24"/>
          <w:szCs w:val="24"/>
          <w:lang w:val="es-US"/>
        </w:rPr>
      </w:pPr>
      <w:r>
        <w:rPr>
          <w:rFonts w:ascii="Arial" w:hAnsi="Arial" w:cs="Arial"/>
          <w:b/>
          <w:color w:val="000000"/>
          <w:sz w:val="24"/>
          <w:szCs w:val="24"/>
          <w:lang w:val="es-US"/>
        </w:rPr>
        <w:t>Hipótesis</w:t>
      </w:r>
    </w:p>
    <w:p w14:paraId="169AC0BC" w14:textId="77777777" w:rsidR="008403BD" w:rsidRDefault="007D49D9">
      <w:pPr>
        <w:autoSpaceDE w:val="0"/>
        <w:autoSpaceDN w:val="0"/>
        <w:adjustRightInd w:val="0"/>
        <w:spacing w:before="120" w:after="0" w:line="360" w:lineRule="auto"/>
        <w:jc w:val="both"/>
        <w:rPr>
          <w:rFonts w:ascii="Arial" w:hAnsi="Arial" w:cs="Arial"/>
          <w:color w:val="000000"/>
          <w:sz w:val="24"/>
          <w:szCs w:val="24"/>
          <w:lang w:val="es-ES"/>
        </w:rPr>
      </w:pPr>
      <w:r>
        <w:rPr>
          <w:rFonts w:ascii="Arial" w:hAnsi="Arial" w:cs="Arial"/>
          <w:color w:val="000000"/>
          <w:sz w:val="24"/>
          <w:szCs w:val="24"/>
          <w:lang w:val="es-ES"/>
        </w:rPr>
        <w:t>La obtención de los coeficientes genéticos del cultivar de tomate Elbita permite la calibración y validación del modelo DSSAT.</w:t>
      </w:r>
    </w:p>
    <w:p w14:paraId="49E0B6B3" w14:textId="77777777" w:rsidR="008403BD" w:rsidRDefault="007D49D9">
      <w:pPr>
        <w:autoSpaceDE w:val="0"/>
        <w:autoSpaceDN w:val="0"/>
        <w:adjustRightInd w:val="0"/>
        <w:spacing w:before="120" w:after="0" w:line="360" w:lineRule="auto"/>
        <w:jc w:val="both"/>
        <w:rPr>
          <w:rFonts w:ascii="Arial" w:hAnsi="Arial" w:cs="Arial"/>
          <w:bCs/>
          <w:color w:val="000000"/>
          <w:sz w:val="24"/>
          <w:szCs w:val="24"/>
          <w:lang w:val="es-ES"/>
        </w:rPr>
      </w:pPr>
      <w:r>
        <w:rPr>
          <w:rFonts w:ascii="Arial" w:hAnsi="Arial" w:cs="Arial"/>
          <w:sz w:val="24"/>
          <w:szCs w:val="24"/>
          <w:lang w:val="es-US"/>
        </w:rPr>
        <w:t xml:space="preserve">Basado en la hipótesis de trabajo, se propone como </w:t>
      </w:r>
      <w:r>
        <w:rPr>
          <w:rFonts w:ascii="Arial" w:hAnsi="Arial" w:cs="Arial"/>
          <w:b/>
          <w:bCs/>
          <w:sz w:val="24"/>
          <w:szCs w:val="24"/>
          <w:lang w:val="es-US"/>
        </w:rPr>
        <w:t xml:space="preserve">Objetivo general: </w:t>
      </w:r>
      <w:r>
        <w:rPr>
          <w:rFonts w:ascii="Arial" w:hAnsi="Arial" w:cs="Arial"/>
          <w:bCs/>
          <w:color w:val="000000"/>
          <w:sz w:val="24"/>
          <w:szCs w:val="24"/>
          <w:lang w:val="es-ES"/>
        </w:rPr>
        <w:t>Obtener los coeficientes genéticos y la validación del modelo DSSAT para el cultivar de tomate Elbita.</w:t>
      </w:r>
    </w:p>
    <w:p w14:paraId="4CCDD907" w14:textId="77777777" w:rsidR="008403BD" w:rsidRDefault="007D49D9">
      <w:pPr>
        <w:spacing w:after="160" w:line="259" w:lineRule="auto"/>
        <w:rPr>
          <w:rFonts w:ascii="Arial" w:hAnsi="Arial" w:cs="Arial"/>
          <w:bCs/>
          <w:color w:val="000000"/>
          <w:sz w:val="24"/>
          <w:szCs w:val="24"/>
          <w:lang w:val="es-ES"/>
        </w:rPr>
      </w:pPr>
      <w:r>
        <w:rPr>
          <w:rFonts w:ascii="Arial" w:hAnsi="Arial" w:cs="Arial"/>
          <w:bCs/>
          <w:color w:val="000000"/>
          <w:sz w:val="24"/>
          <w:szCs w:val="24"/>
          <w:lang w:val="es-ES"/>
        </w:rPr>
        <w:br w:type="page"/>
      </w:r>
    </w:p>
    <w:p w14:paraId="100BBFE2" w14:textId="77777777" w:rsidR="008403BD" w:rsidRDefault="007D49D9">
      <w:pPr>
        <w:autoSpaceDE w:val="0"/>
        <w:autoSpaceDN w:val="0"/>
        <w:adjustRightInd w:val="0"/>
        <w:spacing w:before="120" w:after="0" w:line="360" w:lineRule="auto"/>
        <w:jc w:val="both"/>
        <w:rPr>
          <w:rFonts w:ascii="Arial" w:hAnsi="Arial" w:cs="Arial"/>
          <w:b/>
          <w:bCs/>
          <w:sz w:val="24"/>
          <w:szCs w:val="24"/>
          <w:lang w:val="es-US"/>
        </w:rPr>
      </w:pPr>
      <w:r>
        <w:rPr>
          <w:rFonts w:ascii="Arial" w:hAnsi="Arial" w:cs="Arial"/>
          <w:sz w:val="24"/>
          <w:szCs w:val="24"/>
          <w:lang w:val="es-US"/>
        </w:rPr>
        <w:lastRenderedPageBreak/>
        <w:t xml:space="preserve">Se proponen como </w:t>
      </w:r>
      <w:r>
        <w:rPr>
          <w:rFonts w:ascii="Arial" w:hAnsi="Arial" w:cs="Arial"/>
          <w:b/>
          <w:bCs/>
          <w:sz w:val="24"/>
          <w:szCs w:val="24"/>
          <w:lang w:val="es-US"/>
        </w:rPr>
        <w:t>Objetivos específicos:</w:t>
      </w:r>
    </w:p>
    <w:p w14:paraId="2DCCE884" w14:textId="77777777" w:rsidR="008403BD" w:rsidRDefault="007D49D9">
      <w:pPr>
        <w:pStyle w:val="Prrafodelista"/>
        <w:numPr>
          <w:ilvl w:val="0"/>
          <w:numId w:val="4"/>
        </w:num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ES"/>
        </w:rPr>
        <w:t>Realizar un análisis del crecimiento del cultivar de tomate Elbita en dos periodos de siembra.</w:t>
      </w:r>
    </w:p>
    <w:p w14:paraId="2900D843" w14:textId="77777777" w:rsidR="008403BD" w:rsidRDefault="007D49D9">
      <w:pPr>
        <w:pStyle w:val="Prrafodelista"/>
        <w:numPr>
          <w:ilvl w:val="0"/>
          <w:numId w:val="4"/>
        </w:num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ES"/>
        </w:rPr>
        <w:t>Determinar los valores de los coeficientes genéticos que describen el comportamiento del cultivar de tomate Elbita.</w:t>
      </w:r>
    </w:p>
    <w:p w14:paraId="207540AF" w14:textId="77777777" w:rsidR="008403BD" w:rsidRDefault="007D49D9">
      <w:pPr>
        <w:pStyle w:val="Prrafodelista"/>
        <w:numPr>
          <w:ilvl w:val="0"/>
          <w:numId w:val="4"/>
        </w:num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ES"/>
        </w:rPr>
        <w:t>Realizar la validación del cultivar de tomate Elbita.</w:t>
      </w:r>
    </w:p>
    <w:p w14:paraId="4D3F31D8" w14:textId="77777777" w:rsidR="008403BD" w:rsidRDefault="008403BD">
      <w:pPr>
        <w:autoSpaceDE w:val="0"/>
        <w:autoSpaceDN w:val="0"/>
        <w:adjustRightInd w:val="0"/>
        <w:spacing w:before="120" w:after="0" w:line="360" w:lineRule="auto"/>
        <w:jc w:val="both"/>
        <w:rPr>
          <w:rFonts w:ascii="Arial" w:hAnsi="Arial" w:cs="Arial"/>
          <w:sz w:val="24"/>
          <w:szCs w:val="24"/>
          <w:lang w:val="es-ES"/>
        </w:rPr>
      </w:pPr>
    </w:p>
    <w:p w14:paraId="0C68151F" w14:textId="77777777" w:rsidR="008403BD" w:rsidRDefault="007D49D9">
      <w:pPr>
        <w:spacing w:after="160" w:line="259" w:lineRule="auto"/>
        <w:rPr>
          <w:rFonts w:ascii="Arial" w:hAnsi="Arial"/>
          <w:b/>
          <w:sz w:val="32"/>
          <w:szCs w:val="40"/>
          <w:lang w:val="es-ES_tradnl"/>
        </w:rPr>
      </w:pPr>
      <w:bookmarkStart w:id="2" w:name="_Toc179811156"/>
      <w:r>
        <w:rPr>
          <w:lang w:val="es-ES_tradnl"/>
        </w:rPr>
        <w:br w:type="page"/>
      </w:r>
    </w:p>
    <w:p w14:paraId="0FFEFE16" w14:textId="77777777" w:rsidR="008403BD" w:rsidRDefault="007D49D9">
      <w:pPr>
        <w:pStyle w:val="Ttulo1"/>
        <w:rPr>
          <w:lang w:val="es-ES_tradnl"/>
        </w:rPr>
      </w:pPr>
      <w:bookmarkStart w:id="3" w:name="_Toc195014945"/>
      <w:r>
        <w:rPr>
          <w:lang w:val="es-ES_tradnl"/>
        </w:rPr>
        <w:lastRenderedPageBreak/>
        <w:t xml:space="preserve">CAPITULO </w:t>
      </w:r>
      <w:bookmarkEnd w:id="2"/>
      <w:r>
        <w:rPr>
          <w:lang w:val="es-ES_tradnl"/>
        </w:rPr>
        <w:t>I</w:t>
      </w:r>
      <w:bookmarkEnd w:id="3"/>
    </w:p>
    <w:p w14:paraId="446651D5" w14:textId="77777777" w:rsidR="008403BD" w:rsidRDefault="008403BD">
      <w:pPr>
        <w:rPr>
          <w:lang w:val="es-ES_tradnl"/>
        </w:rPr>
      </w:pPr>
    </w:p>
    <w:p w14:paraId="245E28EE" w14:textId="77777777" w:rsidR="008403BD" w:rsidRDefault="007D49D9">
      <w:pPr>
        <w:pStyle w:val="Ttulo2"/>
        <w:rPr>
          <w:rFonts w:ascii="Arial" w:eastAsia="Calibri" w:hAnsi="Arial" w:cs="Arial"/>
          <w:b/>
          <w:color w:val="000000"/>
          <w:sz w:val="28"/>
          <w:szCs w:val="28"/>
          <w:lang w:val="es-ES" w:eastAsia="es-ES"/>
        </w:rPr>
      </w:pPr>
      <w:bookmarkStart w:id="4" w:name="_Toc195014946"/>
      <w:bookmarkStart w:id="5" w:name="_Toc120452722"/>
      <w:r>
        <w:rPr>
          <w:rFonts w:ascii="Arial" w:eastAsia="Calibri" w:hAnsi="Arial" w:cs="Arial"/>
          <w:b/>
          <w:color w:val="000000"/>
          <w:sz w:val="28"/>
          <w:szCs w:val="28"/>
          <w:lang w:val="es-ES" w:eastAsia="es-ES"/>
        </w:rPr>
        <w:t>1.1 Generalidades del tomate</w:t>
      </w:r>
      <w:bookmarkEnd w:id="4"/>
    </w:p>
    <w:p w14:paraId="4B54F00D" w14:textId="77777777" w:rsidR="008403BD" w:rsidRDefault="007D49D9">
      <w:pPr>
        <w:pStyle w:val="Ttulo3"/>
        <w:rPr>
          <w:rFonts w:ascii="Arial" w:eastAsia="Calibri" w:hAnsi="Arial" w:cs="Arial"/>
          <w:b/>
          <w:color w:val="000000"/>
          <w:lang w:val="es-ES" w:eastAsia="es-ES"/>
        </w:rPr>
      </w:pPr>
      <w:bookmarkStart w:id="6" w:name="_Toc195014947"/>
      <w:r>
        <w:rPr>
          <w:rFonts w:ascii="Arial" w:eastAsia="Calibri" w:hAnsi="Arial" w:cs="Arial"/>
          <w:b/>
          <w:color w:val="000000"/>
          <w:lang w:val="es-ES" w:eastAsia="es-ES"/>
        </w:rPr>
        <w:t>1.1.1 Importancia económica y alimenticia del cultivo</w:t>
      </w:r>
      <w:bookmarkEnd w:id="5"/>
      <w:bookmarkEnd w:id="6"/>
    </w:p>
    <w:p w14:paraId="148A0867" w14:textId="1832BC35" w:rsidR="008403BD" w:rsidRDefault="007D49D9">
      <w:pPr>
        <w:autoSpaceDE w:val="0"/>
        <w:autoSpaceDN w:val="0"/>
        <w:adjustRightInd w:val="0"/>
        <w:spacing w:before="120" w:after="0" w:line="360" w:lineRule="auto"/>
        <w:jc w:val="both"/>
        <w:rPr>
          <w:rFonts w:ascii="Arial" w:eastAsia="Calibri" w:hAnsi="Arial" w:cs="Arial"/>
          <w:sz w:val="24"/>
          <w:szCs w:val="24"/>
          <w:lang w:val="es-ES"/>
        </w:rPr>
      </w:pPr>
      <w:r>
        <w:rPr>
          <w:rFonts w:ascii="Arial" w:eastAsia="Calibri" w:hAnsi="Arial" w:cs="Arial"/>
          <w:sz w:val="24"/>
          <w:szCs w:val="24"/>
          <w:lang w:val="es-ES"/>
        </w:rPr>
        <w:t xml:space="preserve">El tomate es la hortaliza más difundida y consumida en todo el mundo, </w:t>
      </w:r>
      <w:r>
        <w:rPr>
          <w:rFonts w:ascii="Arial" w:hAnsi="Arial" w:cs="Arial"/>
          <w:sz w:val="24"/>
          <w:szCs w:val="24"/>
          <w:lang w:val="es-ES"/>
        </w:rPr>
        <w:t>tanto en forma</w:t>
      </w:r>
      <w:r w:rsidR="00381351">
        <w:rPr>
          <w:rFonts w:ascii="Arial" w:hAnsi="Arial" w:cs="Arial"/>
          <w:sz w:val="24"/>
          <w:szCs w:val="24"/>
          <w:lang w:val="es-ES"/>
        </w:rPr>
        <w:t xml:space="preserve"> fresca como en forma procesada</w:t>
      </w:r>
      <w:r>
        <w:rPr>
          <w:rFonts w:ascii="Arial" w:eastAsia="Calibri" w:hAnsi="Arial" w:cs="Arial"/>
          <w:sz w:val="24"/>
          <w:szCs w:val="24"/>
          <w:lang w:val="es-ES"/>
        </w:rPr>
        <w:t xml:space="preserve"> y la de mayor valor económico. Su demanda aumenta continuamente y con ella su cultivo, producción y comercio </w:t>
      </w:r>
      <w:r>
        <w:rPr>
          <w:rFonts w:ascii="Arial" w:eastAsia="Calibri" w:hAnsi="Arial" w:cs="Arial"/>
          <w:sz w:val="24"/>
          <w:szCs w:val="24"/>
          <w:lang w:val="es-ES"/>
        </w:rPr>
        <w:fldChar w:fldCharType="begin"/>
      </w:r>
      <w:r w:rsidR="008C4A06">
        <w:rPr>
          <w:rFonts w:ascii="Arial" w:eastAsia="Calibri" w:hAnsi="Arial" w:cs="Arial"/>
          <w:sz w:val="24"/>
          <w:szCs w:val="24"/>
          <w:lang w:val="es-ES"/>
        </w:rPr>
        <w:instrText xml:space="preserve"> ADDIN ZOTERO_ITEM CSL_CITATION {"citationID":"hAVPA05H","properties":{"custom":"(Foolad, 2007; Bayomi {\\i{}et al}., 2020; Cammarano {\\i{}et al}., 2020; Monge &amp; Lor\\uc0\\u237{}a, 2021)","unsorted":true,"formattedCitation":"(Foolad, 2007; Bayomi {\\i{}et al}., 2020; Cammarano {\\i{}et al}., 2020; Monge &amp; Lor\\uc0\\u237{}a, 2021)","plainCitation":"(Foolad, 2007; Bayomi et al., 2020; Cammarano et al., 2020; Monge &amp; Loría, 2021)","noteIndex":0},"citationItems":[{"id":829,"uris":["http://zotero.org/users/12642312/items/L2WK2Q45"],"itemData":{"id":829,"type":"article-journal","abstract":"The cultivated tomato, Lycopersicon esculentum, is the second most consumed vegetable worldwide and a well-studied crop species in terms of genetics, genomics, and breeding. It is one of the earliest crop plants for which a genetic linkage map was constructed, and currently there are several molecular maps based on crosses between the cultivated and various wild species of tomato. The high-density molecular map, developed based on an L. esculentum×L. pennellii cross, includes more than 2200 markers with an average marker distance of less than 1 cM and an average of 750 kbp per cM. Different types of molecular markers such as RFLPs, AFLPs, SSRs, CAPS, RGAs, ESTs, and COSs have been developed and mapped onto the 12 tomato chromosomes. Markers have been used extensively for identification and mapping of genes and QTLs for many biologically and agriculturally important traits and occasionally for germplasm screening, fingerprinting, and marker-assisted breeding. The utility of MAS in tomato breeding has been restricted largely due to limited marker polymorphism within the cultivated species and economical reasons. Also, when used, MAS has been employed mainly for improving simply-inherited traits and not much for improving complex traits. The latter has been due to unavailability of reliable PCR-based markers and problems with linkage drag. Efforts are being made to develop high-throughput markers with greater resolution, including SNPs. The expanding tomato EST database, which currently includes </w:instrText>
      </w:r>
      <w:r w:rsidR="008C4A06">
        <w:rPr>
          <w:rFonts w:ascii="Cambria Math" w:eastAsia="Calibri" w:hAnsi="Cambria Math" w:cs="Cambria Math"/>
          <w:sz w:val="24"/>
          <w:szCs w:val="24"/>
          <w:lang w:val="es-ES"/>
        </w:rPr>
        <w:instrText>∼</w:instrText>
      </w:r>
      <w:r w:rsidR="008C4A06">
        <w:rPr>
          <w:rFonts w:ascii="Arial" w:eastAsia="Calibri" w:hAnsi="Arial" w:cs="Arial"/>
          <w:sz w:val="24"/>
          <w:szCs w:val="24"/>
          <w:lang w:val="es-ES"/>
        </w:rPr>
        <w:instrText xml:space="preserve">214 000 sequences, the new microarray DNA chips, and the ongoing sequencing project are expected to aid development of more practical markers. Several BAC libraries have been developed that facilitate map-based cloning of genes and QTLs. Sequencing of the euchromatic portions of the tomato genome is paving the way for comparative and functional analysis of important genes and QTLs.","container-title":"International Journal of Plant Genomics","DOI":"10.1155/2007/64358","ISSN":"1687-5389","issue":"1","language":"en","license":"Derechos de Autor . 2007 Majid R. Foolad.","note":"_eprint: https://onlinelibrary.wiley.com/doi/pdf/10.1155/2007/64358","page":"064358","source":"Wiley Online Library","title":"Genome Mapping and Molecular Breeding of Tomato","URL":"https://onlinelibrary.wiley.com/doi/abs/10.1155/2007/64358","volume":"2007","author":[{"family":"Foolad","given":"Majid R."}],"accessed":{"date-parts":[["2025",3,25]]},"issued":{"date-parts":[["2007"]]}},"label":"page"},{"id":1386,"uris":["http://zotero.org/users/12642312/items/VRUB2476"],"itemData":{"id":1386,"type":"article-journal","container-title":"Egyptian Journal of Desert Research","issue":"1","note":"publisher: Desert Research Center","page":"1–10","source":"Google Scholar","title":"Performance of some tomato genotypes under greenhouse conditions","URL":"https://journals.ekb.eg/article_108100.html","volume":"70","author":[{"family":"Bayomi","given":"Khaled"},{"family":"Abdel-Baset","given":"Ashraf"},{"family":"Nassar","given":"Saad"}],"accessed":{"date-parts":[["2025",4,2]]},"issued":{"date-parts":[["2020"]]}},"label":"page"},{"id":825,"uris":["http://zotero.org/users/12642312/items/VLZ9ZNLV"],"itemData":{"id":825,"type":"article-journal","abstract":"Tomato (Solanum lycopersicum L.) is a globally important vegetable recognized for its positive health benefits. As most of the vegetable production, tomato require significant amount of agronomic inputs. However, recent shifts in climate patterns in terms of timing and amount in rainfall, patterns in air temperature, and the associated extreme events have caused harm and disruption to the agricultural sector worldwide. The objective of this study was to: i) evaluate the ability of a crop simulation model to simulate yield and growth parameter of a processing tomato in South west Italy; ii) quantify the impacts of projected climate on business as usual agronomic practices; iii) understand the role of projected changes and increased CO2 on the water and nutrient efficiency. Field trials from an open field at Sele Valley (40°35′03.8″ N, 14°58′48.6″ E) (Salerno, South west Italy) during a two-year period (2004–2005) were used. Baseline climate data (1984–2018) were available and four contrasting projections were selected as function of their spread in terms of changes in growing season rainfall and temperature respect to the baseline. The crop model DSSAT (Decision Support System of Agrotechnology Transfer) was used for this study. The model was able to simulate tomato response to N fertilization with acceptable error levels respect to the ones reported in literature. The projected increase in air temperature and changes in rainfall caused a shortening ranging from 1.5 to 3 days in tomato phenology causing an overall 15 % reduction in tomato yield. To offset the negative impact of rainfall and temperature changes, additional irrigation water (from 85 to 110 mm) and nitrogen rate (from 20 to 30 kg N ha−1) is needed. However, the increase in irrigation water does not translate in significant yield increase and caused an increase in water and nitrogen use efficiency of less than 10 %.","container-title":"Agricultural Water Management","DOI":"10.1016/j.agwat.2020.106336","ISSN":"0378-3774","journalAbbreviation":"Agricultural Water Management","page":"106336","source":"ScienceDirect","title":"Impact of climate change on water and nitrogen use efficiencies of processing tomato cultivated in Italy","URL":"https://www.sciencedirect.com/science/article/pii/S0378377420305199","volume":"241","author":[{"family":"Cammarano","given":"D."},{"family":"Ronga","given":"D."},{"family":"Di Mola","given":"I."},{"family":"Mori","given":"M."},{"family":"Parisi","given":"M."}],"accessed":{"date-parts":[["2025",3,25]]},"issued":{"date-parts":[["2020",11,1]]}},"label":"page"},{"id":832,"uris":["http://zotero.org/users/12642312/items/PRVDLH5H"],"itemData":{"id":832,"type":"article-journal","container-title":"Avances en Investigación Agropecuaria","ISSN":"2683-1716","issue":"1","language":"es","page":"7-19","source":"revistasacademicas.ucol.mx","title":"Determinación de criterios de selección para el rendimiento de tomate (Solanum lycopersicum L.) cultivado bajo invernadero","URL":"https://revistasacademicas.ucol.mx/index.php/agropecuaria/article/view/207","volume":"25","author":[{"family":"Monge","given":"José Eladio"},{"family":"Loría","given":"Michelle"}],"accessed":{"date-parts":[["2025",3,25]]},"issued":{"date-parts":[["2021"]]}},"label":"page"}],"schema":"https://github.com/citation-style-language/schema/raw/master/csl-citation.json"} </w:instrText>
      </w:r>
      <w:r>
        <w:rPr>
          <w:rFonts w:ascii="Arial" w:eastAsia="Calibri" w:hAnsi="Arial" w:cs="Arial"/>
          <w:sz w:val="24"/>
          <w:szCs w:val="24"/>
          <w:lang w:val="es-ES"/>
        </w:rPr>
        <w:fldChar w:fldCharType="separate"/>
      </w:r>
      <w:r w:rsidR="008C4A06" w:rsidRPr="00716AA5">
        <w:rPr>
          <w:rFonts w:ascii="Arial" w:hAnsi="Arial" w:cs="Arial"/>
          <w:sz w:val="24"/>
          <w:szCs w:val="24"/>
          <w:lang w:val="es-ES"/>
        </w:rPr>
        <w:t>(</w:t>
      </w:r>
      <w:proofErr w:type="spellStart"/>
      <w:r w:rsidR="008C4A06" w:rsidRPr="00716AA5">
        <w:rPr>
          <w:rFonts w:ascii="Arial" w:hAnsi="Arial" w:cs="Arial"/>
          <w:sz w:val="24"/>
          <w:szCs w:val="24"/>
          <w:lang w:val="es-ES"/>
        </w:rPr>
        <w:t>Foolad</w:t>
      </w:r>
      <w:proofErr w:type="spellEnd"/>
      <w:r w:rsidR="008C4A06" w:rsidRPr="00716AA5">
        <w:rPr>
          <w:rFonts w:ascii="Arial" w:hAnsi="Arial" w:cs="Arial"/>
          <w:sz w:val="24"/>
          <w:szCs w:val="24"/>
          <w:lang w:val="es-ES"/>
        </w:rPr>
        <w:t xml:space="preserve">, 2007; </w:t>
      </w:r>
      <w:proofErr w:type="spellStart"/>
      <w:r w:rsidR="008C4A06" w:rsidRPr="00716AA5">
        <w:rPr>
          <w:rFonts w:ascii="Arial" w:hAnsi="Arial" w:cs="Arial"/>
          <w:sz w:val="24"/>
          <w:szCs w:val="24"/>
          <w:lang w:val="es-ES"/>
        </w:rPr>
        <w:t>Bayomi</w:t>
      </w:r>
      <w:proofErr w:type="spellEnd"/>
      <w:r w:rsidR="008C4A06" w:rsidRPr="00716AA5">
        <w:rPr>
          <w:rFonts w:ascii="Arial" w:hAnsi="Arial" w:cs="Arial"/>
          <w:sz w:val="24"/>
          <w:szCs w:val="24"/>
          <w:lang w:val="es-ES"/>
        </w:rPr>
        <w:t xml:space="preserve"> </w:t>
      </w:r>
      <w:r w:rsidR="008C4A06" w:rsidRPr="00716AA5">
        <w:rPr>
          <w:rFonts w:ascii="Arial" w:hAnsi="Arial" w:cs="Arial"/>
          <w:i/>
          <w:iCs/>
          <w:sz w:val="24"/>
          <w:szCs w:val="24"/>
          <w:lang w:val="es-ES"/>
        </w:rPr>
        <w:t>et al</w:t>
      </w:r>
      <w:r w:rsidR="008C4A06" w:rsidRPr="00716AA5">
        <w:rPr>
          <w:rFonts w:ascii="Arial" w:hAnsi="Arial" w:cs="Arial"/>
          <w:sz w:val="24"/>
          <w:szCs w:val="24"/>
          <w:lang w:val="es-ES"/>
        </w:rPr>
        <w:t xml:space="preserve">., 2020; </w:t>
      </w:r>
      <w:proofErr w:type="spellStart"/>
      <w:r w:rsidR="008C4A06" w:rsidRPr="00716AA5">
        <w:rPr>
          <w:rFonts w:ascii="Arial" w:hAnsi="Arial" w:cs="Arial"/>
          <w:sz w:val="24"/>
          <w:szCs w:val="24"/>
          <w:lang w:val="es-ES"/>
        </w:rPr>
        <w:t>Cammarano</w:t>
      </w:r>
      <w:proofErr w:type="spellEnd"/>
      <w:r w:rsidR="008C4A06" w:rsidRPr="00716AA5">
        <w:rPr>
          <w:rFonts w:ascii="Arial" w:hAnsi="Arial" w:cs="Arial"/>
          <w:sz w:val="24"/>
          <w:szCs w:val="24"/>
          <w:lang w:val="es-ES"/>
        </w:rPr>
        <w:t xml:space="preserve"> </w:t>
      </w:r>
      <w:r w:rsidR="008C4A06" w:rsidRPr="00716AA5">
        <w:rPr>
          <w:rFonts w:ascii="Arial" w:hAnsi="Arial" w:cs="Arial"/>
          <w:i/>
          <w:iCs/>
          <w:sz w:val="24"/>
          <w:szCs w:val="24"/>
          <w:lang w:val="es-ES"/>
        </w:rPr>
        <w:t>et al</w:t>
      </w:r>
      <w:r w:rsidR="008C4A06" w:rsidRPr="00716AA5">
        <w:rPr>
          <w:rFonts w:ascii="Arial" w:hAnsi="Arial" w:cs="Arial"/>
          <w:sz w:val="24"/>
          <w:szCs w:val="24"/>
          <w:lang w:val="es-ES"/>
        </w:rPr>
        <w:t xml:space="preserve">., 2020; Monge &amp; </w:t>
      </w:r>
      <w:proofErr w:type="spellStart"/>
      <w:r w:rsidR="008C4A06" w:rsidRPr="00716AA5">
        <w:rPr>
          <w:rFonts w:ascii="Arial" w:hAnsi="Arial" w:cs="Arial"/>
          <w:sz w:val="24"/>
          <w:szCs w:val="24"/>
          <w:lang w:val="es-ES"/>
        </w:rPr>
        <w:t>Loría</w:t>
      </w:r>
      <w:proofErr w:type="spellEnd"/>
      <w:r w:rsidR="008C4A06" w:rsidRPr="00716AA5">
        <w:rPr>
          <w:rFonts w:ascii="Arial" w:hAnsi="Arial" w:cs="Arial"/>
          <w:sz w:val="24"/>
          <w:szCs w:val="24"/>
          <w:lang w:val="es-ES"/>
        </w:rPr>
        <w:t>, 2021)</w:t>
      </w:r>
      <w:r>
        <w:rPr>
          <w:rFonts w:ascii="Arial" w:eastAsia="Calibri" w:hAnsi="Arial" w:cs="Arial"/>
          <w:sz w:val="24"/>
          <w:szCs w:val="24"/>
          <w:lang w:val="es-ES"/>
        </w:rPr>
        <w:fldChar w:fldCharType="end"/>
      </w:r>
      <w:r>
        <w:rPr>
          <w:rFonts w:ascii="Arial" w:eastAsia="Calibri" w:hAnsi="Arial" w:cs="Arial"/>
          <w:sz w:val="24"/>
          <w:szCs w:val="24"/>
          <w:lang w:val="es-ES"/>
        </w:rPr>
        <w:t xml:space="preserve">. </w:t>
      </w:r>
      <w:r>
        <w:rPr>
          <w:rFonts w:ascii="Arial" w:hAnsi="Arial" w:cs="Arial"/>
          <w:sz w:val="24"/>
          <w:szCs w:val="24"/>
          <w:lang w:val="es-ES"/>
        </w:rPr>
        <w:t>En el año 2022, la producción mundial de tomate sobrepasó los 186 millones de toneladas.</w:t>
      </w:r>
      <w:r>
        <w:rPr>
          <w:rFonts w:ascii="Arial" w:eastAsia="NotoSans-Regular" w:hAnsi="Arial" w:cs="Arial"/>
          <w:color w:val="171615"/>
          <w:sz w:val="24"/>
          <w:szCs w:val="24"/>
          <w:lang w:val="es-ES"/>
        </w:rPr>
        <w:t xml:space="preserve"> </w:t>
      </w:r>
      <w:r>
        <w:rPr>
          <w:rFonts w:ascii="Arial" w:hAnsi="Arial" w:cs="Arial"/>
          <w:sz w:val="24"/>
          <w:szCs w:val="24"/>
          <w:lang w:val="es-ES"/>
        </w:rPr>
        <w:t xml:space="preserve">Durante las primeras dos décadas del siglo XXI, la producción de tomate se incrementó en un 63%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{"citationID":"oHH3fwBZ","properties":{"custom":"(FAO, 2025)","formattedCitation":"(FAO, 2025)","plainCitation":"(FAO, 2025)","noteIndex":0},"citationItems":[{"id":1234,"uris":["http://zotero.org/users/12642312/items/DDZMSNVY"],"itemData":{"id":1234,"type":"webpage","title":"FAO","URL":"https://www.fao.org/family-farming/detail/en/c/1724682/","accessed":{"date-parts":[["2025",4,2]]},"issued":{"date-parts":[["2025"]]}}}],"schema":"https://github.com/citation-style-language/schema/raw/master/csl-citation.json"} </w:instrText>
      </w:r>
      <w:r>
        <w:rPr>
          <w:rFonts w:ascii="Arial" w:hAnsi="Arial" w:cs="Arial"/>
          <w:sz w:val="24"/>
          <w:szCs w:val="24"/>
          <w:lang w:val="es-ES"/>
        </w:rPr>
        <w:fldChar w:fldCharType="separate"/>
      </w:r>
      <w:r>
        <w:rPr>
          <w:rFonts w:ascii="Arial" w:hAnsi="Arial" w:cs="Arial"/>
          <w:sz w:val="24"/>
          <w:lang w:val="es-ES"/>
        </w:rPr>
        <w:t>(FAO, 2025)</w:t>
      </w:r>
      <w:r>
        <w:rPr>
          <w:rFonts w:ascii="Arial" w:hAnsi="Arial" w:cs="Arial"/>
          <w:sz w:val="24"/>
          <w:szCs w:val="24"/>
          <w:lang w:val="es-ES"/>
        </w:rPr>
        <w:fldChar w:fldCharType="end"/>
      </w:r>
      <w:r>
        <w:rPr>
          <w:rFonts w:ascii="Arial" w:hAnsi="Arial" w:cs="Arial"/>
          <w:sz w:val="24"/>
          <w:szCs w:val="24"/>
          <w:lang w:val="es-ES"/>
        </w:rPr>
        <w:t>.</w:t>
      </w:r>
    </w:p>
    <w:p w14:paraId="0E711D8E" w14:textId="77777777" w:rsidR="008403BD" w:rsidRDefault="007D49D9">
      <w:pPr>
        <w:autoSpaceDE w:val="0"/>
        <w:autoSpaceDN w:val="0"/>
        <w:adjustRightInd w:val="0"/>
        <w:spacing w:before="120" w:after="0" w:line="360" w:lineRule="auto"/>
        <w:jc w:val="both"/>
        <w:rPr>
          <w:rFonts w:ascii="Arial" w:hAnsi="Arial" w:cs="Arial"/>
          <w:sz w:val="24"/>
          <w:szCs w:val="24"/>
          <w:lang w:val="es-ES"/>
        </w:rPr>
      </w:pPr>
      <w:bookmarkStart w:id="7" w:name="_Hlk119185949"/>
      <w:r>
        <w:rPr>
          <w:rFonts w:ascii="Arial" w:hAnsi="Arial" w:cs="Arial"/>
          <w:sz w:val="24"/>
          <w:szCs w:val="24"/>
          <w:lang w:val="es-ES"/>
        </w:rPr>
        <w:t xml:space="preserve">Los países europeos eran hace 20 años los mayores productores de tomate, pero hoy Asia domina el mercado del </w:t>
      </w:r>
      <w:r w:rsidR="00381351">
        <w:rPr>
          <w:rFonts w:ascii="Arial" w:hAnsi="Arial" w:cs="Arial"/>
          <w:sz w:val="24"/>
          <w:szCs w:val="24"/>
          <w:lang w:val="es-ES"/>
        </w:rPr>
        <w:t>mismo</w:t>
      </w:r>
      <w:r>
        <w:rPr>
          <w:rFonts w:ascii="Arial" w:hAnsi="Arial" w:cs="Arial"/>
          <w:sz w:val="24"/>
          <w:szCs w:val="24"/>
          <w:lang w:val="es-ES"/>
        </w:rPr>
        <w:t xml:space="preserve"> con más de la mitad de la producción mundial, con China en primer lugar, seguida en orden decreciente por India, Turquía, Estados Unidos y Egipto como los países con mayor producción a nivel global</w:t>
      </w:r>
      <w:r>
        <w:rPr>
          <w:rFonts w:ascii="Arial" w:hAnsi="Arial" w:cs="Arial"/>
          <w:color w:val="000000"/>
          <w:sz w:val="24"/>
          <w:szCs w:val="24"/>
          <w:lang w:val="es-ES"/>
        </w:rPr>
        <w:t xml:space="preserve"> </w:t>
      </w:r>
      <w:r>
        <w:rPr>
          <w:rFonts w:ascii="Arial" w:hAnsi="Arial" w:cs="Arial"/>
          <w:color w:val="000000"/>
          <w:sz w:val="24"/>
          <w:szCs w:val="24"/>
          <w:lang w:val="es-ES"/>
        </w:rPr>
        <w:fldChar w:fldCharType="begin"/>
      </w:r>
      <w:r>
        <w:rPr>
          <w:rFonts w:ascii="Arial" w:hAnsi="Arial" w:cs="Arial"/>
          <w:color w:val="000000"/>
          <w:sz w:val="24"/>
          <w:szCs w:val="24"/>
          <w:lang w:val="es-ES"/>
        </w:rPr>
        <w:instrText xml:space="preserve"> ADDIN ZOTERO_ITEM CSL_CITATION {"citationID":"5lbhQyed","properties":{"formattedCitation":"(FAOSTAT, 2020)","plainCitation":"(FAOSTAT, 2020)","noteIndex":0},"citationItems":[{"id":528,"uris":["http://zotero.org/users/12642312/items/RI3TDEGN"],"itemData":{"id":528,"type":"webpage","abstract":"Sound and timely statistics are key to inform decisions, policies and investments that tackle issues related to food and agriculture, from hunger and malnutr...","container-title":"Statistics","language":"en","title":"Statistics | FAO | Food and Agriculture Organization of the United Nations","URL":"http://www.fao.org/statistics/en","author":[{"literal":"FAOSTAT"}],"accessed":{"date-parts":[["2024",10,14]]},"issued":{"date-parts":[["2020"]]}}}],"schema":"https://github.com/citation-style-language/schema/raw/master/csl-citation.json"} </w:instrText>
      </w:r>
      <w:r>
        <w:rPr>
          <w:rFonts w:ascii="Arial" w:hAnsi="Arial" w:cs="Arial"/>
          <w:color w:val="000000"/>
          <w:sz w:val="24"/>
          <w:szCs w:val="24"/>
          <w:lang w:val="es-ES"/>
        </w:rPr>
        <w:fldChar w:fldCharType="separate"/>
      </w:r>
      <w:r>
        <w:rPr>
          <w:rFonts w:ascii="Arial" w:hAnsi="Arial" w:cs="Arial"/>
          <w:sz w:val="24"/>
          <w:lang w:val="es-ES"/>
        </w:rPr>
        <w:t>(FAOSTAT, 2020)</w:t>
      </w:r>
      <w:r>
        <w:rPr>
          <w:rFonts w:ascii="Arial" w:hAnsi="Arial" w:cs="Arial"/>
          <w:color w:val="000000"/>
          <w:sz w:val="24"/>
          <w:szCs w:val="24"/>
          <w:lang w:val="es-ES"/>
        </w:rPr>
        <w:fldChar w:fldCharType="end"/>
      </w:r>
      <w:r>
        <w:rPr>
          <w:rFonts w:ascii="Arial" w:hAnsi="Arial" w:cs="Arial"/>
          <w:sz w:val="24"/>
          <w:szCs w:val="24"/>
          <w:lang w:val="es-ES"/>
        </w:rPr>
        <w:t>.</w:t>
      </w:r>
    </w:p>
    <w:bookmarkEnd w:id="7"/>
    <w:p w14:paraId="248784AA" w14:textId="6F85CD1D" w:rsidR="008403BD" w:rsidRDefault="007D49D9">
      <w:pPr>
        <w:autoSpaceDE w:val="0"/>
        <w:autoSpaceDN w:val="0"/>
        <w:adjustRightInd w:val="0"/>
        <w:spacing w:before="120" w:after="0" w:line="360" w:lineRule="auto"/>
        <w:jc w:val="both"/>
        <w:rPr>
          <w:rFonts w:ascii="Arial" w:eastAsia="Calibri" w:hAnsi="Arial" w:cs="Arial"/>
          <w:sz w:val="24"/>
          <w:szCs w:val="24"/>
          <w:lang w:val="es-ES"/>
        </w:rPr>
      </w:pPr>
      <w:r>
        <w:rPr>
          <w:rFonts w:ascii="Arial" w:eastAsia="Calibri" w:hAnsi="Arial" w:cs="Arial"/>
          <w:sz w:val="24"/>
          <w:szCs w:val="24"/>
          <w:lang w:val="es-ES"/>
        </w:rPr>
        <w:t xml:space="preserve">El desarrollo de la producción de tomate en Cuba, al igual que en el resto del mundo, se debe a sus cualidades nutritivas. Su importancia alimenticia se basa en su elevado contenido en sales minerales, vitaminas, ácidos orgánicos y azúcares, elementos necesarios para la dieta humana </w:t>
      </w:r>
      <w:r>
        <w:rPr>
          <w:rFonts w:ascii="Arial" w:eastAsia="Calibri" w:hAnsi="Arial" w:cs="Arial"/>
          <w:sz w:val="24"/>
          <w:szCs w:val="24"/>
          <w:lang w:val="es-ES"/>
        </w:rPr>
        <w:fldChar w:fldCharType="begin"/>
      </w:r>
      <w:r w:rsidR="004A6CBD">
        <w:rPr>
          <w:rFonts w:ascii="Arial" w:eastAsia="Calibri" w:hAnsi="Arial" w:cs="Arial"/>
          <w:sz w:val="24"/>
          <w:szCs w:val="24"/>
          <w:lang w:val="es-ES"/>
        </w:rPr>
        <w:instrText xml:space="preserve"> ADDIN ZOTERO_ITEM CSL_CITATION {"citationID":"8F8bCuUU","properties":{"custom":"(Singh {\\i{}et al}., 2018; Monge &amp; Lor\\uc0\\u237{}a, 2021)","unsorted":true,"formattedCitation":"(Singh {\\i{}et al}., 2018; Monge &amp; Lor\\uc0\\u237{}a, 2021)","plainCitation":"(Singh et al., 2018; Monge &amp; Loría, 2021)","noteIndex":0},"citationItems":[{"id":128,"uris":["http://zotero.org/users/12642312/items/DTMUPL7Y"],"itemData":{"id":128,"type":"article-journal","abstract":"In the Indo-Gangetic Plains (IGP) of India, rice (Oryza sativa L.) is taken by conventional tilled puddled transplanted (CT-PTR) method. CT-PTR requires a lot of water (2000-2500 mm) which comes mainly from groundwater. Due to declining water table and changing climate, the sustainability of CT-PTR rice is under immense pressure. The alternative to CT-PTR could be direct seeded rice (DSR) which requires less water, labor, initial cost and energy than CT-PTR. But direct seeded rice is heavily infested with weeds which cause severe loss to the grain yield. Thus, the success of aerobic rice depends on effective and timely weed control. As a single weed control method may not be successful on a long term basis, weed problem in direct seeded rice needs to be solved by integrated approach. Integrating cultural, mechanical and chemical methods along with highly competitive cultivars with effective allelopathic properties, effective weed management on long term sustainable basis can be achieved.","container-title":"Journal of Applied and Natural Science","DOI":"10.31018/jans.v10i2.1679","journalAbbreviation":"Journal of Applied and Natural Science","source":"ResearchGate","title":"Integrated weed management in direct seeded rice in Trans Indo-Gangetic plains of India- A review","volume":"10","author":[{"family":"Singh","given":"Ajay"},{"family":"Nandal","given":"Dharam"},{"family":"Punia","given":"Satbir"},{"family":"Malik","given":"Priti"}],"issued":{"date-parts":[["2018",6,1]]}},"label":"page"},{"id":832,"uris":["http://zotero.org/users/12642312/items/PRVDLH5H"],"itemData":{"id":832,"type":"article-journal","container-title":"Avances en Investigación Agropecuaria","ISSN":"2683-1716","issue":"1","language":"es","page":"7-19","source":"revistasacademicas.ucol.mx","title":"Determinación de criterios de selección para el rendimiento de tomate (Solanum lycopersicum L.) cultivado bajo invernadero","URL":"https://revistasacademicas.ucol.mx/index.php/agropecuaria/article/view/207","volume":"25","author":[{"family":"Monge","given":"José Eladio"},{"family":"Loría","given":"Michelle"}],"accessed":{"date-parts":[["2025",3,25]]},"issued":{"date-parts":[["2021"]]}},"label":"page"}],"schema":"https://github.com/citation-style-language/schema/raw/master/csl-citation.json"} </w:instrText>
      </w:r>
      <w:r>
        <w:rPr>
          <w:rFonts w:ascii="Arial" w:eastAsia="Calibri" w:hAnsi="Arial" w:cs="Arial"/>
          <w:sz w:val="24"/>
          <w:szCs w:val="24"/>
          <w:lang w:val="es-ES"/>
        </w:rPr>
        <w:fldChar w:fldCharType="separate"/>
      </w:r>
      <w:r w:rsidR="004A6CBD" w:rsidRPr="00716AA5">
        <w:rPr>
          <w:rFonts w:ascii="Arial" w:hAnsi="Arial" w:cs="Arial"/>
          <w:sz w:val="24"/>
          <w:szCs w:val="24"/>
          <w:lang w:val="es-ES"/>
        </w:rPr>
        <w:t xml:space="preserve">(Singh </w:t>
      </w:r>
      <w:r w:rsidR="004A6CBD" w:rsidRPr="00716AA5">
        <w:rPr>
          <w:rFonts w:ascii="Arial" w:hAnsi="Arial" w:cs="Arial"/>
          <w:i/>
          <w:iCs/>
          <w:sz w:val="24"/>
          <w:szCs w:val="24"/>
          <w:lang w:val="es-ES"/>
        </w:rPr>
        <w:t>et al</w:t>
      </w:r>
      <w:r w:rsidR="004A6CBD" w:rsidRPr="00716AA5">
        <w:rPr>
          <w:rFonts w:ascii="Arial" w:hAnsi="Arial" w:cs="Arial"/>
          <w:sz w:val="24"/>
          <w:szCs w:val="24"/>
          <w:lang w:val="es-ES"/>
        </w:rPr>
        <w:t xml:space="preserve">., 2018; Monge &amp; </w:t>
      </w:r>
      <w:proofErr w:type="spellStart"/>
      <w:r w:rsidR="004A6CBD" w:rsidRPr="00716AA5">
        <w:rPr>
          <w:rFonts w:ascii="Arial" w:hAnsi="Arial" w:cs="Arial"/>
          <w:sz w:val="24"/>
          <w:szCs w:val="24"/>
          <w:lang w:val="es-ES"/>
        </w:rPr>
        <w:t>Loría</w:t>
      </w:r>
      <w:proofErr w:type="spellEnd"/>
      <w:r w:rsidR="004A6CBD" w:rsidRPr="00716AA5">
        <w:rPr>
          <w:rFonts w:ascii="Arial" w:hAnsi="Arial" w:cs="Arial"/>
          <w:sz w:val="24"/>
          <w:szCs w:val="24"/>
          <w:lang w:val="es-ES"/>
        </w:rPr>
        <w:t>, 2021)</w:t>
      </w:r>
      <w:r>
        <w:rPr>
          <w:rFonts w:ascii="Arial" w:eastAsia="Calibri" w:hAnsi="Arial" w:cs="Arial"/>
          <w:sz w:val="24"/>
          <w:szCs w:val="24"/>
          <w:lang w:val="es-ES"/>
        </w:rPr>
        <w:fldChar w:fldCharType="end"/>
      </w:r>
      <w:r>
        <w:rPr>
          <w:rFonts w:ascii="Arial" w:eastAsia="Calibri" w:hAnsi="Arial" w:cs="Arial"/>
          <w:sz w:val="24"/>
          <w:szCs w:val="24"/>
          <w:lang w:val="es-ES"/>
        </w:rPr>
        <w:t xml:space="preserve">. Los frutos de tomate presentan alto contenido de compuestos antioxidantes (licopeno, β caroteno, glutatión y vitaminas A, C y E) </w:t>
      </w:r>
      <w:r>
        <w:rPr>
          <w:rFonts w:ascii="Arial" w:eastAsia="Calibri" w:hAnsi="Arial" w:cs="Arial"/>
          <w:sz w:val="24"/>
          <w:szCs w:val="24"/>
          <w:lang w:val="es-ES"/>
        </w:rPr>
        <w:fldChar w:fldCharType="begin"/>
      </w:r>
      <w:r w:rsidR="004A4D42">
        <w:rPr>
          <w:rFonts w:ascii="Arial" w:eastAsia="Calibri" w:hAnsi="Arial" w:cs="Arial"/>
          <w:sz w:val="24"/>
          <w:szCs w:val="24"/>
          <w:lang w:val="es-ES"/>
        </w:rPr>
        <w:instrText xml:space="preserve"> ADDIN ZOTERO_ITEM CSL_CITATION {"citationID":"sMCYJFtj","properties":{"custom":"(Jaramillo {\\i{}et al}., 2012; Singh {\\i{}et al}., 2018)","formattedCitation":"(Jaramillo {\\i{}et al}., 2012; Singh {\\i{}et al}., 2018)","plainCitation":"(Jaramillo et al., 2012; Singh et al., 2018)","noteIndex":0},"citationItems":[{"id":564,"uris":["http://zotero.org/users/12642312/items/PGIIGC9Z"],"itemData":{"id":564,"type":"article-journal","abstract":"El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Andrea"}],"accessed":{"date-parts":[["2024",10,14]]},"issued":{"date-parts":[["2012"]]}},"label":"page"},{"id":128,"uris":["http://zotero.org/users/12642312/items/DTMUPL7Y"],"itemData":{"id":128,"type":"article-journal","abstract":"In the Indo-Gangetic Plains (IGP) of India, rice (Oryza sativa L.) is taken by conventional tilled puddled transplanted (CT-PTR) method. CT-PTR requires a lot of water (2000-2500 mm) which comes mainly from groundwater. Due to declining water table and changing climate, the sustainability of CT-PTR rice is under immense pressure. The alternative to CT-PTR could be direct seeded rice (DSR) which requires less water, labor, initial cost and energy than CT-PTR. But direct seeded rice is heavily infested with weeds which cause severe loss to the grain yield. Thus, the success of aerobic rice depends on effective and timely weed control. As a single weed control method may not be successful on a long term basis, weed problem in direct seeded rice needs to be solved by integrated approach. Integrating cultural, mechanical and chemical methods along with highly competitive cultivars with effective allelopathic properties, effective weed management on long term sustainable basis can be achieved.","container-title":"Journal of Applied and Natural Science","DOI":"10.31018/jans.v10i2.1679","journalAbbreviation":"Journal of Applied and Natural Science","source":"ResearchGate","title":"Integrated weed management in direct seeded rice in Trans Indo-Gangetic plains of India- A review","volume":"10","author":[{"family":"Singh","given":"Ajay"},{"family":"Nandal","given":"Dharam"},{"family":"Punia","given":"Satbir"},{"family":"Malik","given":"Priti"}],"issued":{"date-parts":[["2018",6,1]]}},"label":"page"}],"schema":"https://github.com/citation-style-language/schema/raw/master/csl-citation.json"} </w:instrText>
      </w:r>
      <w:r>
        <w:rPr>
          <w:rFonts w:ascii="Arial" w:eastAsia="Calibri" w:hAnsi="Arial" w:cs="Arial"/>
          <w:sz w:val="24"/>
          <w:szCs w:val="24"/>
          <w:lang w:val="es-ES"/>
        </w:rPr>
        <w:fldChar w:fldCharType="separate"/>
      </w:r>
      <w:r w:rsidR="004A4D42" w:rsidRPr="00716AA5">
        <w:rPr>
          <w:rFonts w:ascii="Arial" w:hAnsi="Arial" w:cs="Arial"/>
          <w:sz w:val="24"/>
          <w:szCs w:val="24"/>
          <w:lang w:val="es-ES"/>
        </w:rPr>
        <w:t xml:space="preserve">(Jaramillo </w:t>
      </w:r>
      <w:r w:rsidR="004A4D42" w:rsidRPr="00716AA5">
        <w:rPr>
          <w:rFonts w:ascii="Arial" w:hAnsi="Arial" w:cs="Arial"/>
          <w:i/>
          <w:iCs/>
          <w:sz w:val="24"/>
          <w:szCs w:val="24"/>
          <w:lang w:val="es-ES"/>
        </w:rPr>
        <w:t>et al</w:t>
      </w:r>
      <w:r w:rsidR="004A4D42" w:rsidRPr="00716AA5">
        <w:rPr>
          <w:rFonts w:ascii="Arial" w:hAnsi="Arial" w:cs="Arial"/>
          <w:sz w:val="24"/>
          <w:szCs w:val="24"/>
          <w:lang w:val="es-ES"/>
        </w:rPr>
        <w:t xml:space="preserve">., 2012; Singh </w:t>
      </w:r>
      <w:r w:rsidR="004A4D42" w:rsidRPr="00716AA5">
        <w:rPr>
          <w:rFonts w:ascii="Arial" w:hAnsi="Arial" w:cs="Arial"/>
          <w:i/>
          <w:iCs/>
          <w:sz w:val="24"/>
          <w:szCs w:val="24"/>
          <w:lang w:val="es-ES"/>
        </w:rPr>
        <w:t>et al</w:t>
      </w:r>
      <w:r w:rsidR="004A4D42" w:rsidRPr="00716AA5">
        <w:rPr>
          <w:rFonts w:ascii="Arial" w:hAnsi="Arial" w:cs="Arial"/>
          <w:sz w:val="24"/>
          <w:szCs w:val="24"/>
          <w:lang w:val="es-ES"/>
        </w:rPr>
        <w:t>., 2018)</w:t>
      </w:r>
      <w:r>
        <w:rPr>
          <w:rFonts w:ascii="Arial" w:eastAsia="Calibri" w:hAnsi="Arial" w:cs="Arial"/>
          <w:sz w:val="24"/>
          <w:szCs w:val="24"/>
          <w:lang w:val="es-ES"/>
        </w:rPr>
        <w:fldChar w:fldCharType="end"/>
      </w:r>
      <w:r>
        <w:rPr>
          <w:rFonts w:ascii="Arial" w:eastAsia="Calibri" w:hAnsi="Arial" w:cs="Arial"/>
          <w:sz w:val="24"/>
          <w:szCs w:val="24"/>
          <w:lang w:val="es-ES"/>
        </w:rPr>
        <w:t xml:space="preserve">. </w:t>
      </w:r>
      <w:r>
        <w:rPr>
          <w:rFonts w:ascii="Arial" w:eastAsia="ChaparralPro-Regular" w:hAnsi="Arial" w:cs="Arial"/>
          <w:sz w:val="24"/>
          <w:szCs w:val="24"/>
          <w:lang w:val="es-ES"/>
        </w:rPr>
        <w:t xml:space="preserve">El licopeno es el más potente de los antioxidantes: se ha demostrado que este componente puede prevenir e incluso combatir el cáncer debido a que protege las células de los efectos de la oxidación. El glutatión, por su parte, ayuda a depurar los productos tóxicos e impide la acumulación de materiales pesados en el organismo </w:t>
      </w:r>
      <w:r>
        <w:rPr>
          <w:rFonts w:ascii="Arial" w:eastAsia="ChaparralPro-Regular" w:hAnsi="Arial" w:cs="Arial"/>
          <w:sz w:val="24"/>
          <w:szCs w:val="24"/>
          <w:lang w:val="es-ES"/>
        </w:rPr>
        <w:fldChar w:fldCharType="begin"/>
      </w:r>
      <w:r w:rsidR="004A4D42">
        <w:rPr>
          <w:rFonts w:ascii="Arial" w:eastAsia="ChaparralPro-Regular" w:hAnsi="Arial" w:cs="Arial"/>
          <w:sz w:val="24"/>
          <w:szCs w:val="24"/>
          <w:lang w:val="es-ES"/>
        </w:rPr>
        <w:instrText xml:space="preserve"> ADDIN ZOTERO_ITEM CSL_CITATION {"citationID":"j7Foh63l","properties":{"custom":"(Jaramillo {\\i{}et al}., 2012; Singh {\\i{}et al}., 2018)","formattedCitation":"(Jaramillo {\\i{}et al}., 2012; Singh {\\i{}et al}., 2018)","plainCitation":"(Jaramillo et al., 2012; Singh et al., 2018)","noteIndex":0},"citationItems":[{"id":564,"uris":["http://zotero.org/users/12642312/items/PGIIGC9Z"],"itemData":{"id":564,"type":"article-journal","abstract":"El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Andrea"}],"accessed":{"date-parts":[["2024",10,14]]},"issued":{"date-parts":[["2012"]]}},"label":"page"},{"id":128,"uris":["http://zotero.org/users/12642312/items/DTMUPL7Y"],"itemData":{"id":128,"type":"article-journal","abstract":"In the Indo-Gangetic Plains (IGP) of India, rice (Oryza sativa L.) is taken by conventional tilled puddled transplanted (CT-PTR) method. CT-PTR requires a lot of water (2000-2500 mm) which comes mainly from groundwater. Due to declining water table and changing climate, the sustainability of CT-PTR rice is under immense pressure. The alternative to CT-PTR could be direct seeded rice (DSR) which requires less water, labor, initial cost and energy than CT-PTR. But direct seeded rice is heavily infested with weeds which cause severe loss to the grain yield. Thus, the success of aerobic rice depends on effective and timely weed control. As a single weed control method may not be successful on a long term basis, weed problem in direct seeded rice needs to be solved by integrated approach. Integrating cultural, mechanical and chemical methods along with highly competitive cultivars with effective allelopathic properties, effective weed management on long term sustainable basis can be achieved.","container-title":"Journal of Applied and Natural Science","DOI":"10.31018/jans.v10i2.1679","journalAbbreviation":"Journal of Applied and Natural Science","source":"ResearchGate","title":"Integrated weed management in direct seeded rice in Trans Indo-Gangetic plains of India- A review","volume":"10","author":[{"family":"Singh","given":"Ajay"},{"family":"Nandal","given":"Dharam"},{"family":"Punia","given":"Satbir"},{"family":"Malik","given":"Priti"}],"issued":{"date-parts":[["2018",6,1]]}},"label":"page"}],"schema":"https://github.com/citation-style-language/schema/raw/master/csl-citation.json"} </w:instrText>
      </w:r>
      <w:r>
        <w:rPr>
          <w:rFonts w:ascii="Arial" w:eastAsia="ChaparralPro-Regular" w:hAnsi="Arial" w:cs="Arial"/>
          <w:sz w:val="24"/>
          <w:szCs w:val="24"/>
          <w:lang w:val="es-ES"/>
        </w:rPr>
        <w:fldChar w:fldCharType="separate"/>
      </w:r>
      <w:r w:rsidR="00241E18" w:rsidRPr="00E11A32">
        <w:rPr>
          <w:rFonts w:ascii="Arial" w:hAnsi="Arial" w:cs="Arial"/>
          <w:sz w:val="24"/>
          <w:szCs w:val="24"/>
          <w:lang w:val="es-ES"/>
        </w:rPr>
        <w:t xml:space="preserve">(Jaramillo </w:t>
      </w:r>
      <w:r w:rsidR="00241E18" w:rsidRPr="00E11A32">
        <w:rPr>
          <w:rFonts w:ascii="Arial" w:hAnsi="Arial" w:cs="Arial"/>
          <w:i/>
          <w:iCs/>
          <w:sz w:val="24"/>
          <w:szCs w:val="24"/>
          <w:lang w:val="es-ES"/>
        </w:rPr>
        <w:t>et al</w:t>
      </w:r>
      <w:r w:rsidR="00241E18" w:rsidRPr="00E11A32">
        <w:rPr>
          <w:rFonts w:ascii="Arial" w:hAnsi="Arial" w:cs="Arial"/>
          <w:sz w:val="24"/>
          <w:szCs w:val="24"/>
          <w:lang w:val="es-ES"/>
        </w:rPr>
        <w:t xml:space="preserve">., 2012; Singh </w:t>
      </w:r>
      <w:r w:rsidR="00241E18" w:rsidRPr="00E11A32">
        <w:rPr>
          <w:rFonts w:ascii="Arial" w:hAnsi="Arial" w:cs="Arial"/>
          <w:i/>
          <w:iCs/>
          <w:sz w:val="24"/>
          <w:szCs w:val="24"/>
          <w:lang w:val="es-ES"/>
        </w:rPr>
        <w:t>et al</w:t>
      </w:r>
      <w:r w:rsidR="00241E18" w:rsidRPr="00E11A32">
        <w:rPr>
          <w:rFonts w:ascii="Arial" w:hAnsi="Arial" w:cs="Arial"/>
          <w:sz w:val="24"/>
          <w:szCs w:val="24"/>
          <w:lang w:val="es-ES"/>
        </w:rPr>
        <w:t>., 2018)</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 xml:space="preserve">. </w:t>
      </w:r>
    </w:p>
    <w:p w14:paraId="7DF92A72" w14:textId="77777777" w:rsidR="008403BD" w:rsidRDefault="007D49D9">
      <w:pPr>
        <w:pStyle w:val="Ttulo3"/>
        <w:rPr>
          <w:rFonts w:ascii="Arial" w:eastAsia="Calibri" w:hAnsi="Arial" w:cs="Arial"/>
          <w:b/>
          <w:color w:val="000000"/>
          <w:lang w:val="es-ES" w:eastAsia="es-ES"/>
        </w:rPr>
      </w:pPr>
      <w:bookmarkStart w:id="8" w:name="_Toc120452723"/>
      <w:bookmarkStart w:id="9" w:name="_Toc195014948"/>
      <w:r>
        <w:rPr>
          <w:rFonts w:ascii="Arial" w:eastAsia="Calibri" w:hAnsi="Arial" w:cs="Arial"/>
          <w:b/>
          <w:color w:val="000000"/>
          <w:lang w:val="es-ES" w:eastAsia="es-ES"/>
        </w:rPr>
        <w:t>1.1.2 Morfología del cultivo</w:t>
      </w:r>
      <w:bookmarkEnd w:id="8"/>
      <w:bookmarkEnd w:id="9"/>
    </w:p>
    <w:p w14:paraId="5ADE5C8F" w14:textId="2E89D280" w:rsidR="008403BD" w:rsidRDefault="007D49D9">
      <w:pPr>
        <w:spacing w:before="120" w:after="0" w:line="360" w:lineRule="auto"/>
        <w:jc w:val="both"/>
        <w:rPr>
          <w:rFonts w:ascii="Arial" w:eastAsia="ChaparralPro-Regular" w:hAnsi="Arial" w:cs="Arial"/>
          <w:sz w:val="24"/>
          <w:szCs w:val="24"/>
          <w:lang w:val="es-ES"/>
        </w:rPr>
      </w:pPr>
      <w:r>
        <w:rPr>
          <w:rFonts w:ascii="Arial" w:hAnsi="Arial" w:cs="Arial"/>
          <w:sz w:val="24"/>
          <w:szCs w:val="24"/>
          <w:lang w:val="es-ES" w:eastAsia="es-ES"/>
        </w:rPr>
        <w:t xml:space="preserve">El tomate es una planta perenne de porte arbustivo que se cultiva como anual, puede desarrollarse de forma rastrera, </w:t>
      </w:r>
      <w:proofErr w:type="spellStart"/>
      <w:r>
        <w:rPr>
          <w:rFonts w:ascii="Arial" w:hAnsi="Arial" w:cs="Arial"/>
          <w:sz w:val="24"/>
          <w:szCs w:val="24"/>
          <w:lang w:val="es-ES" w:eastAsia="es-ES"/>
        </w:rPr>
        <w:t>semierecta</w:t>
      </w:r>
      <w:proofErr w:type="spellEnd"/>
      <w:r>
        <w:rPr>
          <w:rFonts w:ascii="Arial" w:hAnsi="Arial" w:cs="Arial"/>
          <w:sz w:val="24"/>
          <w:szCs w:val="24"/>
          <w:lang w:val="es-ES" w:eastAsia="es-ES"/>
        </w:rPr>
        <w:t xml:space="preserve"> o erecta, y su crecimiento puede </w:t>
      </w:r>
      <w:r>
        <w:rPr>
          <w:rFonts w:ascii="Arial" w:hAnsi="Arial" w:cs="Arial"/>
          <w:sz w:val="24"/>
          <w:szCs w:val="24"/>
          <w:lang w:val="es-ES" w:eastAsia="es-ES"/>
        </w:rPr>
        <w:lastRenderedPageBreak/>
        <w:t xml:space="preserve">ser determinado o indeterminado </w:t>
      </w:r>
      <w:r>
        <w:rPr>
          <w:rFonts w:ascii="Arial" w:hAnsi="Arial" w:cs="Arial"/>
          <w:sz w:val="24"/>
          <w:szCs w:val="24"/>
          <w:lang w:val="es-ES" w:eastAsia="es-ES"/>
        </w:rPr>
        <w:fldChar w:fldCharType="begin"/>
      </w:r>
      <w:r w:rsidR="004A4D42">
        <w:rPr>
          <w:rFonts w:ascii="Arial" w:hAnsi="Arial" w:cs="Arial"/>
          <w:sz w:val="24"/>
          <w:szCs w:val="24"/>
          <w:lang w:val="es-ES" w:eastAsia="es-ES"/>
        </w:rPr>
        <w:instrText xml:space="preserve"> ADDIN ZOTERO_ITEM CSL_CITATION {"citationID":"kCeI9T5I","properties":{"custom":"(Jaramillo {\\i{}et al}., 2012; Saavedra del R. {\\i{}et al}., 2019)","formattedCitation":"(Jaramillo {\\i{}et al}., 2012; Saavedra del R. {\\i{}et al}., 2019)","plainCitation":"(Jaramillo et al., 2012; Saavedra del R. et al., 2019)","noteIndex":0},"citationItems":[{"id":564,"uris":["http://zotero.org/users/12642312/items/PGIIGC9Z"],"itemData":{"id":564,"type":"article-journal","abstract":"El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Andrea"}],"accessed":{"date-parts":[["2024",10,14]]},"issued":{"date-parts":[["2012"]]}},"label":"page"},{"id":867,"uris":["http://zotero.org/users/12642312/items/2WXXFGD7"],"itemData":{"id":867,"type":"article-journal","abstract":"El presente boletín INIA \"Hortalizas para procesamiento agroindustrial\" es una compilación de información que ha producido el equipo hortícola de INIA en conjunto con la agroindustria nacional en los últimos 15 años. La gran mayoría han sido proyectos financiados por CORFO y con participación del área privada. En si, el boletín analiza profundamente los principales cultivos hortícolas de uso agroindustrial, pero además incluye alguna hortaliza novedosa, como el kale, que tiene un gran futuro para la industria. La descripción de cada cultivo es dedicada, con fuentes bibliográficas de excelencia e información local obtenida a través de trabajos de investigación.","language":"es","source":"biblioteca.inia.cl","title":"Hortalizas para procesamiento agroindustrial","URL":"https://hdl.handle.net/20.500.14001/6818","author":[{"family":"Saavedra del R.","given":"Gabriel"},{"family":"Jana A.","given":"Constanza"},{"family":"Kehr M.","given":"Elizabeth (eds )"}],"accessed":{"date-parts":[["2025",3,26]]},"issued":{"date-parts":[["2019"]]}},"label":"page"}],"schema":"https://github.com/citation-style-language/schema/raw/master/csl-citation.json"} </w:instrText>
      </w:r>
      <w:r>
        <w:rPr>
          <w:rFonts w:ascii="Arial" w:hAnsi="Arial" w:cs="Arial"/>
          <w:sz w:val="24"/>
          <w:szCs w:val="24"/>
          <w:lang w:val="es-ES" w:eastAsia="es-ES"/>
        </w:rPr>
        <w:fldChar w:fldCharType="separate"/>
      </w:r>
      <w:r w:rsidR="00A34497" w:rsidRPr="00A34497">
        <w:rPr>
          <w:rFonts w:ascii="Arial" w:hAnsi="Arial" w:cs="Arial"/>
          <w:sz w:val="24"/>
          <w:szCs w:val="24"/>
          <w:lang w:val="es-ES"/>
        </w:rPr>
        <w:t xml:space="preserve">(Jaramillo </w:t>
      </w:r>
      <w:r w:rsidR="00A34497" w:rsidRPr="00A34497">
        <w:rPr>
          <w:rFonts w:ascii="Arial" w:hAnsi="Arial" w:cs="Arial"/>
          <w:i/>
          <w:iCs/>
          <w:sz w:val="24"/>
          <w:szCs w:val="24"/>
          <w:lang w:val="es-ES"/>
        </w:rPr>
        <w:t>et al</w:t>
      </w:r>
      <w:r w:rsidR="00A34497" w:rsidRPr="00A34497">
        <w:rPr>
          <w:rFonts w:ascii="Arial" w:hAnsi="Arial" w:cs="Arial"/>
          <w:sz w:val="24"/>
          <w:szCs w:val="24"/>
          <w:lang w:val="es-ES"/>
        </w:rPr>
        <w:t xml:space="preserve">., 2012; Saavedra del R. </w:t>
      </w:r>
      <w:r w:rsidR="00A34497" w:rsidRPr="00A34497">
        <w:rPr>
          <w:rFonts w:ascii="Arial" w:hAnsi="Arial" w:cs="Arial"/>
          <w:i/>
          <w:iCs/>
          <w:sz w:val="24"/>
          <w:szCs w:val="24"/>
          <w:lang w:val="es-ES"/>
        </w:rPr>
        <w:t>et al</w:t>
      </w:r>
      <w:r w:rsidR="00A34497" w:rsidRPr="00A34497">
        <w:rPr>
          <w:rFonts w:ascii="Arial" w:hAnsi="Arial" w:cs="Arial"/>
          <w:sz w:val="24"/>
          <w:szCs w:val="24"/>
          <w:lang w:val="es-ES"/>
        </w:rPr>
        <w:t>., 2019)</w:t>
      </w:r>
      <w:r>
        <w:rPr>
          <w:rFonts w:ascii="Arial" w:hAnsi="Arial" w:cs="Arial"/>
          <w:sz w:val="24"/>
          <w:szCs w:val="24"/>
          <w:lang w:val="es-ES" w:eastAsia="es-ES"/>
        </w:rPr>
        <w:fldChar w:fldCharType="end"/>
      </w:r>
      <w:r>
        <w:rPr>
          <w:rFonts w:ascii="Arial" w:hAnsi="Arial" w:cs="Arial"/>
          <w:sz w:val="24"/>
          <w:szCs w:val="24"/>
          <w:lang w:val="es-ES" w:eastAsia="es-ES"/>
        </w:rPr>
        <w:t xml:space="preserve">. </w:t>
      </w:r>
      <w:r>
        <w:rPr>
          <w:rFonts w:ascii="Arial" w:eastAsia="ChaparralPro-Regular" w:hAnsi="Arial" w:cs="Arial"/>
          <w:color w:val="000000"/>
          <w:sz w:val="24"/>
          <w:szCs w:val="24"/>
          <w:lang w:val="es-ES"/>
        </w:rPr>
        <w:t xml:space="preserve">Las plantas crecen, florecen y fructifican en etapas bien definidas; poseen inflorescencias apicales </w:t>
      </w:r>
      <w:r>
        <w:rPr>
          <w:rFonts w:ascii="Arial" w:eastAsia="ChaparralPro-Regular" w:hAnsi="Arial" w:cs="Arial"/>
          <w:color w:val="000000"/>
          <w:sz w:val="24"/>
          <w:szCs w:val="24"/>
          <w:lang w:val="es-ES"/>
        </w:rPr>
        <w:fldChar w:fldCharType="begin"/>
      </w:r>
      <w:r w:rsidR="004A4D42">
        <w:rPr>
          <w:rFonts w:ascii="Arial" w:eastAsia="ChaparralPro-Regular" w:hAnsi="Arial" w:cs="Arial"/>
          <w:color w:val="000000"/>
          <w:sz w:val="24"/>
          <w:szCs w:val="24"/>
          <w:lang w:val="es-ES"/>
        </w:rPr>
        <w:instrText xml:space="preserve"> ADDIN ZOTERO_ITEM CSL_CITATION {"citationID":"4swZufw1","properties":{"custom":"(Jaramillo {\\i{}et al}., 2012)","formattedCitation":"(Jaramillo {\\i{}et al}., 2012)","plainCitation":"(Jaramillo et al., 2012)","noteIndex":0},"citationItems":[{"id":564,"uris":["http://zotero.org/users/12642312/items/PGIIGC9Z"],"itemData":{"id":564,"type":"article-journal","abstract":"El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Andrea"}],"accessed":{"date-parts":[["2024",10,14]]},"issued":{"date-parts":[["2012"]]}}}],"schema":"https://github.com/citation-style-language/schema/raw/master/csl-citation.json"} </w:instrText>
      </w:r>
      <w:r>
        <w:rPr>
          <w:rFonts w:ascii="Arial" w:eastAsia="ChaparralPro-Regular" w:hAnsi="Arial" w:cs="Arial"/>
          <w:color w:val="000000"/>
          <w:sz w:val="24"/>
          <w:szCs w:val="24"/>
          <w:lang w:val="es-ES"/>
        </w:rPr>
        <w:fldChar w:fldCharType="separate"/>
      </w:r>
      <w:r w:rsidR="00A34497" w:rsidRPr="00A34497">
        <w:rPr>
          <w:rFonts w:ascii="Arial" w:hAnsi="Arial" w:cs="Arial"/>
          <w:sz w:val="24"/>
          <w:szCs w:val="24"/>
          <w:lang w:val="es-ES"/>
        </w:rPr>
        <w:t xml:space="preserve">(Jaramillo </w:t>
      </w:r>
      <w:r w:rsidR="00A34497" w:rsidRPr="00A34497">
        <w:rPr>
          <w:rFonts w:ascii="Arial" w:hAnsi="Arial" w:cs="Arial"/>
          <w:i/>
          <w:iCs/>
          <w:sz w:val="24"/>
          <w:szCs w:val="24"/>
          <w:lang w:val="es-ES"/>
        </w:rPr>
        <w:t>et al</w:t>
      </w:r>
      <w:r w:rsidR="00A34497" w:rsidRPr="00A34497">
        <w:rPr>
          <w:rFonts w:ascii="Arial" w:hAnsi="Arial" w:cs="Arial"/>
          <w:sz w:val="24"/>
          <w:szCs w:val="24"/>
          <w:lang w:val="es-ES"/>
        </w:rPr>
        <w:t>., 2012)</w:t>
      </w:r>
      <w:r>
        <w:rPr>
          <w:rFonts w:ascii="Arial" w:eastAsia="ChaparralPro-Regular" w:hAnsi="Arial" w:cs="Arial"/>
          <w:color w:val="000000"/>
          <w:sz w:val="24"/>
          <w:szCs w:val="24"/>
          <w:lang w:val="es-ES"/>
        </w:rPr>
        <w:fldChar w:fldCharType="end"/>
      </w:r>
      <w:r>
        <w:rPr>
          <w:rFonts w:ascii="Arial" w:eastAsia="ChaparralPro-Regular" w:hAnsi="Arial" w:cs="Arial"/>
          <w:color w:val="000000"/>
          <w:sz w:val="24"/>
          <w:szCs w:val="24"/>
          <w:lang w:val="es-ES"/>
        </w:rPr>
        <w:t>.</w:t>
      </w:r>
      <w:r>
        <w:rPr>
          <w:rFonts w:ascii="Arial" w:eastAsia="ChaparralPro-Regular" w:hAnsi="Arial" w:cs="Arial"/>
          <w:sz w:val="24"/>
          <w:szCs w:val="24"/>
          <w:lang w:val="es-ES"/>
        </w:rPr>
        <w:t xml:space="preserve"> </w:t>
      </w:r>
    </w:p>
    <w:p w14:paraId="1F91D19D" w14:textId="56041F35" w:rsidR="008403BD" w:rsidRDefault="007D49D9">
      <w:pPr>
        <w:autoSpaceDE w:val="0"/>
        <w:autoSpaceDN w:val="0"/>
        <w:adjustRightInd w:val="0"/>
        <w:spacing w:before="120" w:after="0" w:line="360" w:lineRule="auto"/>
        <w:jc w:val="both"/>
        <w:rPr>
          <w:rFonts w:ascii="Arial" w:eastAsia="ChaparralPro-Regular" w:hAnsi="Arial" w:cs="Arial"/>
          <w:sz w:val="24"/>
          <w:szCs w:val="24"/>
          <w:lang w:val="es-ES"/>
        </w:rPr>
      </w:pPr>
      <w:r>
        <w:rPr>
          <w:rFonts w:ascii="Arial" w:eastAsia="ChaparralPro-Regular" w:hAnsi="Arial" w:cs="Arial"/>
          <w:b/>
          <w:bCs/>
          <w:iCs/>
          <w:sz w:val="24"/>
          <w:szCs w:val="24"/>
          <w:lang w:val="es-ES"/>
        </w:rPr>
        <w:t>Raíz</w:t>
      </w:r>
      <w:r>
        <w:rPr>
          <w:rFonts w:ascii="Arial" w:eastAsia="ChaparralPro-Regular" w:hAnsi="Arial" w:cs="Arial"/>
          <w:b/>
          <w:bCs/>
          <w:i/>
          <w:iCs/>
          <w:sz w:val="24"/>
          <w:szCs w:val="24"/>
          <w:lang w:val="es-ES"/>
        </w:rPr>
        <w:t xml:space="preserve">: </w:t>
      </w:r>
      <w:r>
        <w:rPr>
          <w:rFonts w:ascii="Arial" w:eastAsia="ChaparralPro-Regular" w:hAnsi="Arial" w:cs="Arial"/>
          <w:sz w:val="24"/>
          <w:szCs w:val="24"/>
          <w:lang w:val="es-ES"/>
        </w:rPr>
        <w:t xml:space="preserve">El sistema radicular del tomate es superficial y está constituido por la raíz principal pivotante, la cual alcanza aproximadamente 60 cm de profundidad, raíces secundarias (numerosas y potentes) y raíces adventicias que pueden formar una masa densa con bastante volumen </w:t>
      </w:r>
      <w:r>
        <w:rPr>
          <w:rFonts w:ascii="Arial" w:eastAsia="ChaparralPro-Regular" w:hAnsi="Arial" w:cs="Arial"/>
          <w:sz w:val="24"/>
          <w:szCs w:val="24"/>
          <w:lang w:val="es-ES"/>
        </w:rPr>
        <w:fldChar w:fldCharType="begin"/>
      </w:r>
      <w:r w:rsidR="004A4D42">
        <w:rPr>
          <w:rFonts w:ascii="Arial" w:eastAsia="ChaparralPro-Regular" w:hAnsi="Arial" w:cs="Arial"/>
          <w:sz w:val="24"/>
          <w:szCs w:val="24"/>
          <w:lang w:val="es-ES"/>
        </w:rPr>
        <w:instrText xml:space="preserve"> ADDIN ZOTERO_ITEM CSL_CITATION {"citationID":"KQs3vufw","properties":{"custom":"(Jaramillo {\\i{}et al}., 2012; Saavedra del R. {\\i{}et al}., 2019)","formattedCitation":"(Jaramillo {\\i{}et al}., 2012; Saavedra del R. {\\i{}et al}., 2019)","plainCitation":"(Jaramillo et al., 2012; Saavedra del R. et al., 2019)","noteIndex":0},"citationItems":[{"id":564,"uris":["http://zotero.org/users/12642312/items/PGIIGC9Z"],"itemData":{"id":564,"type":"article-journal","abstract":"El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Andrea"}],"accessed":{"date-parts":[["2024",10,14]]},"issued":{"date-parts":[["2012"]]}},"label":"page"},{"id":867,"uris":["http://zotero.org/users/12642312/items/2WXXFGD7"],"itemData":{"id":867,"type":"article-journal","abstract":"El presente boletín INIA \"Hortalizas para procesamiento agroindustrial\" es una compilación de información que ha producido el equipo hortícola de INIA en conjunto con la agroindustria nacional en los últimos 15 años. La gran mayoría han sido proyectos financiados por CORFO y con participación del área privada. En si, el boletín analiza profundamente los principales cultivos hortícolas de uso agroindustrial, pero además incluye alguna hortaliza novedosa, como el kale, que tiene un gran futuro para la industria. La descripción de cada cultivo es dedicada, con fuentes bibliográficas de excelencia e información local obtenida a través de trabajos de investigación.","language":"es","source":"biblioteca.inia.cl","title":"Hortalizas para procesamiento agroindustrial","URL":"https://hdl.handle.net/20.500.14001/6818","author":[{"family":"Saavedra del R.","given":"Gabriel"},{"family":"Jana A.","given":"Constanza"},{"family":"Kehr M.","given":"Elizabeth (eds )"}],"accessed":{"date-parts":[["2025",3,26]]},"issued":{"date-parts":[["2019"]]}},"label":"page"}],"schema":"https://github.com/citation-style-language/schema/raw/master/csl-citation.json"} </w:instrText>
      </w:r>
      <w:r>
        <w:rPr>
          <w:rFonts w:ascii="Arial" w:eastAsia="ChaparralPro-Regular" w:hAnsi="Arial" w:cs="Arial"/>
          <w:sz w:val="24"/>
          <w:szCs w:val="24"/>
          <w:lang w:val="es-ES"/>
        </w:rPr>
        <w:fldChar w:fldCharType="separate"/>
      </w:r>
      <w:r w:rsidR="00A34497" w:rsidRPr="00A34497">
        <w:rPr>
          <w:rFonts w:ascii="Arial" w:hAnsi="Arial" w:cs="Arial"/>
          <w:sz w:val="24"/>
          <w:szCs w:val="24"/>
          <w:lang w:val="es-ES"/>
        </w:rPr>
        <w:t xml:space="preserve">(Jaramillo </w:t>
      </w:r>
      <w:r w:rsidR="00A34497" w:rsidRPr="00A34497">
        <w:rPr>
          <w:rFonts w:ascii="Arial" w:hAnsi="Arial" w:cs="Arial"/>
          <w:i/>
          <w:iCs/>
          <w:sz w:val="24"/>
          <w:szCs w:val="24"/>
          <w:lang w:val="es-ES"/>
        </w:rPr>
        <w:t>et al</w:t>
      </w:r>
      <w:r w:rsidR="00A34497" w:rsidRPr="00A34497">
        <w:rPr>
          <w:rFonts w:ascii="Arial" w:hAnsi="Arial" w:cs="Arial"/>
          <w:sz w:val="24"/>
          <w:szCs w:val="24"/>
          <w:lang w:val="es-ES"/>
        </w:rPr>
        <w:t xml:space="preserve">., 2012; Saavedra del R. </w:t>
      </w:r>
      <w:r w:rsidR="00A34497" w:rsidRPr="00A34497">
        <w:rPr>
          <w:rFonts w:ascii="Arial" w:hAnsi="Arial" w:cs="Arial"/>
          <w:i/>
          <w:iCs/>
          <w:sz w:val="24"/>
          <w:szCs w:val="24"/>
          <w:lang w:val="es-ES"/>
        </w:rPr>
        <w:t>et al</w:t>
      </w:r>
      <w:r w:rsidR="00A34497" w:rsidRPr="00A34497">
        <w:rPr>
          <w:rFonts w:ascii="Arial" w:hAnsi="Arial" w:cs="Arial"/>
          <w:sz w:val="24"/>
          <w:szCs w:val="24"/>
          <w:lang w:val="es-ES"/>
        </w:rPr>
        <w:t>., 2019)</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 xml:space="preserve">. Aunque el sistema radicular puede alcanzar 1,5 m de profundidad, se estima que el 75% se encuentra en los 45 cm superiores del suelo </w:t>
      </w:r>
      <w:r>
        <w:rPr>
          <w:rFonts w:ascii="Arial" w:eastAsia="ChaparralPro-Regular" w:hAnsi="Arial" w:cs="Arial"/>
          <w:sz w:val="24"/>
          <w:szCs w:val="24"/>
          <w:lang w:val="es-ES"/>
        </w:rPr>
        <w:fldChar w:fldCharType="begin"/>
      </w:r>
      <w:r>
        <w:rPr>
          <w:rFonts w:ascii="Arial" w:eastAsia="ChaparralPro-Regular" w:hAnsi="Arial" w:cs="Arial"/>
          <w:sz w:val="24"/>
          <w:szCs w:val="24"/>
          <w:lang w:val="es-ES"/>
        </w:rPr>
        <w:instrText xml:space="preserve"> ADDIN ZOTERO_ITEM CSL_CITATION {"citationID":"Zb6Mr4Tz","properties":{"custom":"(Saavedra del R. {\\i{}et al}., 2019)","formattedCitation":"(Saavedra del R. {\\i{}et al}., 2019)","plainCitation":"(Saavedra del R. et al., 2019)","noteIndex":0},"citationItems":[{"id":867,"uris":["http://zotero.org/users/12642312/items/2WXXFGD7"],"itemData":{"id":867,"type":"article-journal","abstract":"El presente boletín INIA \"Hortalizas para procesamiento agroindustrial\" es una compilación de información que ha producido el equipo hortícola de INIA en conjunto con la agroindustria nacional en los últimos 15 años. La gran mayoría han sido proyectos financiados por CORFO y con participación del área privada. En si, el boletín analiza profundamente los principales cultivos hortícolas de uso agroindustrial, pero además incluye alguna hortaliza novedosa, como el kale, que tiene un gran futuro para la industria. La descripción de cada cultivo es dedicada, con fuentes bibliográficas de excelencia e información local obtenida a través de trabajos de investigación.","language":"es","source":"biblioteca.inia.cl","title":"Hortalizas para procesamiento agroindustrial","URL":"https://hdl.handle.net/20.500.14001/6818","author":[{"family":"Saavedra del R.","given":"Gabriel"},{"family":"Jana A.","given":"Constanza"},{"family":"Kehr M.","given":"Elizabeth (eds )"}],"accessed":{"date-parts":[["2025",3,26]]},"issued":{"date-parts":[["2019"]]}}}],"schema":"https://github.com/citation-style-language/schema/raw/master/csl-citation.json"} </w:instrText>
      </w:r>
      <w:r>
        <w:rPr>
          <w:rFonts w:ascii="Arial" w:eastAsia="ChaparralPro-Regular" w:hAnsi="Arial" w:cs="Arial"/>
          <w:sz w:val="24"/>
          <w:szCs w:val="24"/>
          <w:lang w:val="es-ES"/>
        </w:rPr>
        <w:fldChar w:fldCharType="separate"/>
      </w:r>
      <w:r>
        <w:rPr>
          <w:rFonts w:ascii="Arial" w:hAnsi="Arial" w:cs="Arial"/>
          <w:sz w:val="24"/>
          <w:szCs w:val="24"/>
          <w:lang w:val="es-ES"/>
        </w:rPr>
        <w:t xml:space="preserve">(Saavedra del R. </w:t>
      </w:r>
      <w:r>
        <w:rPr>
          <w:rFonts w:ascii="Arial" w:hAnsi="Arial" w:cs="Arial"/>
          <w:i/>
          <w:iCs/>
          <w:sz w:val="24"/>
          <w:szCs w:val="24"/>
          <w:lang w:val="es-ES"/>
        </w:rPr>
        <w:t>et al</w:t>
      </w:r>
      <w:r>
        <w:rPr>
          <w:rFonts w:ascii="Arial" w:hAnsi="Arial" w:cs="Arial"/>
          <w:sz w:val="24"/>
          <w:szCs w:val="24"/>
          <w:lang w:val="es-ES"/>
        </w:rPr>
        <w:t>., 2019)</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 xml:space="preserve">. </w:t>
      </w:r>
    </w:p>
    <w:p w14:paraId="38232A95" w14:textId="77777777" w:rsidR="008403BD" w:rsidRDefault="007D49D9">
      <w:pPr>
        <w:autoSpaceDE w:val="0"/>
        <w:autoSpaceDN w:val="0"/>
        <w:adjustRightInd w:val="0"/>
        <w:spacing w:before="120" w:after="0" w:line="360" w:lineRule="auto"/>
        <w:jc w:val="both"/>
        <w:rPr>
          <w:rFonts w:ascii="Arial" w:eastAsia="ChaparralPro-Regular" w:hAnsi="Arial" w:cs="Arial"/>
          <w:sz w:val="24"/>
          <w:szCs w:val="24"/>
          <w:lang w:val="es-ES"/>
        </w:rPr>
      </w:pPr>
      <w:r>
        <w:rPr>
          <w:rFonts w:ascii="Arial" w:eastAsia="ChaparralPro-Regular" w:hAnsi="Arial" w:cs="Arial"/>
          <w:sz w:val="24"/>
          <w:szCs w:val="24"/>
          <w:lang w:val="es-ES"/>
        </w:rPr>
        <w:t xml:space="preserve">El </w:t>
      </w:r>
      <w:r>
        <w:rPr>
          <w:rFonts w:ascii="Arial" w:eastAsia="ChaparralPro-Regular" w:hAnsi="Arial" w:cs="Arial"/>
          <w:b/>
          <w:sz w:val="24"/>
          <w:szCs w:val="24"/>
          <w:lang w:val="es-ES"/>
        </w:rPr>
        <w:t>tallo</w:t>
      </w:r>
      <w:r>
        <w:rPr>
          <w:rFonts w:ascii="Arial" w:eastAsia="ChaparralPro-Regular" w:hAnsi="Arial" w:cs="Arial"/>
          <w:sz w:val="24"/>
          <w:szCs w:val="24"/>
          <w:lang w:val="es-ES"/>
        </w:rPr>
        <w:t xml:space="preserve"> es erguido durante los primeros estados de desarrollo, pero se tuerce debido al peso en el caso de plantas de crecimiento determinado, aunque en plantas indeterminadas está dado por el manejo de poda y conducción durante su crecimiento. La superficie es angulosa, provista de pelos agudos o </w:t>
      </w:r>
      <w:proofErr w:type="spellStart"/>
      <w:r>
        <w:rPr>
          <w:rFonts w:ascii="Arial" w:eastAsia="ChaparralPro-Regular" w:hAnsi="Arial" w:cs="Arial"/>
          <w:sz w:val="24"/>
          <w:szCs w:val="24"/>
          <w:lang w:val="es-ES"/>
        </w:rPr>
        <w:t>tricomas</w:t>
      </w:r>
      <w:proofErr w:type="spellEnd"/>
      <w:r>
        <w:rPr>
          <w:rFonts w:ascii="Arial" w:eastAsia="ChaparralPro-Regular" w:hAnsi="Arial" w:cs="Arial"/>
          <w:sz w:val="24"/>
          <w:szCs w:val="24"/>
          <w:lang w:val="es-ES"/>
        </w:rPr>
        <w:t xml:space="preserve"> y glándulas que desprenden un líquido de aroma muy característico </w:t>
      </w:r>
      <w:r>
        <w:rPr>
          <w:rFonts w:ascii="Arial" w:eastAsia="ChaparralPro-Regular" w:hAnsi="Arial" w:cs="Arial"/>
          <w:sz w:val="24"/>
          <w:szCs w:val="24"/>
          <w:lang w:val="es-ES"/>
        </w:rPr>
        <w:fldChar w:fldCharType="begin"/>
      </w:r>
      <w:r>
        <w:rPr>
          <w:rFonts w:ascii="Arial" w:eastAsia="ChaparralPro-Regular" w:hAnsi="Arial" w:cs="Arial"/>
          <w:sz w:val="24"/>
          <w:szCs w:val="24"/>
          <w:lang w:val="es-ES"/>
        </w:rPr>
        <w:instrText xml:space="preserve"> ADDIN ZOTERO_ITEM CSL_CITATION {"citationID":"dWZQ8T4P","properties":{"custom":"(Saavedra del R. {\\i{}et al}., 2019)","formattedCitation":"(Saavedra del R. {\\i{}et al}., 2019)","plainCitation":"(Saavedra del R. et al., 2019)","noteIndex":0},"citationItems":[{"id":867,"uris":["http://zotero.org/users/12642312/items/2WXXFGD7"],"itemData":{"id":867,"type":"article-journal","abstract":"El presente boletín INIA \"Hortalizas para procesamiento agroindustrial\" es una compilación de información que ha producido el equipo hortícola de INIA en conjunto con la agroindustria nacional en los últimos 15 años. La gran mayoría han sido proyectos financiados por CORFO y con participación del área privada. En si, el boletín analiza profundamente los principales cultivos hortícolas de uso agroindustrial, pero además incluye alguna hortaliza novedosa, como el kale, que tiene un gran futuro para la industria. La descripción de cada cultivo es dedicada, con fuentes bibliográficas de excelencia e información local obtenida a través de trabajos de investigación.","language":"es","source":"biblioteca.inia.cl","title":"Hortalizas para procesamiento agroindustrial","URL":"https://hdl.handle.net/20.500.14001/6818","author":[{"family":"Saavedra del R.","given":"Gabriel"},{"family":"Jana A.","given":"Constanza"},{"family":"Kehr M.","given":"Elizabeth (eds )"}],"accessed":{"date-parts":[["2025",3,26]]},"issued":{"date-parts":[["2019"]]}}}],"schema":"https://github.com/citation-style-language/schema/raw/master/csl-citation.json"} </w:instrText>
      </w:r>
      <w:r>
        <w:rPr>
          <w:rFonts w:ascii="Arial" w:eastAsia="ChaparralPro-Regular" w:hAnsi="Arial" w:cs="Arial"/>
          <w:sz w:val="24"/>
          <w:szCs w:val="24"/>
          <w:lang w:val="es-ES"/>
        </w:rPr>
        <w:fldChar w:fldCharType="separate"/>
      </w:r>
      <w:r>
        <w:rPr>
          <w:rFonts w:ascii="Arial" w:hAnsi="Arial" w:cs="Arial"/>
          <w:sz w:val="24"/>
          <w:szCs w:val="24"/>
          <w:lang w:val="es-ES"/>
        </w:rPr>
        <w:t xml:space="preserve">(Saavedra del R. </w:t>
      </w:r>
      <w:r>
        <w:rPr>
          <w:rFonts w:ascii="Arial" w:hAnsi="Arial" w:cs="Arial"/>
          <w:i/>
          <w:iCs/>
          <w:sz w:val="24"/>
          <w:szCs w:val="24"/>
          <w:lang w:val="es-ES"/>
        </w:rPr>
        <w:t>et al</w:t>
      </w:r>
      <w:r>
        <w:rPr>
          <w:rFonts w:ascii="Arial" w:hAnsi="Arial" w:cs="Arial"/>
          <w:sz w:val="24"/>
          <w:szCs w:val="24"/>
          <w:lang w:val="es-ES"/>
        </w:rPr>
        <w:t>., 2019)</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 xml:space="preserve">. </w:t>
      </w:r>
    </w:p>
    <w:p w14:paraId="382578F6" w14:textId="16558E8B" w:rsidR="008403BD" w:rsidRDefault="007D49D9">
      <w:pPr>
        <w:autoSpaceDE w:val="0"/>
        <w:autoSpaceDN w:val="0"/>
        <w:adjustRightInd w:val="0"/>
        <w:spacing w:before="120" w:after="0" w:line="360" w:lineRule="auto"/>
        <w:jc w:val="both"/>
        <w:rPr>
          <w:rFonts w:ascii="Arial" w:eastAsia="Calibri" w:hAnsi="Arial" w:cs="Arial"/>
          <w:sz w:val="24"/>
          <w:szCs w:val="24"/>
          <w:lang w:val="es-ES"/>
        </w:rPr>
      </w:pPr>
      <w:r>
        <w:rPr>
          <w:rFonts w:ascii="Arial" w:eastAsia="Calibri" w:hAnsi="Arial" w:cs="Arial"/>
          <w:b/>
          <w:bCs/>
          <w:sz w:val="24"/>
          <w:szCs w:val="24"/>
          <w:lang w:val="es-ES"/>
        </w:rPr>
        <w:t>Hojas</w:t>
      </w:r>
      <w:r>
        <w:rPr>
          <w:rFonts w:ascii="Arial" w:eastAsia="Calibri" w:hAnsi="Arial" w:cs="Arial"/>
          <w:sz w:val="24"/>
          <w:szCs w:val="24"/>
          <w:lang w:val="es-ES"/>
        </w:rPr>
        <w:t xml:space="preserve">. </w:t>
      </w:r>
      <w:r>
        <w:rPr>
          <w:rFonts w:ascii="Arial" w:eastAsia="Calibri" w:hAnsi="Arial" w:cs="Arial"/>
          <w:color w:val="000000"/>
          <w:sz w:val="24"/>
          <w:szCs w:val="24"/>
          <w:lang w:val="es-ES"/>
        </w:rPr>
        <w:t xml:space="preserve">Las hojas son compuestas imparipinadas, con siete a nueve foliolos, los cuales generalmente son peciolados, lobulados y con borde dentado, y recubiertos de pelos glandulares </w:t>
      </w:r>
      <w:r>
        <w:rPr>
          <w:rFonts w:ascii="Arial" w:eastAsia="Calibri" w:hAnsi="Arial" w:cs="Arial"/>
          <w:color w:val="000000"/>
          <w:sz w:val="24"/>
          <w:szCs w:val="24"/>
          <w:lang w:val="es-ES"/>
        </w:rPr>
        <w:fldChar w:fldCharType="begin"/>
      </w:r>
      <w:r w:rsidR="004A4D42">
        <w:rPr>
          <w:rFonts w:ascii="Arial" w:eastAsia="Calibri" w:hAnsi="Arial" w:cs="Arial"/>
          <w:color w:val="000000"/>
          <w:sz w:val="24"/>
          <w:szCs w:val="24"/>
          <w:lang w:val="es-ES"/>
        </w:rPr>
        <w:instrText xml:space="preserve"> ADDIN ZOTERO_ITEM CSL_CITATION {"citationID":"fK6lhGgL","properties":{"custom":"(Jaramillo {\\i{}et al}., 2012)","formattedCitation":"(Jaramillo {\\i{}et al}., 2012)","plainCitation":"(Jaramillo et al., 2012)","noteIndex":0},"citationItems":[{"id":564,"uris":["http://zotero.org/users/12642312/items/PGIIGC9Z"],"itemData":{"id":564,"type":"article-journal","abstract":"El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Andrea"}],"accessed":{"date-parts":[["2024",10,14]]},"issued":{"date-parts":[["2012"]]}}}],"schema":"https://github.com/citation-style-language/schema/raw/master/csl-citation.json"} </w:instrText>
      </w:r>
      <w:r>
        <w:rPr>
          <w:rFonts w:ascii="Arial" w:eastAsia="Calibri" w:hAnsi="Arial" w:cs="Arial"/>
          <w:color w:val="000000"/>
          <w:sz w:val="24"/>
          <w:szCs w:val="24"/>
          <w:lang w:val="es-ES"/>
        </w:rPr>
        <w:fldChar w:fldCharType="separate"/>
      </w:r>
      <w:r w:rsidR="00D04DE7" w:rsidRPr="00D04DE7">
        <w:rPr>
          <w:rFonts w:ascii="Arial" w:hAnsi="Arial" w:cs="Arial"/>
          <w:sz w:val="24"/>
          <w:szCs w:val="24"/>
          <w:lang w:val="es-ES"/>
        </w:rPr>
        <w:t xml:space="preserve">(Jaramillo </w:t>
      </w:r>
      <w:r w:rsidR="00D04DE7" w:rsidRPr="00D04DE7">
        <w:rPr>
          <w:rFonts w:ascii="Arial" w:hAnsi="Arial" w:cs="Arial"/>
          <w:i/>
          <w:iCs/>
          <w:sz w:val="24"/>
          <w:szCs w:val="24"/>
          <w:lang w:val="es-ES"/>
        </w:rPr>
        <w:t>et al</w:t>
      </w:r>
      <w:r w:rsidR="00D04DE7" w:rsidRPr="00D04DE7">
        <w:rPr>
          <w:rFonts w:ascii="Arial" w:hAnsi="Arial" w:cs="Arial"/>
          <w:sz w:val="24"/>
          <w:szCs w:val="24"/>
          <w:lang w:val="es-ES"/>
        </w:rPr>
        <w:t>., 2012)</w:t>
      </w:r>
      <w:r>
        <w:rPr>
          <w:rFonts w:ascii="Arial" w:eastAsia="Calibri" w:hAnsi="Arial" w:cs="Arial"/>
          <w:color w:val="000000"/>
          <w:sz w:val="24"/>
          <w:szCs w:val="24"/>
          <w:lang w:val="es-ES"/>
        </w:rPr>
        <w:fldChar w:fldCharType="end"/>
      </w:r>
      <w:r>
        <w:rPr>
          <w:rFonts w:ascii="Arial" w:eastAsia="Calibri" w:hAnsi="Arial" w:cs="Arial"/>
          <w:color w:val="000000"/>
          <w:sz w:val="24"/>
          <w:szCs w:val="24"/>
          <w:lang w:val="es-ES"/>
        </w:rPr>
        <w:t xml:space="preserve">. Las hojas se disponen de forma alternativa sobre los nudos. El </w:t>
      </w:r>
      <w:proofErr w:type="spellStart"/>
      <w:r>
        <w:rPr>
          <w:rFonts w:ascii="Arial" w:eastAsia="Calibri" w:hAnsi="Arial" w:cs="Arial"/>
          <w:color w:val="000000"/>
          <w:sz w:val="24"/>
          <w:szCs w:val="24"/>
          <w:lang w:val="es-ES"/>
        </w:rPr>
        <w:t>mesófilo</w:t>
      </w:r>
      <w:proofErr w:type="spellEnd"/>
      <w:r>
        <w:rPr>
          <w:rFonts w:ascii="Arial" w:eastAsia="Calibri" w:hAnsi="Arial" w:cs="Arial"/>
          <w:color w:val="000000"/>
          <w:sz w:val="24"/>
          <w:szCs w:val="24"/>
          <w:lang w:val="es-ES"/>
        </w:rPr>
        <w:t xml:space="preserve"> o tejido </w:t>
      </w:r>
      <w:proofErr w:type="spellStart"/>
      <w:r>
        <w:rPr>
          <w:rFonts w:ascii="Arial" w:eastAsia="Calibri" w:hAnsi="Arial" w:cs="Arial"/>
          <w:color w:val="000000"/>
          <w:sz w:val="24"/>
          <w:szCs w:val="24"/>
          <w:lang w:val="es-ES"/>
        </w:rPr>
        <w:t>parenquimático</w:t>
      </w:r>
      <w:proofErr w:type="spellEnd"/>
      <w:r>
        <w:rPr>
          <w:rFonts w:ascii="Arial" w:eastAsia="Calibri" w:hAnsi="Arial" w:cs="Arial"/>
          <w:color w:val="000000"/>
          <w:sz w:val="24"/>
          <w:szCs w:val="24"/>
          <w:lang w:val="es-ES"/>
        </w:rPr>
        <w:t xml:space="preserve"> está recubierto por una epidermis superior e inferior, ambas sin cloroplastos. La epidermis inferior presenta un alto número de estomas. Dentro del parénquima, la zona superior o zona en empalizada, es rica en cloroplastos. Los haces vasculares son prominentes, sobre todo en el envés, y constan de un nervio principal </w:t>
      </w:r>
      <w:r>
        <w:rPr>
          <w:rFonts w:ascii="Arial" w:eastAsia="Calibri" w:hAnsi="Arial" w:cs="Arial"/>
          <w:color w:val="000000"/>
          <w:sz w:val="24"/>
          <w:szCs w:val="24"/>
          <w:lang w:val="es-ES"/>
        </w:rPr>
        <w:fldChar w:fldCharType="begin"/>
      </w:r>
      <w:r>
        <w:rPr>
          <w:rFonts w:ascii="Arial" w:eastAsia="Calibri" w:hAnsi="Arial" w:cs="Arial"/>
          <w:color w:val="000000"/>
          <w:sz w:val="24"/>
          <w:szCs w:val="24"/>
          <w:lang w:val="es-ES"/>
        </w:rPr>
        <w:instrText xml:space="preserve"> ADDIN ZOTERO_ITEM CSL_CITATION {"citationID":"jDUXjArV","properties":{"custom":"(Saavedra del R. {\\i{}et al}., 2019)","formattedCitation":"(Saavedra del R. {\\i{}et al}., 2019)","plainCitation":"(Saavedra del R. et al., 2019)","noteIndex":0},"citationItems":[{"id":867,"uris":["http://zotero.org/users/12642312/items/2WXXFGD7"],"itemData":{"id":867,"type":"article-journal","abstract":"El presente boletín INIA \"Hortalizas para procesamiento agroindustrial\" es una compilación de información que ha producido el equipo hortícola de INIA en conjunto con la agroindustria nacional en los últimos 15 años. La gran mayoría han sido proyectos financiados por CORFO y con participación del área privada. En si, el boletín analiza profundamente los principales cultivos hortícolas de uso agroindustrial, pero además incluye alguna hortaliza novedosa, como el kale, que tiene un gran futuro para la industria. La descripción de cada cultivo es dedicada, con fuentes bibliográficas de excelencia e información local obtenida a través de trabajos de investigación.","language":"es","source":"biblioteca.inia.cl","title":"Hortalizas para procesamiento agroindustrial","URL":"https://hdl.handle.net/20.500.14001/6818","author":[{"family":"Saavedra del R.","given":"Gabriel"},{"family":"Jana A.","given":"Constanza"},{"family":"Kehr M.","given":"Elizabeth (eds )"}],"accessed":{"date-parts":[["2025",3,26]]},"issued":{"date-parts":[["2019"]]}}}],"schema":"https://github.com/citation-style-language/schema/raw/master/csl-citation.json"} </w:instrText>
      </w:r>
      <w:r>
        <w:rPr>
          <w:rFonts w:ascii="Arial" w:eastAsia="Calibri" w:hAnsi="Arial" w:cs="Arial"/>
          <w:color w:val="000000"/>
          <w:sz w:val="24"/>
          <w:szCs w:val="24"/>
          <w:lang w:val="es-ES"/>
        </w:rPr>
        <w:fldChar w:fldCharType="separate"/>
      </w:r>
      <w:r>
        <w:rPr>
          <w:rFonts w:ascii="Arial" w:hAnsi="Arial" w:cs="Arial"/>
          <w:sz w:val="24"/>
          <w:szCs w:val="24"/>
          <w:lang w:val="es-ES"/>
        </w:rPr>
        <w:t xml:space="preserve">(Saavedra del R. </w:t>
      </w:r>
      <w:r>
        <w:rPr>
          <w:rFonts w:ascii="Arial" w:hAnsi="Arial" w:cs="Arial"/>
          <w:i/>
          <w:iCs/>
          <w:sz w:val="24"/>
          <w:szCs w:val="24"/>
          <w:lang w:val="es-ES"/>
        </w:rPr>
        <w:t>et al</w:t>
      </w:r>
      <w:r>
        <w:rPr>
          <w:rFonts w:ascii="Arial" w:hAnsi="Arial" w:cs="Arial"/>
          <w:sz w:val="24"/>
          <w:szCs w:val="24"/>
          <w:lang w:val="es-ES"/>
        </w:rPr>
        <w:t>., 2019)</w:t>
      </w:r>
      <w:r>
        <w:rPr>
          <w:rFonts w:ascii="Arial" w:eastAsia="Calibri" w:hAnsi="Arial" w:cs="Arial"/>
          <w:color w:val="000000"/>
          <w:sz w:val="24"/>
          <w:szCs w:val="24"/>
          <w:lang w:val="es-ES"/>
        </w:rPr>
        <w:fldChar w:fldCharType="end"/>
      </w:r>
      <w:r>
        <w:rPr>
          <w:rFonts w:ascii="Arial" w:eastAsia="Calibri" w:hAnsi="Arial" w:cs="Arial"/>
          <w:color w:val="000000"/>
          <w:sz w:val="24"/>
          <w:szCs w:val="24"/>
          <w:lang w:val="es-ES"/>
        </w:rPr>
        <w:t xml:space="preserve">. </w:t>
      </w:r>
    </w:p>
    <w:p w14:paraId="109E3F40" w14:textId="02763E32" w:rsidR="008403BD" w:rsidRDefault="007D49D9">
      <w:pPr>
        <w:autoSpaceDE w:val="0"/>
        <w:autoSpaceDN w:val="0"/>
        <w:adjustRightInd w:val="0"/>
        <w:spacing w:before="120" w:after="0" w:line="360" w:lineRule="auto"/>
        <w:jc w:val="both"/>
        <w:rPr>
          <w:rFonts w:ascii="Arial" w:eastAsia="Calibri" w:hAnsi="Arial" w:cs="Arial"/>
          <w:sz w:val="24"/>
          <w:szCs w:val="24"/>
          <w:lang w:val="es-ES"/>
        </w:rPr>
      </w:pPr>
      <w:r>
        <w:rPr>
          <w:rFonts w:ascii="Arial" w:eastAsia="Calibri" w:hAnsi="Arial" w:cs="Arial"/>
          <w:sz w:val="24"/>
          <w:szCs w:val="24"/>
          <w:lang w:val="es-ES"/>
        </w:rPr>
        <w:t xml:space="preserve">Durante el crecimiento de una planta individual, se puede observar el aumento gradual en la complejidad de la hoja. La primera hoja es a menudo simple, entera a lobulada o pinnada con uno o dos folíolos, las hojas sucesivas son cada vez más disertados y pueden tener de 10 a 12 hojas al alcanzar la madurez </w:t>
      </w:r>
      <w:r>
        <w:rPr>
          <w:rFonts w:ascii="Arial" w:eastAsia="Calibri" w:hAnsi="Arial" w:cs="Arial"/>
          <w:sz w:val="24"/>
          <w:szCs w:val="24"/>
          <w:lang w:val="es-ES"/>
        </w:rPr>
        <w:fldChar w:fldCharType="begin"/>
      </w:r>
      <w:r w:rsidR="00A872B2">
        <w:rPr>
          <w:rFonts w:ascii="Arial" w:eastAsia="Calibri" w:hAnsi="Arial" w:cs="Arial"/>
          <w:sz w:val="24"/>
          <w:szCs w:val="24"/>
          <w:lang w:val="es-ES"/>
        </w:rPr>
        <w:instrText xml:space="preserve"> ADDIN ZOTERO_ITEM CSL_CITATION {"citationID":"1PlkGrxA","properties":{"custom":"(Vargas {\\i{}et al}., 2004)","formattedCitation":"(Vargas {\\i{}et al}., 2004)","plainCitation":"(Vargas et al., 2004)","noteIndex":0},"citationItems":[{"id":191,"uris":["http://zotero.org/users/12642312/items/YS5NQ7U3"],"itemData":{"id":191,"type":"article-journal","container-title":"Interciencia","ISSN":"0378-1844","issue":"6","note":"number: 6\npublisher: Asociación Interciencia","page":"296-302","source":"ve.scielo.org","title":"Modelo para la estimación de tres parámetros ruminales biológicos","URL":"http://ve.scielo.org/scielo.php?script=sci_abstract&amp;pid=S0378-18442004000600004&amp;lng=es&amp;nrm=iso&amp;tlng=es","volume":"29","author":[{"family":"Vargas","given":"Luis"},{"family":"Ku","given":"Juan"},{"family":"Vargas","given":"Felipe"},{"family":"Medina","given":"Salvador"}],"accessed":{"date-parts":[["2021",1,19]]},"issued":{"date-parts":[["2004",6]]}}}],"schema":"https://github.com/citation-style-language/schema/raw/master/csl-citation.json"} </w:instrText>
      </w:r>
      <w:r>
        <w:rPr>
          <w:rFonts w:ascii="Arial" w:eastAsia="Calibri" w:hAnsi="Arial" w:cs="Arial"/>
          <w:sz w:val="24"/>
          <w:szCs w:val="24"/>
          <w:lang w:val="es-ES"/>
        </w:rPr>
        <w:fldChar w:fldCharType="separate"/>
      </w:r>
      <w:r w:rsidR="00D04DE7" w:rsidRPr="00D04DE7">
        <w:rPr>
          <w:rFonts w:ascii="Arial" w:hAnsi="Arial" w:cs="Arial"/>
          <w:sz w:val="24"/>
          <w:szCs w:val="24"/>
          <w:lang w:val="es-ES"/>
        </w:rPr>
        <w:t xml:space="preserve">(Vargas </w:t>
      </w:r>
      <w:r w:rsidR="00D04DE7" w:rsidRPr="00D04DE7">
        <w:rPr>
          <w:rFonts w:ascii="Arial" w:hAnsi="Arial" w:cs="Arial"/>
          <w:i/>
          <w:iCs/>
          <w:sz w:val="24"/>
          <w:szCs w:val="24"/>
          <w:lang w:val="es-ES"/>
        </w:rPr>
        <w:t>et al</w:t>
      </w:r>
      <w:r w:rsidR="00D04DE7" w:rsidRPr="00D04DE7">
        <w:rPr>
          <w:rFonts w:ascii="Arial" w:hAnsi="Arial" w:cs="Arial"/>
          <w:sz w:val="24"/>
          <w:szCs w:val="24"/>
          <w:lang w:val="es-ES"/>
        </w:rPr>
        <w:t>., 2004)</w:t>
      </w:r>
      <w:r>
        <w:rPr>
          <w:rFonts w:ascii="Arial" w:eastAsia="Calibri" w:hAnsi="Arial" w:cs="Arial"/>
          <w:sz w:val="24"/>
          <w:szCs w:val="24"/>
          <w:lang w:val="es-ES"/>
        </w:rPr>
        <w:fldChar w:fldCharType="end"/>
      </w:r>
      <w:r>
        <w:rPr>
          <w:rFonts w:ascii="Arial" w:eastAsia="Calibri" w:hAnsi="Arial" w:cs="Arial"/>
          <w:sz w:val="24"/>
          <w:szCs w:val="24"/>
          <w:lang w:val="es-ES"/>
        </w:rPr>
        <w:t xml:space="preserve">. </w:t>
      </w:r>
    </w:p>
    <w:p w14:paraId="21ED3179" w14:textId="77777777" w:rsidR="008403BD" w:rsidRDefault="007D49D9">
      <w:pPr>
        <w:autoSpaceDE w:val="0"/>
        <w:autoSpaceDN w:val="0"/>
        <w:adjustRightInd w:val="0"/>
        <w:spacing w:before="120" w:after="0" w:line="360" w:lineRule="auto"/>
        <w:jc w:val="both"/>
        <w:rPr>
          <w:rFonts w:ascii="Arial" w:eastAsia="ChaparralPro-Regular" w:hAnsi="Arial" w:cs="Arial"/>
          <w:sz w:val="24"/>
          <w:szCs w:val="24"/>
          <w:lang w:val="es-ES"/>
        </w:rPr>
      </w:pPr>
      <w:r>
        <w:rPr>
          <w:rFonts w:ascii="Arial" w:eastAsia="Calibri" w:hAnsi="Arial" w:cs="Arial"/>
          <w:b/>
          <w:bCs/>
          <w:iCs/>
          <w:sz w:val="24"/>
          <w:szCs w:val="24"/>
          <w:lang w:val="es-ES"/>
        </w:rPr>
        <w:lastRenderedPageBreak/>
        <w:t>Flores</w:t>
      </w:r>
      <w:r>
        <w:rPr>
          <w:rFonts w:ascii="Arial" w:eastAsia="Calibri" w:hAnsi="Arial" w:cs="Arial"/>
          <w:b/>
          <w:bCs/>
          <w:i/>
          <w:iCs/>
          <w:sz w:val="24"/>
          <w:szCs w:val="24"/>
          <w:lang w:val="es-ES"/>
        </w:rPr>
        <w:t xml:space="preserve">: </w:t>
      </w:r>
      <w:r>
        <w:rPr>
          <w:rFonts w:ascii="Arial" w:eastAsia="ChaparralPro-Regular" w:hAnsi="Arial" w:cs="Arial"/>
          <w:sz w:val="24"/>
          <w:szCs w:val="24"/>
          <w:lang w:val="es-ES"/>
        </w:rPr>
        <w:t xml:space="preserve">La flor es perfecta, regular e hipógina, los sépalos, pétalos y estambres están insertos en el receptáculo por debajo del gineceo (ovario supero), tiene 5 o más sépalos e igual número de pétalos de color amarillo y dispuestos helicoidalmente a intervalos de 135º. Igual número de estambres soldados que se alternan con los pétalos y forman un cono estaminal que envuelve al gineceo. Las flores se ordenan en inflorescencias de tipo racimo simple, cima unípara, cima </w:t>
      </w:r>
      <w:proofErr w:type="spellStart"/>
      <w:r>
        <w:rPr>
          <w:rFonts w:ascii="Arial" w:eastAsia="ChaparralPro-Regular" w:hAnsi="Arial" w:cs="Arial"/>
          <w:sz w:val="24"/>
          <w:szCs w:val="24"/>
          <w:lang w:val="es-ES"/>
        </w:rPr>
        <w:t>bípara</w:t>
      </w:r>
      <w:proofErr w:type="spellEnd"/>
      <w:r>
        <w:rPr>
          <w:rFonts w:ascii="Arial" w:eastAsia="ChaparralPro-Regular" w:hAnsi="Arial" w:cs="Arial"/>
          <w:sz w:val="24"/>
          <w:szCs w:val="24"/>
          <w:lang w:val="es-ES"/>
        </w:rPr>
        <w:t xml:space="preserve"> y cima multípara, pudiendo llegar a tener hasta 50 flores por inflorescencia. </w:t>
      </w:r>
    </w:p>
    <w:p w14:paraId="238FC3C7" w14:textId="77777777" w:rsidR="008403BD" w:rsidRDefault="007D49D9">
      <w:pPr>
        <w:autoSpaceDE w:val="0"/>
        <w:autoSpaceDN w:val="0"/>
        <w:adjustRightInd w:val="0"/>
        <w:spacing w:before="120" w:after="0" w:line="360" w:lineRule="auto"/>
        <w:jc w:val="both"/>
        <w:rPr>
          <w:rFonts w:ascii="Arial" w:eastAsia="ChaparralPro-Regular" w:hAnsi="Arial" w:cs="Arial"/>
          <w:sz w:val="24"/>
          <w:szCs w:val="24"/>
          <w:lang w:val="es-ES"/>
        </w:rPr>
      </w:pPr>
      <w:r>
        <w:rPr>
          <w:rFonts w:ascii="Arial" w:eastAsia="ChaparralPro-Regular" w:hAnsi="Arial" w:cs="Arial"/>
          <w:sz w:val="24"/>
          <w:szCs w:val="24"/>
          <w:lang w:val="es-ES"/>
        </w:rPr>
        <w:t xml:space="preserve">En el caso de tomate para agroindustria, la mayoría de las variedades usadas son de tipo determinadas con inflorescencia cima unípara, mientras que, para consumo fresco para invernadero, son de tipo indeterminadas con inflorescencia en racimo simple </w:t>
      </w:r>
      <w:r>
        <w:rPr>
          <w:rFonts w:ascii="Arial" w:eastAsia="ChaparralPro-Regular" w:hAnsi="Arial" w:cs="Arial"/>
          <w:sz w:val="24"/>
          <w:szCs w:val="24"/>
          <w:lang w:val="es-ES"/>
        </w:rPr>
        <w:fldChar w:fldCharType="begin"/>
      </w:r>
      <w:r>
        <w:rPr>
          <w:rFonts w:ascii="Arial" w:eastAsia="ChaparralPro-Regular" w:hAnsi="Arial" w:cs="Arial"/>
          <w:sz w:val="24"/>
          <w:szCs w:val="24"/>
          <w:lang w:val="es-ES"/>
        </w:rPr>
        <w:instrText xml:space="preserve"> ADDIN ZOTERO_ITEM CSL_CITATION {"citationID":"WAIfAguV","properties":{"custom":"(Saavedra del R. {\\i{}et al}., 2019)","formattedCitation":"(Saavedra del R. {\\i{}et al}., 2019)","plainCitation":"(Saavedra del R. et al., 2019)","noteIndex":0},"citationItems":[{"id":867,"uris":["http://zotero.org/users/12642312/items/2WXXFGD7"],"itemData":{"id":867,"type":"article-journal","abstract":"El presente boletín INIA \"Hortalizas para procesamiento agroindustrial\" es una compilación de información que ha producido el equipo hortícola de INIA en conjunto con la agroindustria nacional en los últimos 15 años. La gran mayoría han sido proyectos financiados por CORFO y con participación del área privada. En si, el boletín analiza profundamente los principales cultivos hortícolas de uso agroindustrial, pero además incluye alguna hortaliza novedosa, como el kale, que tiene un gran futuro para la industria. La descripción de cada cultivo es dedicada, con fuentes bibliográficas de excelencia e información local obtenida a través de trabajos de investigación.","language":"es","source":"biblioteca.inia.cl","title":"Hortalizas para procesamiento agroindustrial","URL":"https://hdl.handle.net/20.500.14001/6818","author":[{"family":"Saavedra del R.","given":"Gabriel"},{"family":"Jana A.","given":"Constanza"},{"family":"Kehr M.","given":"Elizabeth (eds )"}],"accessed":{"date-parts":[["2025",3,26]]},"issued":{"date-parts":[["2019"]]}}}],"schema":"https://github.com/citation-style-language/schema/raw/master/csl-citation.json"} </w:instrText>
      </w:r>
      <w:r>
        <w:rPr>
          <w:rFonts w:ascii="Arial" w:eastAsia="ChaparralPro-Regular" w:hAnsi="Arial" w:cs="Arial"/>
          <w:sz w:val="24"/>
          <w:szCs w:val="24"/>
          <w:lang w:val="es-ES"/>
        </w:rPr>
        <w:fldChar w:fldCharType="separate"/>
      </w:r>
      <w:r>
        <w:rPr>
          <w:rFonts w:ascii="Arial" w:hAnsi="Arial" w:cs="Arial"/>
          <w:sz w:val="24"/>
          <w:szCs w:val="24"/>
          <w:lang w:val="es-ES"/>
        </w:rPr>
        <w:t xml:space="preserve">(Saavedra del R. </w:t>
      </w:r>
      <w:r>
        <w:rPr>
          <w:rFonts w:ascii="Arial" w:hAnsi="Arial" w:cs="Arial"/>
          <w:i/>
          <w:iCs/>
          <w:sz w:val="24"/>
          <w:szCs w:val="24"/>
          <w:lang w:val="es-ES"/>
        </w:rPr>
        <w:t>et al</w:t>
      </w:r>
      <w:r>
        <w:rPr>
          <w:rFonts w:ascii="Arial" w:hAnsi="Arial" w:cs="Arial"/>
          <w:sz w:val="24"/>
          <w:szCs w:val="24"/>
          <w:lang w:val="es-ES"/>
        </w:rPr>
        <w:t>., 2019)</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w:t>
      </w:r>
    </w:p>
    <w:p w14:paraId="5D567472" w14:textId="7E258FA2" w:rsidR="008403BD" w:rsidRDefault="007D49D9">
      <w:pPr>
        <w:autoSpaceDE w:val="0"/>
        <w:autoSpaceDN w:val="0"/>
        <w:adjustRightInd w:val="0"/>
        <w:spacing w:before="120" w:after="0" w:line="360" w:lineRule="auto"/>
        <w:jc w:val="both"/>
        <w:rPr>
          <w:rFonts w:ascii="Arial" w:eastAsia="ChaparralPro-Regular" w:hAnsi="Arial" w:cs="Arial"/>
          <w:sz w:val="24"/>
          <w:szCs w:val="24"/>
          <w:lang w:val="es-ES"/>
        </w:rPr>
      </w:pPr>
      <w:r>
        <w:rPr>
          <w:rFonts w:ascii="Arial" w:eastAsia="Calibri" w:hAnsi="Arial" w:cs="Arial"/>
          <w:b/>
          <w:bCs/>
          <w:iCs/>
          <w:sz w:val="24"/>
          <w:szCs w:val="24"/>
          <w:lang w:val="es-ES"/>
        </w:rPr>
        <w:t>Frutos</w:t>
      </w:r>
      <w:r>
        <w:rPr>
          <w:rFonts w:ascii="Arial" w:eastAsia="Calibri" w:hAnsi="Arial" w:cs="Arial"/>
          <w:b/>
          <w:bCs/>
          <w:i/>
          <w:iCs/>
          <w:sz w:val="24"/>
          <w:szCs w:val="24"/>
          <w:lang w:val="es-ES"/>
        </w:rPr>
        <w:t xml:space="preserve">: </w:t>
      </w:r>
      <w:r>
        <w:rPr>
          <w:rFonts w:ascii="Arial" w:eastAsia="ChaparralPro-Regular" w:hAnsi="Arial" w:cs="Arial"/>
          <w:sz w:val="24"/>
          <w:szCs w:val="24"/>
          <w:lang w:val="es-ES"/>
        </w:rPr>
        <w:t xml:space="preserve">El fruto del tomate es una </w:t>
      </w:r>
      <w:r>
        <w:rPr>
          <w:rFonts w:ascii="Arial" w:eastAsia="Calibri" w:hAnsi="Arial" w:cs="Arial"/>
          <w:bCs/>
          <w:sz w:val="24"/>
          <w:szCs w:val="24"/>
          <w:lang w:val="es-ES"/>
        </w:rPr>
        <w:t>baya</w:t>
      </w:r>
      <w:r>
        <w:rPr>
          <w:rFonts w:ascii="Arial" w:eastAsia="Calibri" w:hAnsi="Arial" w:cs="Arial"/>
          <w:b/>
          <w:bCs/>
          <w:sz w:val="24"/>
          <w:szCs w:val="24"/>
          <w:lang w:val="es-ES"/>
        </w:rPr>
        <w:t xml:space="preserve"> </w:t>
      </w:r>
      <w:r>
        <w:rPr>
          <w:rFonts w:ascii="Arial" w:eastAsia="Calibri" w:hAnsi="Arial" w:cs="Arial"/>
          <w:sz w:val="24"/>
          <w:szCs w:val="24"/>
          <w:lang w:val="es-ES"/>
        </w:rPr>
        <w:t>que puede alcanzar un peso que oscila entre unos pocos miligramos y 600 gramos</w:t>
      </w:r>
      <w:r>
        <w:rPr>
          <w:rFonts w:ascii="Arial" w:eastAsia="ChaparralPro-Regular" w:hAnsi="Arial" w:cs="Arial"/>
          <w:sz w:val="24"/>
          <w:szCs w:val="24"/>
          <w:lang w:val="es-ES"/>
        </w:rPr>
        <w:t xml:space="preserve">. Presenta diferentes formas, colores, consistencia y composición, según el tipo de tomate </w:t>
      </w:r>
      <w:r>
        <w:rPr>
          <w:rFonts w:ascii="Arial" w:eastAsia="ChaparralPro-Regular" w:hAnsi="Arial" w:cs="Arial"/>
          <w:sz w:val="24"/>
          <w:szCs w:val="24"/>
          <w:lang w:val="es-ES"/>
        </w:rPr>
        <w:fldChar w:fldCharType="begin"/>
      </w:r>
      <w:r w:rsidR="00A872B2">
        <w:rPr>
          <w:rFonts w:ascii="Arial" w:eastAsia="ChaparralPro-Regular" w:hAnsi="Arial" w:cs="Arial"/>
          <w:sz w:val="24"/>
          <w:szCs w:val="24"/>
          <w:lang w:val="es-ES"/>
        </w:rPr>
        <w:instrText xml:space="preserve"> ADDIN ZOTERO_ITEM CSL_CITATION {"citationID":"ZqHG7hhO","properties":{"custom":"(Vargas {\\i{}et al}., 2004; Florido {\\i{}et al}., 2008; Jaramillo {\\i{}et al}., 2012)","unsorted":true,"formattedCitation":"(Vargas {\\i{}et al}., 2004; Florido {\\i{}et al}., 2008; Jaramillo {\\i{}et al}., 2012)","plainCitation":"(Vargas et al., 2004; Florido et al., 2008; Jaramillo et al., 2012)","noteIndex":0},"citationItems":[{"id":191,"uris":["http://zotero.org/users/12642312/items/YS5NQ7U3"],"itemData":{"id":191,"type":"article-journal","container-title":"Interciencia","ISSN":"0378-1844","issue":"6","note":"number: 6\npublisher: Asociación Interciencia","page":"296-302","source":"ve.scielo.org","title":"Modelo para la estimación de tres parámetros ruminales biológicos","URL":"http://ve.scielo.org/scielo.php?script=sci_abstract&amp;pid=S0378-18442004000600004&amp;lng=es&amp;nrm=iso&amp;tlng=es","volume":"29","author":[{"family":"Vargas","given":"Luis"},{"family":"Ku","given":"Juan"},{"family":"Vargas","given":"Felipe"},{"family":"Medina","given":"Salvador"}],"accessed":{"date-parts":[["2021",1,19]]},"issued":{"date-parts":[["2004",6]]}},"label":"page"},{"id":304,"uris":["http://zotero.org/users/12642312/items/Q29SHVU5"],"itemData":{"id":304,"type":"article-journal","container-title":"Cultivos Tropicales","ISSN":"0258-5936","issue":"2","note":"publisher: Ediciones INCA","page":"43-48","source":"SciELO","title":"Análisis de la variabilidad morfoagronómica en la colección de tomate (Solanum L. sección Lycopersicon subsección Lycopersicon) conservada Ex Situ en Cuba","URL":"http://scielo.sld.cu/scielo.php?script=sci_abstract&amp;pid=S0258-59362008000200007&amp;lng=es&amp;nrm=iso&amp;tlng=es","volume":"29","author":[{"family":"Florido","given":"Marilyn"},{"family":"Plana","given":"Dagmara"},{"family":"Álvarez","given":"Marta"},{"family":"Moya","given":"C."},{"family":"Lara","given":"Regla M."},{"family":"Caballero","given":"A."},{"family":"Florido","given":"R."},{"family":"Shagarodsky","given":""}],"accessed":{"date-parts":[["2023",12,18]]},"issued":{"date-parts":[["2008",6]]}},"label":"page"},{"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Andrea"}],"accessed":{"date-parts":[["2024",10,14]]},"issued":{"date-parts":[["2012"]]}},"label":"page"}],"schema":"https://github.com/citation-style-language/schema/raw/master/csl-citation.json"} </w:instrText>
      </w:r>
      <w:r>
        <w:rPr>
          <w:rFonts w:ascii="Arial" w:eastAsia="ChaparralPro-Regular" w:hAnsi="Arial" w:cs="Arial"/>
          <w:sz w:val="24"/>
          <w:szCs w:val="24"/>
          <w:lang w:val="es-ES"/>
        </w:rPr>
        <w:fldChar w:fldCharType="separate"/>
      </w:r>
      <w:r w:rsidR="00A872B2" w:rsidRPr="00716AA5">
        <w:rPr>
          <w:rFonts w:ascii="Arial" w:hAnsi="Arial" w:cs="Arial"/>
          <w:sz w:val="24"/>
          <w:szCs w:val="24"/>
          <w:lang w:val="es-ES"/>
        </w:rPr>
        <w:t xml:space="preserve">(Vargas </w:t>
      </w:r>
      <w:r w:rsidR="00A872B2" w:rsidRPr="00716AA5">
        <w:rPr>
          <w:rFonts w:ascii="Arial" w:hAnsi="Arial" w:cs="Arial"/>
          <w:i/>
          <w:iCs/>
          <w:sz w:val="24"/>
          <w:szCs w:val="24"/>
          <w:lang w:val="es-ES"/>
        </w:rPr>
        <w:t>et al</w:t>
      </w:r>
      <w:r w:rsidR="00A872B2" w:rsidRPr="00716AA5">
        <w:rPr>
          <w:rFonts w:ascii="Arial" w:hAnsi="Arial" w:cs="Arial"/>
          <w:sz w:val="24"/>
          <w:szCs w:val="24"/>
          <w:lang w:val="es-ES"/>
        </w:rPr>
        <w:t xml:space="preserve">., 2004; Florido </w:t>
      </w:r>
      <w:r w:rsidR="00A872B2" w:rsidRPr="00716AA5">
        <w:rPr>
          <w:rFonts w:ascii="Arial" w:hAnsi="Arial" w:cs="Arial"/>
          <w:i/>
          <w:iCs/>
          <w:sz w:val="24"/>
          <w:szCs w:val="24"/>
          <w:lang w:val="es-ES"/>
        </w:rPr>
        <w:t>et al</w:t>
      </w:r>
      <w:r w:rsidR="00A872B2" w:rsidRPr="00716AA5">
        <w:rPr>
          <w:rFonts w:ascii="Arial" w:hAnsi="Arial" w:cs="Arial"/>
          <w:sz w:val="24"/>
          <w:szCs w:val="24"/>
          <w:lang w:val="es-ES"/>
        </w:rPr>
        <w:t xml:space="preserve">., 2008; Jaramillo </w:t>
      </w:r>
      <w:r w:rsidR="00A872B2" w:rsidRPr="00716AA5">
        <w:rPr>
          <w:rFonts w:ascii="Arial" w:hAnsi="Arial" w:cs="Arial"/>
          <w:i/>
          <w:iCs/>
          <w:sz w:val="24"/>
          <w:szCs w:val="24"/>
          <w:lang w:val="es-ES"/>
        </w:rPr>
        <w:t>et al</w:t>
      </w:r>
      <w:r w:rsidR="00A872B2" w:rsidRPr="00716AA5">
        <w:rPr>
          <w:rFonts w:ascii="Arial" w:hAnsi="Arial" w:cs="Arial"/>
          <w:sz w:val="24"/>
          <w:szCs w:val="24"/>
          <w:lang w:val="es-ES"/>
        </w:rPr>
        <w:t>., 2012)</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 xml:space="preserve">. Internamente los frutos se dividen en lóculos, que pueden ser </w:t>
      </w:r>
      <w:proofErr w:type="spellStart"/>
      <w:r>
        <w:rPr>
          <w:rFonts w:ascii="Arial" w:eastAsia="ChaparralPro-Regular" w:hAnsi="Arial" w:cs="Arial"/>
          <w:sz w:val="24"/>
          <w:szCs w:val="24"/>
          <w:lang w:val="es-ES"/>
        </w:rPr>
        <w:t>bi</w:t>
      </w:r>
      <w:proofErr w:type="spellEnd"/>
      <w:r>
        <w:rPr>
          <w:rFonts w:ascii="Arial" w:eastAsia="ChaparralPro-Regular" w:hAnsi="Arial" w:cs="Arial"/>
          <w:sz w:val="24"/>
          <w:szCs w:val="24"/>
          <w:lang w:val="es-ES"/>
        </w:rPr>
        <w:t xml:space="preserve">, </w:t>
      </w:r>
      <w:proofErr w:type="spellStart"/>
      <w:r>
        <w:rPr>
          <w:rFonts w:ascii="Arial" w:eastAsia="ChaparralPro-Regular" w:hAnsi="Arial" w:cs="Arial"/>
          <w:sz w:val="24"/>
          <w:szCs w:val="24"/>
          <w:lang w:val="es-ES"/>
        </w:rPr>
        <w:t>tri</w:t>
      </w:r>
      <w:proofErr w:type="spellEnd"/>
      <w:r>
        <w:rPr>
          <w:rFonts w:ascii="Arial" w:eastAsia="ChaparralPro-Regular" w:hAnsi="Arial" w:cs="Arial"/>
          <w:sz w:val="24"/>
          <w:szCs w:val="24"/>
          <w:lang w:val="es-ES"/>
        </w:rPr>
        <w:t xml:space="preserve">, tetra o pluriloculares, </w:t>
      </w:r>
      <w:r>
        <w:rPr>
          <w:rFonts w:ascii="Arial" w:eastAsia="Calibri" w:hAnsi="Arial" w:cs="Arial"/>
          <w:sz w:val="24"/>
          <w:szCs w:val="24"/>
          <w:lang w:val="es-ES"/>
        </w:rPr>
        <w:t>siendo lo más frecuente, de 5 a 9 lóculos</w:t>
      </w:r>
      <w:r>
        <w:rPr>
          <w:rFonts w:ascii="Arial" w:eastAsia="ChaparralPro-Regular" w:hAnsi="Arial" w:cs="Arial"/>
          <w:sz w:val="24"/>
          <w:szCs w:val="24"/>
          <w:lang w:val="es-ES"/>
        </w:rPr>
        <w:t xml:space="preserve">. En los lóculos se forman las semillas </w:t>
      </w:r>
      <w:r>
        <w:rPr>
          <w:rFonts w:ascii="Arial" w:eastAsia="ChaparralPro-Regular" w:hAnsi="Arial" w:cs="Arial"/>
          <w:sz w:val="24"/>
          <w:szCs w:val="24"/>
          <w:lang w:val="es-ES"/>
        </w:rPr>
        <w:fldChar w:fldCharType="begin"/>
      </w:r>
      <w:r w:rsidR="00A872B2">
        <w:rPr>
          <w:rFonts w:ascii="Arial" w:eastAsia="ChaparralPro-Regular" w:hAnsi="Arial" w:cs="Arial"/>
          <w:sz w:val="24"/>
          <w:szCs w:val="24"/>
          <w:lang w:val="es-ES"/>
        </w:rPr>
        <w:instrText xml:space="preserve"> ADDIN ZOTERO_ITEM CSL_CITATION {"citationID":"gxuoptd3","properties":{"custom":"(Vargas {\\i{}et al}., 2004; Jaramillo {\\i{}et al}., 2012)","unsorted":true,"formattedCitation":"(Vargas {\\i{}et al}., 2004; Jaramillo {\\i{}et al}., 2012)","plainCitation":"(Vargas et al., 2004; Jaramillo et al., 2012)","noteIndex":0},"citationItems":[{"id":191,"uris":["http://zotero.org/users/12642312/items/YS5NQ7U3"],"itemData":{"id":191,"type":"article-journal","container-title":"Interciencia","ISSN":"0378-1844","issue":"6","note":"number: 6\npublisher: Asociación Interciencia","page":"296-302","source":"ve.scielo.org","title":"Modelo para la estimación de tres parámetros ruminales biológicos","URL":"http://ve.scielo.org/scielo.php?script=sci_abstract&amp;pid=S0378-18442004000600004&amp;lng=es&amp;nrm=iso&amp;tlng=es","volume":"29","author":[{"family":"Vargas","given":"Luis"},{"family":"Ku","given":"Juan"},{"family":"Vargas","given":"Felipe"},{"family":"Medina","given":"Salvador"}],"accessed":{"date-parts":[["2021",1,19]]},"issued":{"date-parts":[["2004",6]]}},"label":"page"},{"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Andrea"}],"accessed":{"date-parts":[["2024",10,14]]},"issued":{"date-parts":[["2012"]]}},"label":"page"}],"schema":"https://github.com/citation-style-language/schema/raw/master/csl-citation.json"} </w:instrText>
      </w:r>
      <w:r>
        <w:rPr>
          <w:rFonts w:ascii="Arial" w:eastAsia="ChaparralPro-Regular" w:hAnsi="Arial" w:cs="Arial"/>
          <w:sz w:val="24"/>
          <w:szCs w:val="24"/>
          <w:lang w:val="es-ES"/>
        </w:rPr>
        <w:fldChar w:fldCharType="separate"/>
      </w:r>
      <w:r w:rsidR="00A872B2" w:rsidRPr="003B3459">
        <w:rPr>
          <w:rFonts w:ascii="Arial" w:hAnsi="Arial" w:cs="Arial"/>
          <w:sz w:val="24"/>
          <w:szCs w:val="24"/>
          <w:lang w:val="es-ES"/>
        </w:rPr>
        <w:t xml:space="preserve">(Vargas </w:t>
      </w:r>
      <w:r w:rsidR="00A872B2" w:rsidRPr="003B3459">
        <w:rPr>
          <w:rFonts w:ascii="Arial" w:hAnsi="Arial" w:cs="Arial"/>
          <w:i/>
          <w:iCs/>
          <w:sz w:val="24"/>
          <w:szCs w:val="24"/>
          <w:lang w:val="es-ES"/>
        </w:rPr>
        <w:t>et al</w:t>
      </w:r>
      <w:r w:rsidR="00A872B2" w:rsidRPr="003B3459">
        <w:rPr>
          <w:rFonts w:ascii="Arial" w:hAnsi="Arial" w:cs="Arial"/>
          <w:sz w:val="24"/>
          <w:szCs w:val="24"/>
          <w:lang w:val="es-ES"/>
        </w:rPr>
        <w:t xml:space="preserve">., 2004; Jaramillo </w:t>
      </w:r>
      <w:r w:rsidR="00A872B2" w:rsidRPr="003B3459">
        <w:rPr>
          <w:rFonts w:ascii="Arial" w:hAnsi="Arial" w:cs="Arial"/>
          <w:i/>
          <w:iCs/>
          <w:sz w:val="24"/>
          <w:szCs w:val="24"/>
          <w:lang w:val="es-ES"/>
        </w:rPr>
        <w:t>et al</w:t>
      </w:r>
      <w:r w:rsidR="00A872B2" w:rsidRPr="003B3459">
        <w:rPr>
          <w:rFonts w:ascii="Arial" w:hAnsi="Arial" w:cs="Arial"/>
          <w:sz w:val="24"/>
          <w:szCs w:val="24"/>
          <w:lang w:val="es-ES"/>
        </w:rPr>
        <w:t>., 2012)</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 xml:space="preserve">. El fruto del tomate está unido al pedúnculo a través de una articulación en la que se encuentra un punto de abscisión; algunos cultivares no tienen este punto de abscisión, por lo que son definidas como cultivares tipo </w:t>
      </w:r>
      <w:r>
        <w:rPr>
          <w:rFonts w:ascii="Arial" w:eastAsia="ChaparralPro-Regular" w:hAnsi="Arial" w:cs="Arial"/>
          <w:i/>
          <w:iCs/>
          <w:sz w:val="24"/>
          <w:szCs w:val="24"/>
          <w:lang w:val="es-ES"/>
        </w:rPr>
        <w:t>‘</w:t>
      </w:r>
      <w:proofErr w:type="spellStart"/>
      <w:r>
        <w:rPr>
          <w:rFonts w:ascii="Arial" w:eastAsia="ChaparralPro-Regular" w:hAnsi="Arial" w:cs="Arial"/>
          <w:i/>
          <w:iCs/>
          <w:sz w:val="24"/>
          <w:szCs w:val="24"/>
          <w:lang w:val="es-ES"/>
        </w:rPr>
        <w:t>jointless</w:t>
      </w:r>
      <w:proofErr w:type="spellEnd"/>
      <w:r>
        <w:rPr>
          <w:rFonts w:ascii="Arial" w:eastAsia="ChaparralPro-Regular" w:hAnsi="Arial" w:cs="Arial"/>
          <w:i/>
          <w:iCs/>
          <w:sz w:val="24"/>
          <w:szCs w:val="24"/>
          <w:lang w:val="es-ES"/>
        </w:rPr>
        <w:t>’</w:t>
      </w:r>
      <w:r>
        <w:rPr>
          <w:rFonts w:ascii="Arial" w:eastAsia="ChaparralPro-Regular" w:hAnsi="Arial" w:cs="Arial"/>
          <w:sz w:val="24"/>
          <w:szCs w:val="24"/>
          <w:lang w:val="es-ES"/>
        </w:rPr>
        <w:t xml:space="preserve">. Estos se utilizan principalmente para procesamiento, ya que se requiere que el fruto se separe fácilmente del cáliz </w:t>
      </w:r>
      <w:r>
        <w:rPr>
          <w:rFonts w:ascii="Arial" w:eastAsia="ChaparralPro-Regular" w:hAnsi="Arial" w:cs="Arial"/>
          <w:sz w:val="24"/>
          <w:szCs w:val="24"/>
          <w:lang w:val="es-ES"/>
        </w:rPr>
        <w:fldChar w:fldCharType="begin"/>
      </w:r>
      <w:r w:rsidR="004A4D42">
        <w:rPr>
          <w:rFonts w:ascii="Arial" w:eastAsia="ChaparralPro-Regular" w:hAnsi="Arial" w:cs="Arial"/>
          <w:sz w:val="24"/>
          <w:szCs w:val="24"/>
          <w:lang w:val="es-ES"/>
        </w:rPr>
        <w:instrText xml:space="preserve"> ADDIN ZOTERO_ITEM CSL_CITATION {"citationID":"5VEiNeNl","properties":{"custom":"(Jaramillo {\\i{}et al}., 2012)","formattedCitation":"(Jaramillo {\\i{}et al}., 2012)","plainCitation":"(Jaramillo et al., 2012)","noteIndex":0},"citationItems":[{"id":564,"uris":["http://zotero.org/users/12642312/items/PGIIGC9Z"],"itemData":{"id":564,"type":"article-journal","abstract":"El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Andrea"}],"accessed":{"date-parts":[["2024",10,14]]},"issued":{"date-parts":[["2012"]]}}}],"schema":"https://github.com/citation-style-language/schema/raw/master/csl-citation.json"} </w:instrText>
      </w:r>
      <w:r>
        <w:rPr>
          <w:rFonts w:ascii="Arial" w:eastAsia="ChaparralPro-Regular" w:hAnsi="Arial" w:cs="Arial"/>
          <w:sz w:val="24"/>
          <w:szCs w:val="24"/>
          <w:lang w:val="es-ES"/>
        </w:rPr>
        <w:fldChar w:fldCharType="separate"/>
      </w:r>
      <w:r w:rsidR="00D04DE7" w:rsidRPr="00D04DE7">
        <w:rPr>
          <w:rFonts w:ascii="Arial" w:hAnsi="Arial" w:cs="Arial"/>
          <w:sz w:val="24"/>
          <w:szCs w:val="24"/>
          <w:lang w:val="es-ES"/>
        </w:rPr>
        <w:t xml:space="preserve">(Jaramillo </w:t>
      </w:r>
      <w:r w:rsidR="00D04DE7" w:rsidRPr="00D04DE7">
        <w:rPr>
          <w:rFonts w:ascii="Arial" w:hAnsi="Arial" w:cs="Arial"/>
          <w:i/>
          <w:iCs/>
          <w:sz w:val="24"/>
          <w:szCs w:val="24"/>
          <w:lang w:val="es-ES"/>
        </w:rPr>
        <w:t>et al</w:t>
      </w:r>
      <w:r w:rsidR="00D04DE7" w:rsidRPr="00D04DE7">
        <w:rPr>
          <w:rFonts w:ascii="Arial" w:hAnsi="Arial" w:cs="Arial"/>
          <w:sz w:val="24"/>
          <w:szCs w:val="24"/>
          <w:lang w:val="es-ES"/>
        </w:rPr>
        <w:t>., 2012)</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 xml:space="preserve">. El tomate es un fruto climatérico; cuando se inicia el proceso de maduración, la respiración se incrementa, así como la producción de etileno, lo que conlleva al ablandamiento de la pared celular y a un incremento de azúcares </w:t>
      </w:r>
      <w:r>
        <w:rPr>
          <w:rFonts w:ascii="Arial" w:eastAsia="ChaparralPro-Regular" w:hAnsi="Arial" w:cs="Arial"/>
          <w:sz w:val="24"/>
          <w:szCs w:val="24"/>
          <w:lang w:val="es-ES"/>
        </w:rPr>
        <w:fldChar w:fldCharType="begin"/>
      </w:r>
      <w:r w:rsidR="004A4D42">
        <w:rPr>
          <w:rFonts w:ascii="Arial" w:eastAsia="ChaparralPro-Regular" w:hAnsi="Arial" w:cs="Arial"/>
          <w:sz w:val="24"/>
          <w:szCs w:val="24"/>
          <w:lang w:val="es-ES"/>
        </w:rPr>
        <w:instrText xml:space="preserve"> ADDIN ZOTERO_ITEM CSL_CITATION {"citationID":"tL58Qxoz","properties":{"custom":"(Jaramillo {\\i{}et al}., 2012)","formattedCitation":"(Jaramillo {\\i{}et al}., 2012)","plainCitation":"(Jaramillo et al., 2012)","noteIndex":0},"citationItems":[{"id":564,"uris":["http://zotero.org/users/12642312/items/PGIIGC9Z"],"itemData":{"id":564,"type":"article-journal","abstract":"El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Andrea"}],"accessed":{"date-parts":[["2024",10,14]]},"issued":{"date-parts":[["2012"]]}}}],"schema":"https://github.com/citation-style-language/schema/raw/master/csl-citation.json"} </w:instrText>
      </w:r>
      <w:r>
        <w:rPr>
          <w:rFonts w:ascii="Arial" w:eastAsia="ChaparralPro-Regular" w:hAnsi="Arial" w:cs="Arial"/>
          <w:sz w:val="24"/>
          <w:szCs w:val="24"/>
          <w:lang w:val="es-ES"/>
        </w:rPr>
        <w:fldChar w:fldCharType="separate"/>
      </w:r>
      <w:r w:rsidR="00D04DE7" w:rsidRPr="00D04DE7">
        <w:rPr>
          <w:rFonts w:ascii="Arial" w:hAnsi="Arial" w:cs="Arial"/>
          <w:sz w:val="24"/>
          <w:szCs w:val="24"/>
          <w:lang w:val="es-ES"/>
        </w:rPr>
        <w:t xml:space="preserve">(Jaramillo </w:t>
      </w:r>
      <w:r w:rsidR="00D04DE7" w:rsidRPr="00D04DE7">
        <w:rPr>
          <w:rFonts w:ascii="Arial" w:hAnsi="Arial" w:cs="Arial"/>
          <w:i/>
          <w:iCs/>
          <w:sz w:val="24"/>
          <w:szCs w:val="24"/>
          <w:lang w:val="es-ES"/>
        </w:rPr>
        <w:t>et al</w:t>
      </w:r>
      <w:r w:rsidR="00D04DE7" w:rsidRPr="00D04DE7">
        <w:rPr>
          <w:rFonts w:ascii="Arial" w:hAnsi="Arial" w:cs="Arial"/>
          <w:sz w:val="24"/>
          <w:szCs w:val="24"/>
          <w:lang w:val="es-ES"/>
        </w:rPr>
        <w:t>., 2012)</w:t>
      </w:r>
      <w:r>
        <w:rPr>
          <w:rFonts w:ascii="Arial" w:eastAsia="ChaparralPro-Regular" w:hAnsi="Arial" w:cs="Arial"/>
          <w:sz w:val="24"/>
          <w:szCs w:val="24"/>
          <w:lang w:val="es-ES"/>
        </w:rPr>
        <w:fldChar w:fldCharType="end"/>
      </w:r>
      <w:r>
        <w:rPr>
          <w:rFonts w:ascii="Arial" w:eastAsia="ChaparralPro-Regular" w:hAnsi="Arial" w:cs="Arial"/>
          <w:sz w:val="24"/>
          <w:szCs w:val="24"/>
          <w:lang w:val="es-ES"/>
        </w:rPr>
        <w:t>.</w:t>
      </w:r>
    </w:p>
    <w:p w14:paraId="58BE1A5F" w14:textId="77777777" w:rsidR="008403BD" w:rsidRDefault="007D49D9">
      <w:pPr>
        <w:spacing w:before="120" w:after="0" w:line="360" w:lineRule="auto"/>
        <w:jc w:val="both"/>
        <w:rPr>
          <w:rFonts w:ascii="Arial" w:hAnsi="Arial" w:cs="Arial"/>
          <w:sz w:val="24"/>
          <w:szCs w:val="24"/>
          <w:lang w:val="es-ES" w:eastAsia="es-ES"/>
        </w:rPr>
      </w:pPr>
      <w:r>
        <w:rPr>
          <w:rFonts w:ascii="Arial" w:hAnsi="Arial" w:cs="Arial"/>
          <w:b/>
          <w:sz w:val="24"/>
          <w:szCs w:val="24"/>
          <w:lang w:val="es-ES" w:eastAsia="es-ES"/>
        </w:rPr>
        <w:t>Semilla</w:t>
      </w:r>
      <w:r>
        <w:rPr>
          <w:rFonts w:ascii="Arial" w:hAnsi="Arial" w:cs="Arial"/>
          <w:sz w:val="24"/>
          <w:szCs w:val="24"/>
          <w:lang w:val="es-ES" w:eastAsia="es-ES"/>
        </w:rPr>
        <w:t xml:space="preserve">: La semilla es de forma oval aplastada de color grisáceo, cubierta de vellosidades, de unos 3 a 5 mm de tamaño. Manteniendo las semillas en un lugar apropiado para su almacenamiento duran 4 o más años viables </w:t>
      </w:r>
      <w:r>
        <w:rPr>
          <w:rFonts w:ascii="Arial" w:hAnsi="Arial" w:cs="Arial"/>
          <w:sz w:val="24"/>
          <w:szCs w:val="24"/>
          <w:lang w:val="es-ES" w:eastAsia="es-ES"/>
        </w:rPr>
        <w:fldChar w:fldCharType="begin"/>
      </w:r>
      <w:r>
        <w:rPr>
          <w:rFonts w:ascii="Arial" w:hAnsi="Arial" w:cs="Arial"/>
          <w:sz w:val="24"/>
          <w:szCs w:val="24"/>
          <w:lang w:val="es-ES" w:eastAsia="es-ES"/>
        </w:rPr>
        <w:instrText xml:space="preserve"> ADDIN ZOTERO_ITEM CSL_CITATION {"citationID":"6HFbvwny","properties":{"custom":"(Saavedra del R. {\\i{}et al}., 2019)","formattedCitation":"(Saavedra del R. {\\i{}et al}., 2019)","plainCitation":"(Saavedra del R. et al., 2019)","noteIndex":0},"citationItems":[{"id":867,"uris":["http://zotero.org/users/12642312/items/2WXXFGD7"],"itemData":{"id":867,"type":"article-journal","abstract":"El presente boletín INIA \"Hortalizas para procesamiento agroindustrial\" es una compilación de información que ha producido el equipo hortícola de INIA en conjunto con la agroindustria nacional en los últimos 15 años. La gran mayoría han sido proyectos financiados por CORFO y con participación del área privada. En si, el boletín analiza profundamente los principales cultivos hortícolas de uso agroindustrial, pero además incluye alguna hortaliza novedosa, como el kale, que tiene un gran futuro para la industria. La descripción de cada cultivo es dedicada, con fuentes bibliográficas de excelencia e información local obtenida a través de trabajos de investigación.","language":"es","source":"biblioteca.inia.cl","title":"Hortalizas para procesamiento agroindustrial","URL":"https://hdl.handle.net/20.500.14001/6818","author":[{"family":"Saavedra del R.","given":"Gabriel"},{"family":"Jana A.","given":"Constanza"},{"family":"Kehr M.","given":"Elizabeth (eds )"}],"accessed":{"date-parts":[["2025",3,26]]},"issued":{"date-parts":[["2019"]]}}}],"schema":"https://github.com/citation-style-language/schema/raw/master/csl-citation.json"} </w:instrText>
      </w:r>
      <w:r>
        <w:rPr>
          <w:rFonts w:ascii="Arial" w:hAnsi="Arial" w:cs="Arial"/>
          <w:sz w:val="24"/>
          <w:szCs w:val="24"/>
          <w:lang w:val="es-ES" w:eastAsia="es-ES"/>
        </w:rPr>
        <w:fldChar w:fldCharType="separate"/>
      </w:r>
      <w:r>
        <w:rPr>
          <w:rFonts w:ascii="Arial" w:hAnsi="Arial" w:cs="Arial"/>
          <w:sz w:val="24"/>
          <w:szCs w:val="24"/>
          <w:lang w:val="es-ES"/>
        </w:rPr>
        <w:t xml:space="preserve">(Saavedra del R. </w:t>
      </w:r>
      <w:r>
        <w:rPr>
          <w:rFonts w:ascii="Arial" w:hAnsi="Arial" w:cs="Arial"/>
          <w:i/>
          <w:iCs/>
          <w:sz w:val="24"/>
          <w:szCs w:val="24"/>
          <w:lang w:val="es-ES"/>
        </w:rPr>
        <w:t>et al</w:t>
      </w:r>
      <w:r>
        <w:rPr>
          <w:rFonts w:ascii="Arial" w:hAnsi="Arial" w:cs="Arial"/>
          <w:sz w:val="24"/>
          <w:szCs w:val="24"/>
          <w:lang w:val="es-ES"/>
        </w:rPr>
        <w:t>., 2019)</w:t>
      </w:r>
      <w:r>
        <w:rPr>
          <w:rFonts w:ascii="Arial" w:hAnsi="Arial" w:cs="Arial"/>
          <w:sz w:val="24"/>
          <w:szCs w:val="24"/>
          <w:lang w:val="es-ES" w:eastAsia="es-ES"/>
        </w:rPr>
        <w:fldChar w:fldCharType="end"/>
      </w:r>
      <w:r>
        <w:rPr>
          <w:rFonts w:ascii="Arial" w:hAnsi="Arial" w:cs="Arial"/>
          <w:sz w:val="24"/>
          <w:szCs w:val="24"/>
          <w:lang w:val="es-ES" w:eastAsia="es-ES"/>
        </w:rPr>
        <w:t xml:space="preserve">. </w:t>
      </w:r>
    </w:p>
    <w:p w14:paraId="10068A01" w14:textId="77777777" w:rsidR="008403BD" w:rsidRDefault="007D49D9">
      <w:pPr>
        <w:pStyle w:val="Ttulo3"/>
        <w:rPr>
          <w:rFonts w:ascii="Arial" w:eastAsia="Calibri" w:hAnsi="Arial" w:cs="Arial"/>
          <w:b/>
          <w:color w:val="000000"/>
          <w:lang w:val="es-ES" w:eastAsia="es-ES"/>
        </w:rPr>
      </w:pPr>
      <w:bookmarkStart w:id="10" w:name="_Toc120452724"/>
      <w:bookmarkStart w:id="11" w:name="_Toc195014949"/>
      <w:r>
        <w:rPr>
          <w:rFonts w:ascii="Arial" w:eastAsia="Calibri" w:hAnsi="Arial" w:cs="Arial"/>
          <w:b/>
          <w:color w:val="000000"/>
          <w:lang w:val="es-ES" w:eastAsia="es-ES"/>
        </w:rPr>
        <w:lastRenderedPageBreak/>
        <w:t xml:space="preserve">1.1.3 </w:t>
      </w:r>
      <w:r w:rsidRPr="00AA26BE">
        <w:rPr>
          <w:rFonts w:ascii="Arial" w:eastAsia="Calibri" w:hAnsi="Arial" w:cs="Arial"/>
          <w:b/>
          <w:color w:val="000000"/>
          <w:lang w:val="es-ES" w:eastAsia="es-ES"/>
        </w:rPr>
        <w:t>Fenología del cultivo</w:t>
      </w:r>
      <w:bookmarkEnd w:id="10"/>
      <w:bookmarkEnd w:id="11"/>
    </w:p>
    <w:p w14:paraId="65E8F385" w14:textId="3771E114" w:rsidR="008403BD" w:rsidRDefault="007D49D9">
      <w:pPr>
        <w:spacing w:before="120" w:after="0" w:line="360" w:lineRule="auto"/>
        <w:jc w:val="both"/>
        <w:rPr>
          <w:rFonts w:ascii="Arial" w:hAnsi="Arial" w:cs="Arial"/>
          <w:sz w:val="24"/>
          <w:szCs w:val="24"/>
          <w:lang w:val="es-ES" w:eastAsia="es-ES"/>
        </w:rPr>
      </w:pPr>
      <w:r>
        <w:rPr>
          <w:rFonts w:ascii="Arial" w:hAnsi="Arial" w:cs="Arial"/>
          <w:sz w:val="24"/>
          <w:szCs w:val="24"/>
          <w:lang w:val="es-ES" w:eastAsia="es-ES"/>
        </w:rPr>
        <w:t xml:space="preserve">La duración del ciclo del cultivo de tomate está determinada por el cultivar, el manejo agronómico y las condiciones climáticas de la zona en la cual se establece el cultivo, el suelo </w:t>
      </w:r>
      <w:r>
        <w:rPr>
          <w:rFonts w:ascii="Arial" w:hAnsi="Arial" w:cs="Arial"/>
          <w:sz w:val="24"/>
          <w:szCs w:val="24"/>
          <w:lang w:val="es-ES" w:eastAsia="es-ES"/>
        </w:rPr>
        <w:fldChar w:fldCharType="begin"/>
      </w:r>
      <w:r w:rsidR="004A4D42">
        <w:rPr>
          <w:rFonts w:ascii="Arial" w:hAnsi="Arial" w:cs="Arial"/>
          <w:sz w:val="24"/>
          <w:szCs w:val="24"/>
          <w:lang w:val="es-ES" w:eastAsia="es-ES"/>
        </w:rPr>
        <w:instrText xml:space="preserve"> ADDIN ZOTERO_ITEM CSL_CITATION {"citationID":"bPnbYLYK","properties":{"custom":"(Jaramillo {\\i{}et al}., 2012)","formattedCitation":"(Jaramillo {\\i{}et al}., 2012)","plainCitation":"(Jaramillo et al., 2012)","noteIndex":0},"citationItems":[{"id":564,"uris":["http://zotero.org/users/12642312/items/PGIIGC9Z"],"itemData":{"id":564,"type":"article-journal","abstract":"El empleo integral y racional de los factores climáticos es fundamental tanto para el desarrollo como para el funcionamiento adecuado del cultivo, ya que todos ...","language":"spa","license":"Attribution-NonCommercial-ShareAlike 4.0 International","note":"Accepted: 2018-09-09T23:54:05Z\npublisher: ‎‎Corporación colombiana de investigación agropecuaria - AGROSAVIA","page":"140-164","source":"repository.agrosavia.co","title":"Factores climáticos y su influencia en la producción de tomate","URL":"https://repository.agrosavia.co/handle/20.500.12324/1381","author":[{"family":"Jaramillo","given":"Jorge Eliecer"},{"family":"Rodríguez","given":"Viviana Patricia"},{"family":"Aguilar","given":"Paula Andrea"}],"accessed":{"date-parts":[["2024",10,14]]},"issued":{"date-parts":[["2012"]]}}}],"schema":"https://github.com/citation-style-language/schema/raw/master/csl-citation.json"} </w:instrText>
      </w:r>
      <w:r>
        <w:rPr>
          <w:rFonts w:ascii="Arial" w:hAnsi="Arial" w:cs="Arial"/>
          <w:sz w:val="24"/>
          <w:szCs w:val="24"/>
          <w:lang w:val="es-ES" w:eastAsia="es-ES"/>
        </w:rPr>
        <w:fldChar w:fldCharType="separate"/>
      </w:r>
      <w:r w:rsidR="002C6A4A" w:rsidRPr="002C6A4A">
        <w:rPr>
          <w:rFonts w:ascii="Arial" w:hAnsi="Arial" w:cs="Arial"/>
          <w:sz w:val="24"/>
          <w:szCs w:val="24"/>
          <w:lang w:val="es-ES"/>
        </w:rPr>
        <w:t xml:space="preserve">(Jaramillo </w:t>
      </w:r>
      <w:r w:rsidR="002C6A4A" w:rsidRPr="002C6A4A">
        <w:rPr>
          <w:rFonts w:ascii="Arial" w:hAnsi="Arial" w:cs="Arial"/>
          <w:i/>
          <w:iCs/>
          <w:sz w:val="24"/>
          <w:szCs w:val="24"/>
          <w:lang w:val="es-ES"/>
        </w:rPr>
        <w:t>et al</w:t>
      </w:r>
      <w:r w:rsidR="002C6A4A" w:rsidRPr="002C6A4A">
        <w:rPr>
          <w:rFonts w:ascii="Arial" w:hAnsi="Arial" w:cs="Arial"/>
          <w:sz w:val="24"/>
          <w:szCs w:val="24"/>
          <w:lang w:val="es-ES"/>
        </w:rPr>
        <w:t>., 2012)</w:t>
      </w:r>
      <w:r>
        <w:rPr>
          <w:rFonts w:ascii="Arial" w:hAnsi="Arial" w:cs="Arial"/>
          <w:sz w:val="24"/>
          <w:szCs w:val="24"/>
          <w:lang w:val="es-ES" w:eastAsia="es-ES"/>
        </w:rPr>
        <w:fldChar w:fldCharType="end"/>
      </w:r>
      <w:r>
        <w:rPr>
          <w:rFonts w:ascii="Arial" w:hAnsi="Arial" w:cs="Arial"/>
          <w:sz w:val="24"/>
          <w:szCs w:val="24"/>
          <w:lang w:val="es-ES" w:eastAsia="es-ES"/>
        </w:rPr>
        <w:t>.</w:t>
      </w:r>
    </w:p>
    <w:p w14:paraId="34D32722" w14:textId="77777777" w:rsidR="008403BD" w:rsidRDefault="007D49D9">
      <w:pPr>
        <w:autoSpaceDE w:val="0"/>
        <w:autoSpaceDN w:val="0"/>
        <w:adjustRightInd w:val="0"/>
        <w:spacing w:before="120" w:after="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 xml:space="preserve">La fenología del cultivo comprende las etapas que forman su ciclo de vida. Dependiendo de la etapa fenológica de la planta, así son sus demandas nutricionales, necesidades hídricas, susceptibilidad o resistencia a insectos y enfermedades. En el cultivo del tomate, se observan tres etapas durante su ciclo de vida </w:t>
      </w:r>
      <w:r>
        <w:rPr>
          <w:rFonts w:ascii="Arial" w:eastAsia="Calibri" w:hAnsi="Arial" w:cs="Arial"/>
          <w:color w:val="000000"/>
          <w:sz w:val="24"/>
          <w:szCs w:val="24"/>
          <w:lang w:val="es-ES"/>
        </w:rPr>
        <w:fldChar w:fldCharType="begin"/>
      </w:r>
      <w:r>
        <w:rPr>
          <w:rFonts w:ascii="Arial" w:eastAsia="Calibri" w:hAnsi="Arial" w:cs="Arial"/>
          <w:color w:val="000000"/>
          <w:sz w:val="24"/>
          <w:szCs w:val="24"/>
          <w:lang w:val="es-ES"/>
        </w:rPr>
        <w:instrText xml:space="preserve"> ADDIN ZOTERO_ITEM CSL_CITATION {"citationID":"koZBxJW4","properties":{"formattedCitation":"({\\i{}Agroinformaci\\uc0\\u243{}n - El Cultivo Del Tomate. 1\\super a\\nosupersub{} Parte.}, 2025)","plainCitation":"(Agroinformación - El Cultivo Del Tomate. 1a Parte., 2025)","noteIndex":0},"citationItems":[{"id":156,"uris":["http://zotero.org/users/12642312/items/TX9NABI2"],"itemData":{"id":156,"type":"webpage","title":"Agroinformación - El cultivo del tomate. 1ª parte.","URL":"https://www.infoagro.com/hortalizas/tomate.htm","accessed":{"date-parts":[["2021",1,18]]},"issued":{"date-parts":[["2025"]]}}}],"schema":"https://github.com/citation-style-language/schema/raw/master/csl-citation.json"} </w:instrText>
      </w:r>
      <w:r>
        <w:rPr>
          <w:rFonts w:ascii="Arial" w:eastAsia="Calibri" w:hAnsi="Arial" w:cs="Arial"/>
          <w:color w:val="000000"/>
          <w:sz w:val="24"/>
          <w:szCs w:val="24"/>
          <w:lang w:val="es-ES"/>
        </w:rPr>
        <w:fldChar w:fldCharType="separate"/>
      </w:r>
      <w:r>
        <w:rPr>
          <w:rFonts w:ascii="Arial" w:hAnsi="Arial" w:cs="Arial"/>
          <w:sz w:val="24"/>
          <w:szCs w:val="24"/>
          <w:lang w:val="es-ES"/>
        </w:rPr>
        <w:t>(</w:t>
      </w:r>
      <w:r>
        <w:rPr>
          <w:rFonts w:ascii="Arial" w:hAnsi="Arial" w:cs="Arial"/>
          <w:i/>
          <w:iCs/>
          <w:sz w:val="24"/>
          <w:szCs w:val="24"/>
          <w:lang w:val="es-ES"/>
        </w:rPr>
        <w:t>Agroinformación - El Cultivo Del Tomate. 1</w:t>
      </w:r>
      <w:r>
        <w:rPr>
          <w:rFonts w:ascii="Arial" w:hAnsi="Arial" w:cs="Arial"/>
          <w:i/>
          <w:iCs/>
          <w:sz w:val="24"/>
          <w:szCs w:val="24"/>
          <w:vertAlign w:val="superscript"/>
          <w:lang w:val="es-ES"/>
        </w:rPr>
        <w:t>a</w:t>
      </w:r>
      <w:r>
        <w:rPr>
          <w:rFonts w:ascii="Arial" w:hAnsi="Arial" w:cs="Arial"/>
          <w:i/>
          <w:iCs/>
          <w:sz w:val="24"/>
          <w:szCs w:val="24"/>
          <w:lang w:val="es-ES"/>
        </w:rPr>
        <w:t xml:space="preserve"> Parte.</w:t>
      </w:r>
      <w:r>
        <w:rPr>
          <w:rFonts w:ascii="Arial" w:hAnsi="Arial" w:cs="Arial"/>
          <w:sz w:val="24"/>
          <w:szCs w:val="24"/>
          <w:lang w:val="es-ES"/>
        </w:rPr>
        <w:t>, 2025)</w:t>
      </w:r>
      <w:r>
        <w:rPr>
          <w:rFonts w:ascii="Arial" w:eastAsia="Calibri" w:hAnsi="Arial" w:cs="Arial"/>
          <w:color w:val="000000"/>
          <w:sz w:val="24"/>
          <w:szCs w:val="24"/>
          <w:lang w:val="es-ES"/>
        </w:rPr>
        <w:fldChar w:fldCharType="end"/>
      </w:r>
      <w:r w:rsidR="006B70D8">
        <w:rPr>
          <w:rFonts w:ascii="Arial" w:eastAsia="Calibri" w:hAnsi="Arial" w:cs="Arial"/>
          <w:color w:val="000000"/>
          <w:sz w:val="24"/>
          <w:szCs w:val="24"/>
          <w:lang w:val="es-ES"/>
        </w:rPr>
        <w:t>,</w:t>
      </w:r>
      <w:r w:rsidR="0057161C">
        <w:rPr>
          <w:rFonts w:ascii="Arial" w:eastAsia="Calibri" w:hAnsi="Arial" w:cs="Arial"/>
          <w:color w:val="000000"/>
          <w:sz w:val="24"/>
          <w:szCs w:val="24"/>
          <w:lang w:val="es-ES"/>
        </w:rPr>
        <w:t xml:space="preserve"> (Figura 1)</w:t>
      </w:r>
      <w:r w:rsidR="006B70D8">
        <w:rPr>
          <w:rFonts w:ascii="Arial" w:eastAsia="Calibri" w:hAnsi="Arial" w:cs="Arial"/>
          <w:color w:val="000000"/>
          <w:sz w:val="24"/>
          <w:szCs w:val="24"/>
          <w:lang w:val="es-ES"/>
        </w:rPr>
        <w:t>.</w:t>
      </w:r>
    </w:p>
    <w:p w14:paraId="239119D2" w14:textId="77777777" w:rsidR="008403BD" w:rsidRDefault="007D49D9">
      <w:pPr>
        <w:autoSpaceDE w:val="0"/>
        <w:autoSpaceDN w:val="0"/>
        <w:adjustRightInd w:val="0"/>
        <w:spacing w:before="120" w:after="0" w:line="360" w:lineRule="auto"/>
        <w:jc w:val="both"/>
        <w:rPr>
          <w:rFonts w:ascii="Arial" w:eastAsia="Calibri" w:hAnsi="Arial" w:cs="Arial"/>
          <w:color w:val="000000"/>
          <w:sz w:val="24"/>
          <w:szCs w:val="24"/>
          <w:lang w:val="es-ES"/>
        </w:rPr>
      </w:pPr>
      <w:r>
        <w:rPr>
          <w:rFonts w:ascii="Arial" w:eastAsia="Calibri" w:hAnsi="Arial" w:cs="Arial"/>
          <w:b/>
          <w:sz w:val="24"/>
          <w:szCs w:val="24"/>
          <w:lang w:val="es-ES"/>
        </w:rPr>
        <w:t>Inicial</w:t>
      </w:r>
      <w:r>
        <w:rPr>
          <w:rFonts w:ascii="Arial" w:eastAsia="Calibri" w:hAnsi="Arial" w:cs="Arial"/>
          <w:color w:val="006628"/>
          <w:sz w:val="24"/>
          <w:szCs w:val="24"/>
          <w:lang w:val="es-ES"/>
        </w:rPr>
        <w:t xml:space="preserve">: </w:t>
      </w:r>
      <w:r>
        <w:rPr>
          <w:rFonts w:ascii="Arial" w:eastAsia="Calibri" w:hAnsi="Arial" w:cs="Arial"/>
          <w:color w:val="000000"/>
          <w:sz w:val="24"/>
          <w:szCs w:val="24"/>
          <w:lang w:val="es-ES"/>
        </w:rPr>
        <w:t xml:space="preserve">Comprende la germinación y el crecimiento temprano de la plántula. En estas primeras semanas hay un rápido aumento en la materia seca de la planta, aunque las necesidades de nutrientes, como el nitrógeno, son bajas, entorno a un 2% del nitrógeno total. La duración de esta fase inicial suele ser de 4-8 días para la germinación y de 20-21 días para un crecimiento </w:t>
      </w:r>
      <w:r>
        <w:rPr>
          <w:rFonts w:ascii="Arial" w:eastAsia="Calibri" w:hAnsi="Arial" w:cs="Arial"/>
          <w:color w:val="000000"/>
          <w:sz w:val="24"/>
          <w:szCs w:val="24"/>
          <w:lang w:val="es-ES"/>
        </w:rPr>
        <w:fldChar w:fldCharType="begin"/>
      </w:r>
      <w:r>
        <w:rPr>
          <w:rFonts w:ascii="Arial" w:eastAsia="Calibri" w:hAnsi="Arial" w:cs="Arial"/>
          <w:color w:val="000000"/>
          <w:sz w:val="24"/>
          <w:szCs w:val="24"/>
          <w:lang w:val="es-ES"/>
        </w:rPr>
        <w:instrText xml:space="preserve"> ADDIN ZOTERO_ITEM CSL_CITATION {"citationID":"9fTxWrLx","properties":{"formattedCitation":"({\\i{}Agroinformaci\\uc0\\u243{}n - El Cultivo Del Tomate. 1\\super a\\nosupersub{} Parte.}, 2025)","plainCitation":"(Agroinformación - El Cultivo Del Tomate. 1a Parte., 2025)","noteIndex":0},"citationItems":[{"id":156,"uris":["http://zotero.org/users/12642312/items/TX9NABI2"],"itemData":{"id":156,"type":"webpage","title":"Agroinformación - El cultivo del tomate. 1ª parte.","URL":"https://www.infoagro.com/hortalizas/tomate.htm","accessed":{"date-parts":[["2021",1,18]]},"issued":{"date-parts":[["2025"]]}}}],"schema":"https://github.com/citation-style-language/schema/raw/master/csl-citation.json"} </w:instrText>
      </w:r>
      <w:r>
        <w:rPr>
          <w:rFonts w:ascii="Arial" w:eastAsia="Calibri" w:hAnsi="Arial" w:cs="Arial"/>
          <w:color w:val="000000"/>
          <w:sz w:val="24"/>
          <w:szCs w:val="24"/>
          <w:lang w:val="es-ES"/>
        </w:rPr>
        <w:fldChar w:fldCharType="separate"/>
      </w:r>
      <w:r>
        <w:rPr>
          <w:rFonts w:ascii="Arial" w:hAnsi="Arial" w:cs="Arial"/>
          <w:sz w:val="24"/>
          <w:szCs w:val="24"/>
          <w:lang w:val="es-ES"/>
        </w:rPr>
        <w:t>(</w:t>
      </w:r>
      <w:r>
        <w:rPr>
          <w:rFonts w:ascii="Arial" w:hAnsi="Arial" w:cs="Arial"/>
          <w:i/>
          <w:iCs/>
          <w:sz w:val="24"/>
          <w:szCs w:val="24"/>
          <w:lang w:val="es-ES"/>
        </w:rPr>
        <w:t>Agroinformación - El Cultivo Del Tomate. 1</w:t>
      </w:r>
      <w:r>
        <w:rPr>
          <w:rFonts w:ascii="Arial" w:hAnsi="Arial" w:cs="Arial"/>
          <w:i/>
          <w:iCs/>
          <w:sz w:val="24"/>
          <w:szCs w:val="24"/>
          <w:vertAlign w:val="superscript"/>
          <w:lang w:val="es-ES"/>
        </w:rPr>
        <w:t>a</w:t>
      </w:r>
      <w:r>
        <w:rPr>
          <w:rFonts w:ascii="Arial" w:hAnsi="Arial" w:cs="Arial"/>
          <w:i/>
          <w:iCs/>
          <w:sz w:val="24"/>
          <w:szCs w:val="24"/>
          <w:lang w:val="es-ES"/>
        </w:rPr>
        <w:t xml:space="preserve"> Parte.</w:t>
      </w:r>
      <w:r>
        <w:rPr>
          <w:rFonts w:ascii="Arial" w:hAnsi="Arial" w:cs="Arial"/>
          <w:sz w:val="24"/>
          <w:szCs w:val="24"/>
          <w:lang w:val="es-ES"/>
        </w:rPr>
        <w:t>, 2025)</w:t>
      </w:r>
      <w:r>
        <w:rPr>
          <w:rFonts w:ascii="Arial" w:eastAsia="Calibri" w:hAnsi="Arial" w:cs="Arial"/>
          <w:color w:val="000000"/>
          <w:sz w:val="24"/>
          <w:szCs w:val="24"/>
          <w:lang w:val="es-ES"/>
        </w:rPr>
        <w:fldChar w:fldCharType="end"/>
      </w:r>
      <w:r>
        <w:rPr>
          <w:rFonts w:ascii="Arial" w:eastAsia="Calibri" w:hAnsi="Arial" w:cs="Arial"/>
          <w:color w:val="000000"/>
          <w:sz w:val="24"/>
          <w:szCs w:val="24"/>
          <w:lang w:val="es-ES"/>
        </w:rPr>
        <w:t>.</w:t>
      </w:r>
    </w:p>
    <w:p w14:paraId="1098584C" w14:textId="77777777" w:rsidR="008403BD" w:rsidRDefault="007D49D9">
      <w:pPr>
        <w:autoSpaceDE w:val="0"/>
        <w:autoSpaceDN w:val="0"/>
        <w:adjustRightInd w:val="0"/>
        <w:spacing w:before="120" w:after="0" w:line="360" w:lineRule="auto"/>
        <w:jc w:val="both"/>
        <w:rPr>
          <w:rFonts w:ascii="Arial" w:eastAsia="Calibri" w:hAnsi="Arial" w:cs="Arial"/>
          <w:color w:val="000000"/>
          <w:sz w:val="24"/>
          <w:szCs w:val="24"/>
          <w:lang w:val="es-ES"/>
        </w:rPr>
      </w:pPr>
      <w:r>
        <w:rPr>
          <w:rFonts w:ascii="Arial" w:eastAsia="Calibri" w:hAnsi="Arial" w:cs="Arial"/>
          <w:b/>
          <w:sz w:val="24"/>
          <w:szCs w:val="24"/>
          <w:lang w:val="es-ES"/>
        </w:rPr>
        <w:t>Vegetativa</w:t>
      </w:r>
      <w:r>
        <w:rPr>
          <w:rFonts w:ascii="Arial" w:eastAsia="Calibri" w:hAnsi="Arial" w:cs="Arial"/>
          <w:color w:val="006628"/>
          <w:sz w:val="24"/>
          <w:szCs w:val="24"/>
          <w:lang w:val="es-ES"/>
        </w:rPr>
        <w:t xml:space="preserve">: </w:t>
      </w:r>
      <w:r>
        <w:rPr>
          <w:rFonts w:ascii="Arial" w:eastAsia="Calibri" w:hAnsi="Arial" w:cs="Arial"/>
          <w:color w:val="000000"/>
          <w:sz w:val="24"/>
          <w:szCs w:val="24"/>
          <w:lang w:val="es-ES"/>
        </w:rPr>
        <w:t xml:space="preserve">La planta aumenta el desarrollo de nuevos tejidos de absorción y fotosíntesis para después desarrollar y fecundar las flores. Las necesidades de nutrientes como N, P y K aumentan con rapidez alcanzando su máximo en la recolección de los primeros frutos. La duración de esta fase vegetativa suele ser de 25-30 días para el desarrollo vegetativo y de 20-30 días para la floración </w:t>
      </w:r>
      <w:r>
        <w:rPr>
          <w:rFonts w:ascii="Arial" w:eastAsia="Calibri" w:hAnsi="Arial" w:cs="Arial"/>
          <w:color w:val="000000"/>
          <w:sz w:val="24"/>
          <w:szCs w:val="24"/>
          <w:lang w:val="es-ES"/>
        </w:rPr>
        <w:fldChar w:fldCharType="begin"/>
      </w:r>
      <w:r>
        <w:rPr>
          <w:rFonts w:ascii="Arial" w:eastAsia="Calibri" w:hAnsi="Arial" w:cs="Arial"/>
          <w:color w:val="000000"/>
          <w:sz w:val="24"/>
          <w:szCs w:val="24"/>
          <w:lang w:val="es-ES"/>
        </w:rPr>
        <w:instrText xml:space="preserve"> ADDIN ZOTERO_ITEM CSL_CITATION {"citationID":"mBrlKXQ8","properties":{"formattedCitation":"({\\i{}Agroinformaci\\uc0\\u243{}n - El Cultivo Del Tomate. 1\\super a\\nosupersub{} Parte.}, 2025)","plainCitation":"(Agroinformación - El Cultivo Del Tomate. 1a Parte., 2025)","noteIndex":0},"citationItems":[{"id":156,"uris":["http://zotero.org/users/12642312/items/TX9NABI2"],"itemData":{"id":156,"type":"webpage","title":"Agroinformación - El cultivo del tomate. 1ª parte.","URL":"https://www.infoagro.com/hortalizas/tomate.htm","accessed":{"date-parts":[["2021",1,18]]},"issued":{"date-parts":[["2025"]]}}}],"schema":"https://github.com/citation-style-language/schema/raw/master/csl-citation.json"} </w:instrText>
      </w:r>
      <w:r>
        <w:rPr>
          <w:rFonts w:ascii="Arial" w:eastAsia="Calibri" w:hAnsi="Arial" w:cs="Arial"/>
          <w:color w:val="000000"/>
          <w:sz w:val="24"/>
          <w:szCs w:val="24"/>
          <w:lang w:val="es-ES"/>
        </w:rPr>
        <w:fldChar w:fldCharType="separate"/>
      </w:r>
      <w:r>
        <w:rPr>
          <w:rFonts w:ascii="Arial" w:hAnsi="Arial" w:cs="Arial"/>
          <w:sz w:val="24"/>
          <w:szCs w:val="24"/>
          <w:lang w:val="es-ES"/>
        </w:rPr>
        <w:t>(</w:t>
      </w:r>
      <w:r>
        <w:rPr>
          <w:rFonts w:ascii="Arial" w:hAnsi="Arial" w:cs="Arial"/>
          <w:i/>
          <w:iCs/>
          <w:sz w:val="24"/>
          <w:szCs w:val="24"/>
          <w:lang w:val="es-ES"/>
        </w:rPr>
        <w:t xml:space="preserve">Agroinformación - El Cultivo Del Tomate. </w:t>
      </w:r>
      <w:r w:rsidRPr="00671F6D">
        <w:rPr>
          <w:rFonts w:ascii="Arial" w:hAnsi="Arial" w:cs="Arial"/>
          <w:i/>
          <w:iCs/>
          <w:sz w:val="24"/>
          <w:szCs w:val="24"/>
          <w:lang w:val="es-ES"/>
        </w:rPr>
        <w:t>1</w:t>
      </w:r>
      <w:r w:rsidRPr="00671F6D">
        <w:rPr>
          <w:rFonts w:ascii="Arial" w:hAnsi="Arial" w:cs="Arial"/>
          <w:i/>
          <w:iCs/>
          <w:sz w:val="24"/>
          <w:szCs w:val="24"/>
          <w:vertAlign w:val="superscript"/>
          <w:lang w:val="es-ES"/>
        </w:rPr>
        <w:t>a</w:t>
      </w:r>
      <w:r w:rsidRPr="00671F6D">
        <w:rPr>
          <w:rFonts w:ascii="Arial" w:hAnsi="Arial" w:cs="Arial"/>
          <w:i/>
          <w:iCs/>
          <w:sz w:val="24"/>
          <w:szCs w:val="24"/>
          <w:lang w:val="es-ES"/>
        </w:rPr>
        <w:t xml:space="preserve"> Parte.</w:t>
      </w:r>
      <w:r w:rsidRPr="00671F6D">
        <w:rPr>
          <w:rFonts w:ascii="Arial" w:hAnsi="Arial" w:cs="Arial"/>
          <w:sz w:val="24"/>
          <w:szCs w:val="24"/>
          <w:lang w:val="es-ES"/>
        </w:rPr>
        <w:t>, 2025)</w:t>
      </w:r>
      <w:r>
        <w:rPr>
          <w:rFonts w:ascii="Arial" w:eastAsia="Calibri" w:hAnsi="Arial" w:cs="Arial"/>
          <w:color w:val="000000"/>
          <w:sz w:val="24"/>
          <w:szCs w:val="24"/>
          <w:lang w:val="es-ES"/>
        </w:rPr>
        <w:fldChar w:fldCharType="end"/>
      </w:r>
      <w:r>
        <w:rPr>
          <w:rFonts w:ascii="Arial" w:eastAsia="Calibri" w:hAnsi="Arial" w:cs="Arial"/>
          <w:color w:val="000000"/>
          <w:sz w:val="24"/>
          <w:szCs w:val="24"/>
          <w:lang w:val="es-ES"/>
        </w:rPr>
        <w:t>.</w:t>
      </w:r>
    </w:p>
    <w:p w14:paraId="3F800844" w14:textId="77777777" w:rsidR="008403BD" w:rsidRDefault="007D49D9">
      <w:pPr>
        <w:keepNext/>
        <w:autoSpaceDE w:val="0"/>
        <w:autoSpaceDN w:val="0"/>
        <w:adjustRightInd w:val="0"/>
        <w:spacing w:before="120" w:after="0" w:line="360" w:lineRule="auto"/>
        <w:jc w:val="center"/>
      </w:pPr>
      <w:r>
        <w:rPr>
          <w:rFonts w:ascii="Arial" w:eastAsia="ChaparralPro-Regular" w:hAnsi="Arial" w:cs="Arial"/>
          <w:noProof/>
          <w:sz w:val="24"/>
          <w:szCs w:val="24"/>
        </w:rPr>
        <w:drawing>
          <wp:inline distT="0" distB="0" distL="0" distR="0" wp14:anchorId="63B9E183" wp14:editId="11356574">
            <wp:extent cx="3176905" cy="1905000"/>
            <wp:effectExtent l="0" t="0" r="4445" b="0"/>
            <wp:docPr id="1030" name="Imagen 5" descr="D:\Mary\gggggggggggggggg\Nueva carpeta\mas nuevasssssssssssssss\0_1847_nutrientes_tomate_etapas_fenologicas_tomate_ciclo_cultivo_anua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n 5"/>
                    <pic:cNvPicPr/>
                  </pic:nvPicPr>
                  <pic:blipFill rotWithShape="1">
                    <a:blip r:embed="rId12" cstate="print"/>
                    <a:srcRect b="5093"/>
                    <a:stretch/>
                  </pic:blipFill>
                  <pic:spPr bwMode="auto">
                    <a:xfrm>
                      <a:off x="0" y="0"/>
                      <a:ext cx="3177375" cy="1905282"/>
                    </a:xfrm>
                    <a:prstGeom prst="rect">
                      <a:avLst/>
                    </a:prstGeom>
                    <a:ln>
                      <a:noFill/>
                    </a:ln>
                    <a:extLst>
                      <a:ext uri="{53640926-AAD7-44D8-BBD7-CCE9431645EC}">
                        <a14:shadowObscured xmlns:a14="http://schemas.microsoft.com/office/drawing/2010/main"/>
                      </a:ext>
                    </a:extLst>
                  </pic:spPr>
                </pic:pic>
              </a:graphicData>
            </a:graphic>
          </wp:inline>
        </w:drawing>
      </w:r>
    </w:p>
    <w:p w14:paraId="2DC9FC6F" w14:textId="49E6EB30" w:rsidR="008403BD" w:rsidRDefault="007D49D9">
      <w:pPr>
        <w:pStyle w:val="Descripcin"/>
        <w:jc w:val="center"/>
        <w:rPr>
          <w:rFonts w:ascii="Arial" w:hAnsi="Arial" w:cs="Arial"/>
          <w:b/>
          <w:color w:val="auto"/>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1</w:t>
      </w:r>
      <w:r>
        <w:rPr>
          <w:rFonts w:ascii="Arial" w:hAnsi="Arial" w:cs="Arial"/>
          <w:b/>
          <w:color w:val="auto"/>
        </w:rPr>
        <w:fldChar w:fldCharType="end"/>
      </w:r>
      <w:r w:rsidR="00CE4DBC">
        <w:rPr>
          <w:rFonts w:ascii="Arial" w:hAnsi="Arial" w:cs="Arial"/>
          <w:b/>
          <w:color w:val="auto"/>
          <w:lang w:val="es-ES"/>
        </w:rPr>
        <w:t>.</w:t>
      </w:r>
      <w:r>
        <w:rPr>
          <w:rFonts w:ascii="Arial" w:hAnsi="Arial" w:cs="Arial"/>
          <w:b/>
          <w:color w:val="auto"/>
          <w:lang w:val="es-ES"/>
        </w:rPr>
        <w:t xml:space="preserve"> </w:t>
      </w:r>
      <w:r w:rsidR="00B83FD3">
        <w:rPr>
          <w:rFonts w:ascii="Arial" w:hAnsi="Arial" w:cs="Arial"/>
          <w:color w:val="auto"/>
          <w:lang w:val="es-ES"/>
        </w:rPr>
        <w:t>Fases fenológicas del tomate</w:t>
      </w:r>
    </w:p>
    <w:p w14:paraId="38E5FF19" w14:textId="262833C4" w:rsidR="008403BD" w:rsidRDefault="007D49D9">
      <w:pPr>
        <w:autoSpaceDE w:val="0"/>
        <w:autoSpaceDN w:val="0"/>
        <w:adjustRightInd w:val="0"/>
        <w:spacing w:before="120" w:after="0" w:line="360" w:lineRule="auto"/>
        <w:jc w:val="both"/>
        <w:rPr>
          <w:rFonts w:ascii="Arial" w:eastAsia="Calibri" w:hAnsi="Arial" w:cs="Arial"/>
          <w:sz w:val="24"/>
          <w:szCs w:val="24"/>
          <w:lang w:val="es-ES"/>
        </w:rPr>
      </w:pPr>
      <w:r>
        <w:rPr>
          <w:rFonts w:ascii="Arial" w:eastAsia="Calibri" w:hAnsi="Arial" w:cs="Arial"/>
          <w:b/>
          <w:sz w:val="24"/>
          <w:szCs w:val="24"/>
          <w:lang w:val="es-ES"/>
        </w:rPr>
        <w:lastRenderedPageBreak/>
        <w:t>Reproductiva</w:t>
      </w:r>
      <w:r>
        <w:rPr>
          <w:rFonts w:ascii="Arial" w:eastAsia="Calibri" w:hAnsi="Arial" w:cs="Arial"/>
          <w:sz w:val="24"/>
          <w:szCs w:val="24"/>
          <w:lang w:val="es-ES"/>
        </w:rPr>
        <w:t xml:space="preserve">: Se inicia con </w:t>
      </w:r>
      <w:proofErr w:type="gramStart"/>
      <w:r>
        <w:rPr>
          <w:rFonts w:ascii="Arial" w:eastAsia="Calibri" w:hAnsi="Arial" w:cs="Arial"/>
          <w:sz w:val="24"/>
          <w:szCs w:val="24"/>
          <w:lang w:val="es-ES"/>
        </w:rPr>
        <w:t>la fructificación</w:t>
      </w:r>
      <w:proofErr w:type="gramEnd"/>
      <w:r>
        <w:rPr>
          <w:rFonts w:ascii="Arial" w:eastAsia="Calibri" w:hAnsi="Arial" w:cs="Arial"/>
          <w:sz w:val="24"/>
          <w:szCs w:val="24"/>
          <w:lang w:val="es-ES"/>
        </w:rPr>
        <w:t xml:space="preserve"> de los primeros racimos de frutos y se caracteriza porque las plantas prácticamente detienen su crecimiento vegetativo para desarrollar y madurar los frutos, que se convierten en verdaderos sumideros de nutrientes y agua de la planta. La duración de la fase reproductiva, fructificación y maduración, suele estar entre 40-60 días </w:t>
      </w:r>
      <w:r>
        <w:rPr>
          <w:rFonts w:ascii="Arial" w:eastAsia="Calibri" w:hAnsi="Arial" w:cs="Arial"/>
          <w:sz w:val="24"/>
          <w:szCs w:val="24"/>
          <w:lang w:val="es-ES"/>
        </w:rPr>
        <w:fldChar w:fldCharType="begin"/>
      </w:r>
      <w:r w:rsidR="003B3459">
        <w:rPr>
          <w:rFonts w:ascii="Arial" w:eastAsia="Calibri" w:hAnsi="Arial" w:cs="Arial"/>
          <w:sz w:val="24"/>
          <w:szCs w:val="24"/>
          <w:lang w:val="es-ES"/>
        </w:rPr>
        <w:instrText xml:space="preserve"> ADDIN ZOTERO_ITEM CSL_CITATION {"citationID":"h2v4lfNa","properties":{"custom":"(P\\uc0\\u233{}rez, 2010; {\\i{}Agroinformaci\\uc0\\u243{}n - El Cultivo Del Tomate. 1\\super a\\nosupersub{} Parte.}, 2025)","unsorted":true,"formattedCitation":"(P\\uc0\\u233{}rez, 2010; {\\i{}Agroinformaci\\uc0\\u243{}n - El Cultivo Del Tomate. 1\\super a\\nosupersub{} Parte.}, 2025)","plainCitation":"(Pérez, 2010; Agroinformación - El Cultivo Del Tomate. 1a Parte., 2025)","noteIndex":0},"citationItems":[{"id":569,"uris":["http://zotero.org/users/12642312/items/R29C64RF"],"itemData":{"id":569,"type":"article-magazine","container-title":"Universidad Central\" Marta Abreu\" de Las Villas.","title":"Caracterización agroproductiva de nuevos cultivares de tomate (Lycopersicon esculentum Mill.) en las condiciones edafoclimáticas del INIVIT","URL":"https://repositorio.uclv.edu.cu/items/9e57cbe8-1302-4952-bcd0-fac9f5661efb","author":[{"family":"Pérez","given":"L"}],"issued":{"date-parts":[["2010"]]}},"label":"page"},{"id":156,"uris":["http://zotero.org/users/12642312/items/TX9NABI2"],"itemData":{"id":156,"type":"webpage","title":"Agroinformación - El cultivo del tomate. 1ª parte.","URL":"https://www.infoagro.com/hortalizas/tomate.htm","accessed":{"date-parts":[["2021",1,18]]},"issued":{"date-parts":[["2025"]]}},"label":"page"}],"schema":"https://github.com/citation-style-language/schema/raw/master/csl-citation.json"} </w:instrText>
      </w:r>
      <w:r>
        <w:rPr>
          <w:rFonts w:ascii="Arial" w:eastAsia="Calibri" w:hAnsi="Arial" w:cs="Arial"/>
          <w:sz w:val="24"/>
          <w:szCs w:val="24"/>
          <w:lang w:val="es-ES"/>
        </w:rPr>
        <w:fldChar w:fldCharType="separate"/>
      </w:r>
      <w:r w:rsidR="003B3459" w:rsidRPr="003B3459">
        <w:rPr>
          <w:rFonts w:ascii="Arial" w:hAnsi="Arial" w:cs="Arial"/>
          <w:sz w:val="24"/>
          <w:szCs w:val="24"/>
          <w:lang w:val="es-ES"/>
        </w:rPr>
        <w:t xml:space="preserve">(Pérez, 2010; </w:t>
      </w:r>
      <w:r w:rsidR="003B3459" w:rsidRPr="003B3459">
        <w:rPr>
          <w:rFonts w:ascii="Arial" w:hAnsi="Arial" w:cs="Arial"/>
          <w:i/>
          <w:iCs/>
          <w:sz w:val="24"/>
          <w:szCs w:val="24"/>
          <w:lang w:val="es-ES"/>
        </w:rPr>
        <w:t xml:space="preserve">Agroinformación - El Cultivo Del Tomate. </w:t>
      </w:r>
      <w:r w:rsidR="003B3459" w:rsidRPr="00716AA5">
        <w:rPr>
          <w:rFonts w:ascii="Arial" w:hAnsi="Arial" w:cs="Arial"/>
          <w:i/>
          <w:iCs/>
          <w:sz w:val="24"/>
          <w:szCs w:val="24"/>
          <w:lang w:val="es-ES"/>
        </w:rPr>
        <w:t>1</w:t>
      </w:r>
      <w:r w:rsidR="003B3459" w:rsidRPr="00716AA5">
        <w:rPr>
          <w:rFonts w:ascii="Arial" w:hAnsi="Arial" w:cs="Arial"/>
          <w:i/>
          <w:iCs/>
          <w:sz w:val="24"/>
          <w:szCs w:val="24"/>
          <w:vertAlign w:val="superscript"/>
          <w:lang w:val="es-ES"/>
        </w:rPr>
        <w:t>a</w:t>
      </w:r>
      <w:r w:rsidR="003B3459" w:rsidRPr="00716AA5">
        <w:rPr>
          <w:rFonts w:ascii="Arial" w:hAnsi="Arial" w:cs="Arial"/>
          <w:i/>
          <w:iCs/>
          <w:sz w:val="24"/>
          <w:szCs w:val="24"/>
          <w:lang w:val="es-ES"/>
        </w:rPr>
        <w:t xml:space="preserve"> Parte.</w:t>
      </w:r>
      <w:r w:rsidR="003B3459" w:rsidRPr="00716AA5">
        <w:rPr>
          <w:rFonts w:ascii="Arial" w:hAnsi="Arial" w:cs="Arial"/>
          <w:sz w:val="24"/>
          <w:szCs w:val="24"/>
          <w:lang w:val="es-ES"/>
        </w:rPr>
        <w:t>, 2025)</w:t>
      </w:r>
      <w:r>
        <w:rPr>
          <w:rFonts w:ascii="Arial" w:eastAsia="Calibri" w:hAnsi="Arial" w:cs="Arial"/>
          <w:sz w:val="24"/>
          <w:szCs w:val="24"/>
          <w:lang w:val="es-ES"/>
        </w:rPr>
        <w:fldChar w:fldCharType="end"/>
      </w:r>
      <w:r w:rsidR="00F35A69">
        <w:rPr>
          <w:rFonts w:ascii="Arial" w:eastAsia="Calibri" w:hAnsi="Arial" w:cs="Arial"/>
          <w:sz w:val="24"/>
          <w:szCs w:val="24"/>
          <w:lang w:val="es-ES"/>
        </w:rPr>
        <w:t>.</w:t>
      </w:r>
    </w:p>
    <w:p w14:paraId="6A783493" w14:textId="77777777" w:rsidR="008403BD" w:rsidRDefault="007D49D9">
      <w:pPr>
        <w:pStyle w:val="Ttulo2"/>
        <w:rPr>
          <w:rFonts w:ascii="Arial" w:eastAsia="Calibri" w:hAnsi="Arial" w:cs="Arial"/>
          <w:b/>
          <w:color w:val="000000"/>
          <w:sz w:val="28"/>
          <w:szCs w:val="28"/>
          <w:lang w:val="es-ES" w:eastAsia="es-ES"/>
        </w:rPr>
      </w:pPr>
      <w:bookmarkStart w:id="12" w:name="_Toc195014950"/>
      <w:r>
        <w:rPr>
          <w:rFonts w:ascii="Arial" w:eastAsia="Calibri" w:hAnsi="Arial" w:cs="Arial"/>
          <w:b/>
          <w:color w:val="000000"/>
          <w:sz w:val="28"/>
          <w:szCs w:val="28"/>
          <w:lang w:val="es-ES" w:eastAsia="es-ES"/>
        </w:rPr>
        <w:t>1.2 Modelos de simulación de cultivos</w:t>
      </w:r>
      <w:bookmarkEnd w:id="12"/>
      <w:r>
        <w:rPr>
          <w:rFonts w:ascii="Arial" w:eastAsia="Calibri" w:hAnsi="Arial" w:cs="Arial"/>
          <w:b/>
          <w:color w:val="000000"/>
          <w:sz w:val="28"/>
          <w:szCs w:val="28"/>
          <w:lang w:val="es-ES" w:eastAsia="es-ES"/>
        </w:rPr>
        <w:t xml:space="preserve"> </w:t>
      </w:r>
    </w:p>
    <w:p w14:paraId="2085EB15" w14:textId="77777777" w:rsidR="008403BD" w:rsidRDefault="007D49D9">
      <w:pPr>
        <w:pStyle w:val="Ttulo3"/>
        <w:rPr>
          <w:rFonts w:ascii="Arial" w:eastAsia="Calibri" w:hAnsi="Arial" w:cs="Arial"/>
          <w:b/>
          <w:color w:val="000000"/>
          <w:lang w:val="es-ES" w:eastAsia="es-ES"/>
        </w:rPr>
      </w:pPr>
      <w:bookmarkStart w:id="13" w:name="_Toc195014951"/>
      <w:r>
        <w:rPr>
          <w:rFonts w:ascii="Arial" w:eastAsia="Calibri" w:hAnsi="Arial" w:cs="Arial"/>
          <w:b/>
          <w:color w:val="000000"/>
          <w:lang w:val="es-ES" w:eastAsia="es-ES"/>
        </w:rPr>
        <w:t>1.2.1 Modelos como herramientas para la toma de decisiones</w:t>
      </w:r>
      <w:bookmarkEnd w:id="13"/>
    </w:p>
    <w:p w14:paraId="4C984BE3" w14:textId="77777777"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hAnsi="Arial" w:cs="Arial"/>
          <w:sz w:val="24"/>
          <w:szCs w:val="24"/>
          <w:lang w:val="es-ES"/>
        </w:rPr>
      </w:pPr>
      <w:r>
        <w:rPr>
          <w:rFonts w:ascii="Arial" w:hAnsi="Arial" w:cs="Arial"/>
          <w:sz w:val="24"/>
          <w:szCs w:val="24"/>
          <w:lang w:val="es-ES"/>
        </w:rPr>
        <w:t xml:space="preserve">Los modelos son herramientas poderosas para probar hipótesis, sintetizar y transmitir conocimientos, describir y comprender sistemas complejos y comparar diferentes escenarios. Los modelos de cultivos pueden utilizarse para identificar las condiciones de crecimiento deseadas, explorar los efectos de las condiciones de crecimiento relacionados con la introducción de nuevas tecnologías, así como para identificar los rasgos objetivo de un cultivo que son particularmente importantes para un entorno específico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{"citationID":"ecyi11PW","properties":{"formattedCitation":"(Marcelis, 2011)","plainCitation":"(Marcelis, 2011)","noteIndex":0},"citationItems":[{"id":1001,"uris":["http://zotero.org/users/12642312/items/9QGIPBHZ"],"itemData":{"id":1001,"type":"article-journal","container-title":"Acta Horticulturae","DOI":"10.17660/ActaHortic.2011.893.82","ISSN":"0567-7572, 2406-6168","issue":"893","journalAbbreviation":"Acta Hortic.","page":"765-772","source":"DOI.org (Crossref)","title":"STOCHASTIC DYNAMIC SIMULATION OF FRUIT ABORTION: A CASE STUDY OF SWEET PEPPER","title-short":"STOCHASTIC DYNAMIC SIMULATION OF FRUIT ABORTION","URL":"https://www.actahort.org/books/893/893_82.htm","author":[{"family":"Marcelis","given":"L.F.M."}],"accessed":{"date-parts":[["2025",3,27]]},"issued":{"date-parts":[["2011",4]]}}}],"schema":"https://github.com/citation-style-language/schema/raw/master/csl-citation.json"} </w:instrText>
      </w:r>
      <w:r>
        <w:rPr>
          <w:rFonts w:ascii="Arial" w:hAnsi="Arial" w:cs="Arial"/>
          <w:sz w:val="24"/>
          <w:szCs w:val="24"/>
          <w:lang w:val="es-ES"/>
        </w:rPr>
        <w:fldChar w:fldCharType="separate"/>
      </w:r>
      <w:r>
        <w:rPr>
          <w:rFonts w:ascii="Arial" w:hAnsi="Arial" w:cs="Arial"/>
          <w:sz w:val="24"/>
          <w:lang w:val="es-ES"/>
        </w:rPr>
        <w:t>(Marcelis, 2011)</w:t>
      </w:r>
      <w:r>
        <w:rPr>
          <w:rFonts w:ascii="Arial" w:hAnsi="Arial" w:cs="Arial"/>
          <w:sz w:val="24"/>
          <w:szCs w:val="24"/>
          <w:lang w:val="es-ES"/>
        </w:rPr>
        <w:fldChar w:fldCharType="end"/>
      </w:r>
      <w:r>
        <w:rPr>
          <w:rFonts w:ascii="Arial" w:hAnsi="Arial" w:cs="Arial"/>
          <w:sz w:val="24"/>
          <w:szCs w:val="24"/>
          <w:lang w:val="es-ES"/>
        </w:rPr>
        <w:t xml:space="preserve">. </w:t>
      </w:r>
    </w:p>
    <w:p w14:paraId="09A41358" w14:textId="15B37122" w:rsidR="008403BD" w:rsidRDefault="007D49D9">
      <w:pPr>
        <w:spacing w:line="360" w:lineRule="auto"/>
        <w:jc w:val="both"/>
        <w:rPr>
          <w:rFonts w:ascii="Arial" w:hAnsi="Arial" w:cs="Arial"/>
          <w:sz w:val="24"/>
          <w:szCs w:val="24"/>
          <w:lang w:val="es-ES"/>
        </w:rPr>
      </w:pPr>
      <w:r>
        <w:rPr>
          <w:rFonts w:ascii="Arial" w:hAnsi="Arial" w:cs="Arial"/>
          <w:sz w:val="24"/>
          <w:szCs w:val="24"/>
          <w:lang w:val="es-ES"/>
        </w:rPr>
        <w:t xml:space="preserve">Los modelos de simulación de cultivos (MSC) se han utilizado en sistemas de apoyo a la toma de decisiones, en el control del clima y la </w:t>
      </w:r>
      <w:proofErr w:type="spellStart"/>
      <w:r>
        <w:rPr>
          <w:rFonts w:ascii="Arial" w:hAnsi="Arial" w:cs="Arial"/>
          <w:sz w:val="24"/>
          <w:szCs w:val="24"/>
          <w:lang w:val="es-ES"/>
        </w:rPr>
        <w:t>fertirrigación</w:t>
      </w:r>
      <w:proofErr w:type="spellEnd"/>
      <w:r>
        <w:rPr>
          <w:rFonts w:ascii="Arial" w:hAnsi="Arial" w:cs="Arial"/>
          <w:sz w:val="24"/>
          <w:szCs w:val="24"/>
          <w:lang w:val="es-ES"/>
        </w:rPr>
        <w:t xml:space="preserve"> de invernaderos y en la predicción y planificación de la producción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{"citationID":"AWP8KlJg","properties":{"custom":"(Saqib {\\i{}et al}., 2020)","formattedCitation":"(Saqib {\\i{}et al}., 2020)","plainCitation":"(Saqib et al., 2020)","noteIndex":0},"citationItems":[{"id":846,"uris":["http://zotero.org/users/12642312/items/8AU6LV6P"],"itemData":{"id":846,"type":"article-journal","language":"en","source":"Zotero","title":"Integrating Novel Deep Neural Networks on the Analysis of Fractional Epidemiological Models in both Populations with Disease Infection","author":[{"family":"Saqib","given":"Sana Ullah"},{"family":"Anjum","given":"Muhammad Wajahat"},{"family":"Hasan","given":"Ali"},{"family":"Qasmi","given":"M Hakam Ali"}],"issued":{"date-parts":[["2020"]]}}}],"schema":"https://github.com/citation-style-language/schema/raw/master/csl-citation.json"}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(Saqib </w:t>
      </w:r>
      <w:r>
        <w:rPr>
          <w:rFonts w:ascii="Arial" w:hAnsi="Arial" w:cs="Arial"/>
          <w:i/>
          <w:iCs/>
          <w:sz w:val="24"/>
          <w:szCs w:val="24"/>
          <w:lang w:val="es-ES"/>
        </w:rPr>
        <w:t>et al</w:t>
      </w:r>
      <w:r>
        <w:rPr>
          <w:rFonts w:ascii="Arial" w:hAnsi="Arial" w:cs="Arial"/>
          <w:sz w:val="24"/>
          <w:szCs w:val="24"/>
          <w:lang w:val="es-ES"/>
        </w:rPr>
        <w:t>., 2020)</w:t>
      </w:r>
      <w:r>
        <w:rPr>
          <w:rFonts w:ascii="Arial" w:hAnsi="Arial" w:cs="Arial"/>
          <w:sz w:val="24"/>
          <w:szCs w:val="24"/>
          <w:lang w:val="es-ES"/>
        </w:rPr>
        <w:fldChar w:fldCharType="end"/>
      </w:r>
      <w:r>
        <w:rPr>
          <w:rFonts w:ascii="Arial" w:hAnsi="Arial" w:cs="Arial"/>
          <w:sz w:val="24"/>
          <w:szCs w:val="24"/>
          <w:lang w:val="es-ES"/>
        </w:rPr>
        <w:t xml:space="preserve">. El uso de modelos de simulación de cultivos en agricultura comenzó con el desarrollo del primer modelo de cultivos en la Universidad de </w:t>
      </w:r>
      <w:proofErr w:type="spellStart"/>
      <w:r>
        <w:rPr>
          <w:rFonts w:ascii="Arial" w:hAnsi="Arial" w:cs="Arial"/>
          <w:sz w:val="24"/>
          <w:szCs w:val="24"/>
          <w:lang w:val="es-ES"/>
        </w:rPr>
        <w:t>Wageningen</w:t>
      </w:r>
      <w:proofErr w:type="spellEnd"/>
      <w:r>
        <w:rPr>
          <w:rFonts w:ascii="Arial" w:hAnsi="Arial" w:cs="Arial"/>
          <w:sz w:val="24"/>
          <w:szCs w:val="24"/>
          <w:lang w:val="es-ES"/>
        </w:rPr>
        <w:t xml:space="preserve">, Holanda. Su auge fue en la década de 1960 con el desarrollo de modelos importantes, como los de las series CERES y CROPGRO </w:t>
      </w:r>
      <w:r>
        <w:rPr>
          <w:rFonts w:ascii="Arial" w:hAnsi="Arial" w:cs="Arial"/>
          <w:sz w:val="24"/>
          <w:szCs w:val="24"/>
          <w:lang w:val="es-ES"/>
        </w:rPr>
        <w:fldChar w:fldCharType="begin"/>
      </w:r>
      <w:r w:rsidR="003B3459">
        <w:rPr>
          <w:rFonts w:ascii="Arial" w:hAnsi="Arial" w:cs="Arial"/>
          <w:sz w:val="24"/>
          <w:szCs w:val="24"/>
          <w:lang w:val="es-ES"/>
        </w:rPr>
        <w:instrText xml:space="preserve"> ADDIN ZOTERO_ITEM CSL_CITATION {"citationID":"Dz69nJ02","properties":{"custom":"(Zhang {\\i{}et al}., 2002; Saqib {\\i{}et al}., 2020; Boote {\\i{}et al}., 2021)","unsorted":true,"formattedCitation":"(Zhang {\\i{}et al}., 2002; Saqib {\\i{}et al}., 2020; Boote {\\i{}et al}., 2021)","plainCitation":"(Zhang et al., 2002; Saqib et al., 2020; Boote et al., 2021)","noteIndex":0},"citationItems":[{"id":874,"uris":["http://zotero.org/users/12642312/items/JBYG2GIP"],"itemData":{"id":874,"type":"article-journal","abstract":"Predicting impacts of climate change or alternative management on both food production and environment safety in agroecosystems is drawing great attention in the scientiﬁc community. Most of the existing agroecosystem models emphasize either crop growth or soil processes. This paper reports the latest development of an agroecosystem model (Crop-DNDC) by integrating detailed crop growth algorithms with an existing soil biogeochemical model, DNDC (Li et al., J. Geophys. Res. (1992) 9759). In the Crop-DNDC model, crop growth is simulated not only by tracking crop physiological processes (phenology, leaf area index, photosynthesis, respiration, assimilate allocation, rooting processes and nitrogen uptake), but also by calculating water stress and nitrogen stress, which were closely related to soil biogeochemical processes and hydraulic dynamics. Crop-DNDC also quantiﬁes crop residue incorporated in the soil at the end of each growing season. Thus the model has tightly coupled crop growth algorithms with soil biogeochemical components, and simulates carbon, nitrogen and water cycles in agroecosystems with a relatively complete scope. The model was validated against ﬁeld measurements, including soil moisture, leaf area index, crop biomass and nitrogen content, and the modeled results were in agreement with observations on soil carbon dynamics and trace gas emissions as well. Sensitivity tests demonstrated that the modeled results in crop yield, soil carbon dynamics and trace gas emissions were sensitive to climate conditions, atmospheric CO2 concentration and various farming practices. There are potentials of applying the model for simultaneously predicting effects of changes in climate or management on crop yield, soil carbon sequestration and trace gas emissions. © 2002 Elsevier Science B.V. All rights reserved.","container-title":"Ecological Modelling","DOI":"10.1016/S0304-3800(01)00527-0","ISSN":"03043800","issue":"1","journalAbbreviation":"Ecological Modelling","language":"en","license":"https://www.elsevier.com/tdm/userlicense/1.0/","page":"75-108","source":"DOI.org (Crossref)","title":"A simulation model linking crop growth and soil biogeochemistry for sustainable agriculture","URL":"https://linkinghub.elsevier.com/retrieve/pii/S0304380001005270","volume":"151","author":[{"family":"Zhang","given":"Yu"},{"family":"Li","given":"Changsheng"},{"family":"Zhou","given":"Xiuji"},{"family":"Moore","given":"Berrien"}],"accessed":{"date-parts":[["2025",3,26]]},"issued":{"date-parts":[["2002",5]]}},"label":"page"},{"id":846,"uris":["http://zotero.org/users/12642312/items/8AU6LV6P"],"itemData":{"id":846,"type":"article-journal","language":"en","source":"Zotero","title":"Integrating Novel Deep Neural Networks on the Analysis of Fractional Epidemiological Models in both Populations with Disease Infection","author":[{"family":"Saqib","given":"Sana Ullah"},{"family":"Anjum","given":"Muhammad Wajahat"},{"family":"Hasan","given":"Ali"},{"family":"Qasmi","given":"M Hakam Ali"}],"issued":{"date-parts":[["2020"]]}},"label":"page"},{"id":643,"uris":["http://zotero.org/users/12642312/items/39Z8AHQ3"],"itemData":{"id":643,"type":"article-journal","abstract":"Carinata (Brassica carinata) is an oilseed crop which, because of its non-edible oil composition and favorable fatty acid profile, is proposed as a “green” sustainable aviation fuel. It can be grown as a winter crop in the southeastern USA or as a summer annual crop in northern latitudes. No crop models exist for carinata because it is a relatively new crop. The CROPGRO model is a mechanistic crop simulation of daily crop growth and development as a function of daily weather, soil properties, crop management, and species parameters. We adapted the CROPGRO model to simulate carinata based on growth analysis data collected over two seasons at three sites: Quincy, FL, Jay, FL, and Shorter, AL. The adaptation process required literature knowledge as well as optimization against field observations. The parameterization of model sensitivities to climatic factors is presented. The adapted model gave good simulations of carinata growth dynamics compared to observed growth during different seasons and locations and in response to N fertilization. While additional testing is appropriate, the model is sufficiently ready to be used for various applications. An example application is presented for the effect of sowing date on carinata yield and maturity over long-term weather in the Southeastern USA.","container-title":"GCB Bioenergy","DOI":"10.1111/gcbb.12838","ISSN":"1757-</w:instrText>
      </w:r>
      <w:r w:rsidR="003B3459">
        <w:rPr>
          <w:rFonts w:ascii="Arial" w:hAnsi="Arial" w:cs="Arial" w:hint="eastAsia"/>
          <w:sz w:val="24"/>
          <w:szCs w:val="24"/>
          <w:lang w:val="es-ES"/>
        </w:rPr>
        <w:instrText>1693, 1757-1707","issue":"7","journalAbbreviation":"GCB Bioenergy","language":"en","page":"1134-1148","source":"DOI.org (Crossref)","title":"Adapting the CROPGRO model to simulate growth and production of &lt;i&gt;Brassica carinata&lt;/i&gt; , a bio</w:instrText>
      </w:r>
      <w:r w:rsidR="003B3459">
        <w:rPr>
          <w:rFonts w:ascii="Arial" w:hAnsi="Arial" w:cs="Arial" w:hint="eastAsia"/>
          <w:sz w:val="24"/>
          <w:szCs w:val="24"/>
          <w:lang w:val="es-ES"/>
        </w:rPr>
        <w:instrText>‐</w:instrText>
      </w:r>
      <w:r w:rsidR="003B3459">
        <w:rPr>
          <w:rFonts w:ascii="Arial" w:hAnsi="Arial" w:cs="Arial" w:hint="eastAsia"/>
          <w:sz w:val="24"/>
          <w:szCs w:val="24"/>
          <w:lang w:val="es-ES"/>
        </w:rPr>
        <w:instrText>fuel crop","URL":</w:instrText>
      </w:r>
      <w:r w:rsidR="003B3459">
        <w:rPr>
          <w:rFonts w:ascii="Arial" w:hAnsi="Arial" w:cs="Arial"/>
          <w:sz w:val="24"/>
          <w:szCs w:val="24"/>
          <w:lang w:val="es-ES"/>
        </w:rPr>
        <w:instrText xml:space="preserve">"https://onlinelibrary.wiley.com/doi/10.1111/gcbb.12838","volume":"13","author":[{"family":"Boote","given":"Kenneth J."},{"family":"Seepaul","given":"Ramdeo"},{"family":"Mulvaney","given":"Michael J."},{"family":"Hagan","given":"Austin K."},{"family":"Bashyal","given":"Mahesh"},{"family":"George","given":"Sheeja"},{"family":"Small","given":"Ian"},{"family":"Wright","given":"David L."}],"accessed":{"date-parts":[["2025",3,12]]},"issued":{"date-parts":[["2021",7]]}},"label":"page"}],"schema":"https://github.com/citation-style-language/schema/raw/master/csl-citation.json"} </w:instrText>
      </w:r>
      <w:r>
        <w:rPr>
          <w:rFonts w:ascii="Arial" w:hAnsi="Arial" w:cs="Arial"/>
          <w:sz w:val="24"/>
          <w:szCs w:val="24"/>
          <w:lang w:val="es-ES"/>
        </w:rPr>
        <w:fldChar w:fldCharType="separate"/>
      </w:r>
      <w:r w:rsidR="003B3459" w:rsidRPr="008316DA">
        <w:rPr>
          <w:rFonts w:ascii="Arial" w:hAnsi="Arial" w:cs="Arial"/>
          <w:sz w:val="24"/>
          <w:szCs w:val="24"/>
          <w:lang w:val="es-ES"/>
        </w:rPr>
        <w:t xml:space="preserve">(Zhang </w:t>
      </w:r>
      <w:r w:rsidR="003B3459" w:rsidRPr="008316DA">
        <w:rPr>
          <w:rFonts w:ascii="Arial" w:hAnsi="Arial" w:cs="Arial"/>
          <w:i/>
          <w:iCs/>
          <w:sz w:val="24"/>
          <w:szCs w:val="24"/>
          <w:lang w:val="es-ES"/>
        </w:rPr>
        <w:t>et al</w:t>
      </w:r>
      <w:r w:rsidR="003B3459" w:rsidRPr="008316DA">
        <w:rPr>
          <w:rFonts w:ascii="Arial" w:hAnsi="Arial" w:cs="Arial"/>
          <w:sz w:val="24"/>
          <w:szCs w:val="24"/>
          <w:lang w:val="es-ES"/>
        </w:rPr>
        <w:t xml:space="preserve">., 2002; Saqib </w:t>
      </w:r>
      <w:r w:rsidR="003B3459" w:rsidRPr="008316DA">
        <w:rPr>
          <w:rFonts w:ascii="Arial" w:hAnsi="Arial" w:cs="Arial"/>
          <w:i/>
          <w:iCs/>
          <w:sz w:val="24"/>
          <w:szCs w:val="24"/>
          <w:lang w:val="es-ES"/>
        </w:rPr>
        <w:t>et al</w:t>
      </w:r>
      <w:r w:rsidR="003B3459" w:rsidRPr="008316DA">
        <w:rPr>
          <w:rFonts w:ascii="Arial" w:hAnsi="Arial" w:cs="Arial"/>
          <w:sz w:val="24"/>
          <w:szCs w:val="24"/>
          <w:lang w:val="es-ES"/>
        </w:rPr>
        <w:t xml:space="preserve">., 2020; Boote </w:t>
      </w:r>
      <w:r w:rsidR="003B3459" w:rsidRPr="008316DA">
        <w:rPr>
          <w:rFonts w:ascii="Arial" w:hAnsi="Arial" w:cs="Arial"/>
          <w:i/>
          <w:iCs/>
          <w:sz w:val="24"/>
          <w:szCs w:val="24"/>
          <w:lang w:val="es-ES"/>
        </w:rPr>
        <w:t>et al</w:t>
      </w:r>
      <w:r w:rsidR="003B3459" w:rsidRPr="008316DA">
        <w:rPr>
          <w:rFonts w:ascii="Arial" w:hAnsi="Arial" w:cs="Arial"/>
          <w:sz w:val="24"/>
          <w:szCs w:val="24"/>
          <w:lang w:val="es-ES"/>
        </w:rPr>
        <w:t>., 2021)</w:t>
      </w:r>
      <w:r>
        <w:rPr>
          <w:rFonts w:ascii="Arial" w:hAnsi="Arial" w:cs="Arial"/>
          <w:sz w:val="24"/>
          <w:szCs w:val="24"/>
          <w:lang w:val="es-ES"/>
        </w:rPr>
        <w:fldChar w:fldCharType="end"/>
      </w:r>
      <w:r>
        <w:rPr>
          <w:rFonts w:ascii="Arial" w:hAnsi="Arial" w:cs="Arial"/>
          <w:sz w:val="24"/>
          <w:szCs w:val="24"/>
          <w:lang w:val="es-ES"/>
        </w:rPr>
        <w:t xml:space="preserve">. Desde entonces, diversos grupos de investigación en los Países Bajos, EE.UU., Australia y China han desarrollado con éxito más de 200 modelos de cultivos </w:t>
      </w:r>
      <w:r>
        <w:rPr>
          <w:rFonts w:ascii="Arial" w:hAnsi="Arial" w:cs="Arial"/>
          <w:sz w:val="24"/>
          <w:szCs w:val="24"/>
          <w:lang w:val="es-ES"/>
        </w:rPr>
        <w:fldChar w:fldCharType="begin"/>
      </w:r>
      <w:r w:rsidR="008316DA">
        <w:rPr>
          <w:rFonts w:ascii="Arial" w:hAnsi="Arial" w:cs="Arial"/>
          <w:sz w:val="24"/>
          <w:szCs w:val="24"/>
          <w:lang w:val="es-ES"/>
        </w:rPr>
        <w:instrText xml:space="preserve"> ADDIN ZOTERO_ITEM CSL_CITATION {"citationID":"5CBZb8Ez","properties":{"custom":"(Das &amp; Sharma, 2020; Saqib {\\i{}et al}., 2020; Grancharova {\\i{}et al}., 2022; Zhou {\\i{}et al}., 2022; Phuoc {\\i{}et al}., 2023)","unsorted":true,"formattedCitation":"(Das &amp; Sharma, 2020; Saqib {\\i{}et al}., 2020; Grancharova {\\i{}et al}., 2022; Zhou {\\i{}et al}., 2022; Phuoc {\\i{}et al}., 2023)","plainCitation":"(Das &amp; Sharma, 2020; Saqib et al., 2020; Grancharova et al., 2022; Zhou et al., 2022; Phuoc et al., 2023)","noteIndex":0},"citationItems":[{"id":1004,"uris":["http://zotero.org/users/12642312/items/QZ3SQEZT"],"itemData":{"id":1004,"type":"article-journal","abstract":"Plant production systems are governed by site management and by biotic and abiotic factors. Studying and understanding the tree growth and development of fruit crops is a difficult endeavour. Crop models have long been powerful tools in unravelling physiological mechanisms that determine crop yield in relation to the environment. Models are used to estimate seasonal changes in quality traits as fruit size, dry matter, water content and the concentration of sugars and acids, which are very important for flavor and aroma. Different types of models are available which vary in parameters and precision. Use of crop models in fruit crops is relatively new. Available literature on fruit crop modelling has been reviewed here.","container-title":"The Pharma Innovation Journal","ISSN":"2277-7695","issue":"11","journalAbbreviation":"Pharma Innovation","language":"en","note":"publisher: AkiNik Publications","page":"60-65","source":"www.thepharmajournal.com","title":"Crop modelling in fruit crops: A review","title-short":"Crop modelling in fruit crops","URL":"https://www.thepharmajournal.com/archives/?year=2020&amp;vol=9&amp;issue=11&amp;ArticleId=5306","volume":"9","author":[{"family":"Das","given":"Susmita"},{"family":"Sharma","given":"Arti"}],"accessed":{"date-parts":[["2025",3,27]]},"issued":{"date-parts":[["2020"]]}},"label":"page"},{"id":846,"uris":["http://zotero.org/users/12642312/items/8AU6LV6P"],"itemData":{"id":846,"type":"article-journal","language":"en","source":"Zotero","title":"Integrating Novel Deep Neural Networks on the Analysis of Fractional Epidemiological Models in both Populations with Disease Infection","author":[{"family":"Saqib","given":"Sana Ullah"},{"family":"Anjum","given":"Muhammad Wajahat"},{"family":"Hasan","given":"Ali"},{"family":"Qasmi","given":"M Hakam Ali"}],"issued":{"date-parts":[["2020"]]}},"label":"page"},{"id":633,"uris":["http://zotero.org/users/12642312/items/2YWRCWAV"],"itemData":{"id":633,"type":"article-journal","abstract":"Emerging climate changes and rapidly growing demand for food are creating preconditions for making water an increasingly valuable resource and irrigation management assumed greater importance and increasingly responsible essential role. This study uses CROPWAT 8.0 model by FAO to predict and simulate crop water requirements for greenhouse tomato production in Chelopechene experimental field of the Institute of soil science, agrotechnologies and plant protection in Sofia, Bulgaria. The main input data are climatic data, crop data and soil data. The simulation results analysis suggests that an actual irrigation requirement of tomato is 489.5 mm. This study has proved that decision support tools like CROPWAT 8.0 are useful for irrigation planning and management and could be used by farmers to determine irrigation requirement and frequency, as well as contribute to saving water resources.","issue":"7","language":"en","source":"Zotero","title":"QUANTITATIVE PREDICTION OF TOMATO IRRIGATION NEEDS USING CROPWAT MODEL","volume":"76","author":[{"family":"Grancharova","given":"Elena"},{"family":"Elenov","given":"Blagoj"},{"family":"Janevska","given":"Emilija"}],"issued":{"date-parts":[["2022"]]}},"label":"page"},{"id":632,"uris":["http://zotero.org/users/12642312/items/XIRX6DBR"],"itemData":{"id":632,"type":"article-journal","abstract":"In order to estimate the adaptability of Agricultural Production Systems Simulator (APSIM)-Maize model under the special climate environment in tropic, 10 field experiments were conducted at different seasons in three sites (Longchuan, Mangshi and Ruili) of tropic in Yunnan Province, China. The parameters of APSIM model were calibrated and its adaptability was validated. The results showed that the days from sowing to flowering and sowing to maturity were predicted accurately for all sites with mean errors of 2.0 ± 0.4, and 3.2 ± 0.7 d respectively. The normalized root mean square errors (NRMSE) of the model for yield prediction were 2%, 3% and 5% for each of three sites, respectively, which indicated that the APSIM model had good accuracy and sensitivity in predicting phenological phases and yield of maize (Zea mays L.) grown in different seasons, and the model had good adaptability in the tropic of Southwest China. This study provided the basis and technical support for evaluating maize production potential based on the model.","container-title":"Chilean journal of agricultural research","DOI":"10.4067/S0718-58392022000400586","ISSN":"0718-5839","issue":"4","journalAbbreviation":"Chil. j. agric. res.","language":"en","page":"586-594","source":"DOI.org (Crossref)","title":"Calibration and validation of APSIM for maize grown in different seasons in Southwest tropic of China","URL":"http://www.scielo.cl/scielo.php?script=sci_arttext&amp;pid=S0718-58392022000400586&amp;lng=en&amp;nrm=iso&amp;tlng=en","volume":"82","author":[{"family":"Zhou","given":"Jie"},{"family":"Li","given":"Wenfeng"},{"family":"Xiao","given":"Weihua"},{"family":"Chen","given":"Yang"},{"family":"Chang","given":"Xinxia"}],"accessed":{"date-parts":[["2025",3,12]]},"issued":{"date-parts":[["2022",12]]}},"label":"page"},{"id":631,"uris":["http://zotero.org/users/12642312/items/I77XCMEQ"],"itemData":{"id":631,"type":"article-journal","abstract":"Modeling science has been applied by many advanced countries in many fields, such as geology, meteorology, climate change, crop productivity, environment, erosion, and landslide. The crop model simulates the processes of agriculture. The writing of this article is descriptive qualitative using the Systematic Literature Review (SLR) method. So far, each model has its advantages and disadvantages but generally is based on the physiology of the growth and development of crops in relationship with soil, climate, solar radiation energy, and limiting factors to plant growth. There have been many models for rice that can forecast yield and biomass or predict future climate change dynamics. Meanwhile, many models such as DSSAT, AquaCrop, Oryza, APSIM, EPIC need more data to operate their modeling, which in many cases, data is not readily available. In this review, we would like to introduce the model “SIMPLE” which includes only thirteen parameters and four of which describe cultivar characteristics. Another advantage of “SIMPLE” is that it can be adapted for many crop species and added variable modules such as nutrient dynamics, water stress, temperature stress, or pests. It is entirely open source based on R programming, but limitations still exist that have been mentioned in the review.","container-title":"Journal of Applied Agricultural Science and Technology","DOI":"10.55043/jaast.v7i3.123","ISSN":"2621-2528, 2621-4709","issue":"3","journalAbbreviation":"J. appl. agricultural sci. technol.","language":"en","license":"https://creativecommons.org/licenses/by-sa/4.0","page":"197-216","source":"DOI.org (Crossref)","title":"Literature Review Crop Modeling and Introduction a Simple Crop Model","URL":"https://www.jaast.org/index.php/jaast/article/view/123","volume":"7","author":[{"family":"Phuoc","given":"Le Huu"},{"family":"Suliansyah","given":"Irfan"},{"family":"Arlius","given":"Feri"},{"family":"Chaniago","given":"Irawati"},{"family":"Xuan","given":"Nguyen Thi Thanh"},{"family":"Quang","given":"Pham Van"}],"accessed":{"date-parts":[["2025",3,12]]},"issued":{"date-parts":[["2023",8,25]]}},"label":"page"}],"schema":"https://github.com/citation-style-language/schema/raw/master/csl-citation.json"} </w:instrText>
      </w:r>
      <w:r>
        <w:rPr>
          <w:rFonts w:ascii="Arial" w:hAnsi="Arial" w:cs="Arial"/>
          <w:sz w:val="24"/>
          <w:szCs w:val="24"/>
          <w:lang w:val="es-ES"/>
        </w:rPr>
        <w:fldChar w:fldCharType="separate"/>
      </w:r>
      <w:r w:rsidR="008316DA" w:rsidRPr="008316DA">
        <w:rPr>
          <w:rFonts w:ascii="Arial" w:hAnsi="Arial" w:cs="Arial"/>
          <w:sz w:val="24"/>
          <w:szCs w:val="24"/>
          <w:lang w:val="es-ES"/>
        </w:rPr>
        <w:t xml:space="preserve">(Das &amp; Sharma, 2020; Saqib </w:t>
      </w:r>
      <w:r w:rsidR="008316DA" w:rsidRPr="008316DA">
        <w:rPr>
          <w:rFonts w:ascii="Arial" w:hAnsi="Arial" w:cs="Arial"/>
          <w:i/>
          <w:iCs/>
          <w:sz w:val="24"/>
          <w:szCs w:val="24"/>
          <w:lang w:val="es-ES"/>
        </w:rPr>
        <w:t>et al</w:t>
      </w:r>
      <w:r w:rsidR="008316DA" w:rsidRPr="008316DA">
        <w:rPr>
          <w:rFonts w:ascii="Arial" w:hAnsi="Arial" w:cs="Arial"/>
          <w:sz w:val="24"/>
          <w:szCs w:val="24"/>
          <w:lang w:val="es-ES"/>
        </w:rPr>
        <w:t xml:space="preserve">., 2020; Grancharova </w:t>
      </w:r>
      <w:r w:rsidR="008316DA" w:rsidRPr="008316DA">
        <w:rPr>
          <w:rFonts w:ascii="Arial" w:hAnsi="Arial" w:cs="Arial"/>
          <w:i/>
          <w:iCs/>
          <w:sz w:val="24"/>
          <w:szCs w:val="24"/>
          <w:lang w:val="es-ES"/>
        </w:rPr>
        <w:t>et al</w:t>
      </w:r>
      <w:r w:rsidR="008316DA" w:rsidRPr="008316DA">
        <w:rPr>
          <w:rFonts w:ascii="Arial" w:hAnsi="Arial" w:cs="Arial"/>
          <w:sz w:val="24"/>
          <w:szCs w:val="24"/>
          <w:lang w:val="es-ES"/>
        </w:rPr>
        <w:t xml:space="preserve">., 2022; Zhou </w:t>
      </w:r>
      <w:r w:rsidR="008316DA" w:rsidRPr="008316DA">
        <w:rPr>
          <w:rFonts w:ascii="Arial" w:hAnsi="Arial" w:cs="Arial"/>
          <w:i/>
          <w:iCs/>
          <w:sz w:val="24"/>
          <w:szCs w:val="24"/>
          <w:lang w:val="es-ES"/>
        </w:rPr>
        <w:t>et al</w:t>
      </w:r>
      <w:r w:rsidR="008316DA" w:rsidRPr="008316DA">
        <w:rPr>
          <w:rFonts w:ascii="Arial" w:hAnsi="Arial" w:cs="Arial"/>
          <w:sz w:val="24"/>
          <w:szCs w:val="24"/>
          <w:lang w:val="es-ES"/>
        </w:rPr>
        <w:t xml:space="preserve">., 2022; Phuoc </w:t>
      </w:r>
      <w:r w:rsidR="008316DA" w:rsidRPr="008316DA">
        <w:rPr>
          <w:rFonts w:ascii="Arial" w:hAnsi="Arial" w:cs="Arial"/>
          <w:i/>
          <w:iCs/>
          <w:sz w:val="24"/>
          <w:szCs w:val="24"/>
          <w:lang w:val="es-ES"/>
        </w:rPr>
        <w:t>et al</w:t>
      </w:r>
      <w:r w:rsidR="008316DA" w:rsidRPr="008316DA">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 xml:space="preserve">. </w:t>
      </w:r>
    </w:p>
    <w:p w14:paraId="7686BC35"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Los modelos son una alternativa a la investigación tradicional que se basa en experimentos de campo y por ende tiene un alto costo de inversión en infraestructura, equipo, mano de obra y tiempo. Ellos muestran una representación virtual simplificada de los procesos que ocurren en un sistema real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{"citationID":"URpT99g7","properties":{"custom":"(Yang {\\i{}et al}., 2014)","formattedCitation":"(Yang {\\i{}et al}., 2014)","plainCitation":"(Yang et al., 2014)","noteIndex":0},"citationItems":[{"id":855,"uris":["http://zotero.org/users/12642312/items/CNBD9J7Z"],"itemData":{"id":855,"type":"article-journal","abstract":"Calibration and evaluation are two important steps prior to the application of a crop simulation model. The objective of this paper was to review common statistical methods that are being used for crop model calibration and evaluation. A group of deviation statistics were reviewed, including root mean squired error (RMSE), normalize-RMSE (nRMSE), mean absolute error (MAE), mean error (E), paired-t, index of agreement (d), modified index of agreement (d1), revised index of agreement (d1′), modeling efficiency (EF) and revised modeling efficiency (EF1). A case study of the statistical evaluation was conducted for the DSSAT Cropping System Model (CSM) using 10 experimental datasets for maize, peanut, soybean, wheat and potato from Brazil, China, Ghana, and the USA. The results indicated that R2 was not a good statistic for model evaluation because it is insensitive to regression coefficients (α and β) of the linear model y=α+βx+ε. However, linear regression can be used for model evaluation (test H0: α=0, β=1) if auto-correlation, normality and heteroskedasticaity of the error term (ε) are tested or the proper data transfers are made. The results also illustrated that statistical evaluation of total dataset across treatments might be insufficient. Hence the evaluation of each treatment is necessary to make the right conclusion, especially when evaluating soil water content under different planting date treatments and soil mineral N under different N treatments. Co-variability analysis among dimensionless statistics (d, d1, d1′, EF and EF1) recommended that d and EF are inflated by the sum of squares-based deviations, i.e., the larger deviations contribute more weight on the statistic than the smaller deviation due to the squared term. However, EF had a larger range and a clear physical meaning at EF=0, making it superior to d. Values of d=0.75 were obtained from regression with all positive values of EF (EF</w:instrText>
      </w:r>
      <w:r>
        <w:rPr>
          <w:rFonts w:ascii="Cambria Math" w:hAnsi="Cambria Math" w:cs="Cambria Math"/>
          <w:sz w:val="24"/>
          <w:szCs w:val="24"/>
          <w:lang w:val="es-ES"/>
        </w:rPr>
        <w:instrText>⩾</w:instrText>
      </w:r>
      <w:r>
        <w:rPr>
          <w:rFonts w:ascii="Arial" w:hAnsi="Arial" w:cs="Arial"/>
          <w:sz w:val="24"/>
          <w:szCs w:val="24"/>
          <w:lang w:val="es-ES"/>
        </w:rPr>
        <w:instrText>0), indicating that values of d</w:instrText>
      </w:r>
      <w:r>
        <w:rPr>
          <w:rFonts w:ascii="Cambria Math" w:hAnsi="Cambria Math" w:cs="Cambria Math"/>
          <w:sz w:val="24"/>
          <w:szCs w:val="24"/>
          <w:lang w:val="es-ES"/>
        </w:rPr>
        <w:instrText>⩾</w:instrText>
      </w:r>
      <w:r>
        <w:rPr>
          <w:rFonts w:ascii="Arial" w:hAnsi="Arial" w:cs="Arial"/>
          <w:sz w:val="24"/>
          <w:szCs w:val="24"/>
          <w:lang w:val="es-ES"/>
        </w:rPr>
        <w:instrText>0.75 and EF</w:instrText>
      </w:r>
      <w:r>
        <w:rPr>
          <w:rFonts w:ascii="Cambria Math" w:hAnsi="Cambria Math" w:cs="Cambria Math"/>
          <w:sz w:val="24"/>
          <w:szCs w:val="24"/>
          <w:lang w:val="es-ES"/>
        </w:rPr>
        <w:instrText>⩾</w:instrText>
      </w:r>
      <w:r>
        <w:rPr>
          <w:rFonts w:ascii="Arial" w:hAnsi="Arial" w:cs="Arial"/>
          <w:sz w:val="24"/>
          <w:szCs w:val="24"/>
          <w:lang w:val="es-ES"/>
        </w:rPr>
        <w:instrText>0 should be the minimum values for plant growth evaluation. Values of d</w:instrText>
      </w:r>
      <w:r>
        <w:rPr>
          <w:rFonts w:ascii="Cambria Math" w:hAnsi="Cambria Math" w:cs="Cambria Math"/>
          <w:sz w:val="24"/>
          <w:szCs w:val="24"/>
          <w:lang w:val="es-ES"/>
        </w:rPr>
        <w:instrText>⩾</w:instrText>
      </w:r>
      <w:r>
        <w:rPr>
          <w:rFonts w:ascii="Arial" w:hAnsi="Arial" w:cs="Arial"/>
          <w:sz w:val="24"/>
          <w:szCs w:val="24"/>
          <w:lang w:val="es-ES"/>
        </w:rPr>
        <w:instrText>0.60 and EF</w:instrText>
      </w:r>
      <w:r>
        <w:rPr>
          <w:rFonts w:ascii="Cambria Math" w:hAnsi="Cambria Math" w:cs="Cambria Math"/>
          <w:sz w:val="24"/>
          <w:szCs w:val="24"/>
          <w:lang w:val="es-ES"/>
        </w:rPr>
        <w:instrText>⩾</w:instrText>
      </w:r>
      <w:r>
        <w:rPr>
          <w:rFonts w:ascii="Arial" w:hAnsi="Arial" w:cs="Arial"/>
          <w:sz w:val="24"/>
          <w:szCs w:val="24"/>
          <w:lang w:val="es-ES"/>
        </w:rPr>
        <w:instrText xml:space="preserve">−1.0 should be the minimum values for soil outputs evaluation combined with t-test due to the fact that the soil parameters in the DSSAT SOIL module are difficult to calibrate compared with plant growth parameters because of no sufficient observed soil dataset. Due to the statistical nature, no single statistic is more robust over others but some statistics are highly correlated. Therefore, several statistics may be used from each of the following correlated groups (RMSE, MAE), (E, t-test), (d, d1, d1′) and (EF, EF1) in one assessment of model evaluation so that a representative statistical conclusion can be obtained with respect to model performance.","container-title":"Agricultural Systems","DOI":"10.1016/j.agsy.2014.01.008","ISSN":"0308-521X","journalAbbreviation":"Agricultural Systems","page":"81-89","source":"ScienceDirect","title":"An evaluation of the statistical methods for testing the performance of crop models with observed data","URL":"https://www.sciencedirect.com/science/article/pii/S0308521X14000171","volume":"127","author":[{"family":"Yang","given":"J. M."},{"family":"Yang","given":"J. Y."},{"family":"Liu","given":"S."},{"family":"Hoogenboom","given":"G."}],"accessed":{"date-parts":[["2025",3,25]]},"issued":{"date-parts":[["2014",5,1]]}}}],"schema":"https://github.com/citation-style-language/schema/raw/master/csl-citation.json"}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(Yang </w:t>
      </w:r>
      <w:r>
        <w:rPr>
          <w:rFonts w:ascii="Arial" w:hAnsi="Arial" w:cs="Arial"/>
          <w:i/>
          <w:iCs/>
          <w:sz w:val="24"/>
          <w:szCs w:val="24"/>
          <w:lang w:val="es-ES"/>
        </w:rPr>
        <w:t>et al</w:t>
      </w:r>
      <w:r>
        <w:rPr>
          <w:rFonts w:ascii="Arial" w:hAnsi="Arial" w:cs="Arial"/>
          <w:sz w:val="24"/>
          <w:szCs w:val="24"/>
          <w:lang w:val="es-ES"/>
        </w:rPr>
        <w:t>., 2014)</w:t>
      </w:r>
      <w:r>
        <w:rPr>
          <w:rFonts w:ascii="Arial" w:hAnsi="Arial" w:cs="Arial"/>
          <w:sz w:val="24"/>
          <w:szCs w:val="24"/>
          <w:lang w:val="es-ES"/>
        </w:rPr>
        <w:fldChar w:fldCharType="end"/>
      </w:r>
      <w:r>
        <w:rPr>
          <w:rFonts w:ascii="Arial" w:hAnsi="Arial" w:cs="Arial"/>
          <w:sz w:val="24"/>
          <w:szCs w:val="24"/>
          <w:lang w:val="es-ES"/>
        </w:rPr>
        <w:t xml:space="preserve">, donde hay un conjunto de variables que interactúan y evolucionan con un </w:t>
      </w:r>
      <w:r>
        <w:rPr>
          <w:rFonts w:ascii="Arial" w:hAnsi="Arial" w:cs="Arial"/>
          <w:sz w:val="24"/>
          <w:szCs w:val="24"/>
          <w:lang w:val="es-ES"/>
        </w:rPr>
        <w:lastRenderedPageBreak/>
        <w:t xml:space="preserve">comportamiento dinámico y real en el tiempo </w:t>
      </w:r>
      <w:r>
        <w:rPr>
          <w:rFonts w:ascii="Arial" w:hAnsi="Arial" w:cs="Arial"/>
          <w:sz w:val="24"/>
          <w:szCs w:val="24"/>
          <w:lang w:val="es-ES"/>
        </w:rPr>
        <w:fldChar w:fldCharType="begin"/>
      </w:r>
      <w:r w:rsidR="00105C02">
        <w:rPr>
          <w:rFonts w:ascii="Arial" w:hAnsi="Arial" w:cs="Arial"/>
          <w:sz w:val="24"/>
          <w:szCs w:val="24"/>
          <w:lang w:val="es-ES"/>
        </w:rPr>
        <w:instrText xml:space="preserve"> ADDIN ZOTERO_ITEM CSL_CITATION {"citationID":"CbrOc2UJ","properties":{"custom":"(Soto &amp; Gonz\\uc0\\u225{}lez, 2019)","formattedCitation":"(Soto &amp; Gonz\\uc0\\u225{}lez, 2019)","plainCitation":"(Soto &amp; González, 2019)","noteIndex":0},"citationItems":[{"id":1007,"uris":["http://zotero.org/users/12642312/items/Y9898IIZ"],"itemData":{"id":1007,"type":"article-journal","abstract":"Introduction. Every simulation model must be calibrated and validated, in order to avoid speculative and inaccurate conclusions. The methods to evaluate simulation models are usually applied “by habit”, without specifying basic methodological details which leads to the use of terminology and symbology that could cause confusion Objective. The objective in the present study was to analyze the different statistical methods employed to evaluate the performance of simulation models in agriculture, and thus propose which is the most suitable from the practical point of view. Materials and Methods. Statistical methods based on difference and regression analysis, between measured and simulated values were analyzed. Regarding the difference analysis group, the used methods were root mean square error (RMSE), mean absolute error (MAE), relative error (RE), adjustment index (d), me bianas error (MBE) and the model efficiency (E). In the case of the regression analysis the intercept, linear regression (b) and determination (R2) coefficients, and the estimation confidence limits were scrutinize. Results. The ER, d and E, are measures which objective is the comparison between different models to simulate a given variable, instead of evaluating the performance of the model as such. The root square mean error usually used to evaluate differences between observed and simulated values is different from the RMSE regression. The different cases illustrated with the “Eurotate_N” model demonstrated the apropriate practical application of the regression analysis as statistical tool to evaluate its capacity to simulate fruit yield, volumetric soil moisture, evapotranspiration and dry matter in tomato crop under greenhouse. Conclusion. The most appropriate statistical method proposed to evaluate a simulation model in tomato was the regression analysis.\nIntroducción.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Mesoamericana","ISSN":"2215-3608, 1021-7444","issue":"2","language":"spa","note":"publisher: Universidad de Costa Rica\nsection: Agronomía Mesoamericana","page":"517-534","source":"dialnet.unirioja.es","title":"Análisis de métodos estadísticos para evaluar el desempeño de modelos de simulación en cultivos hortícolas","URL":"https://dialnet.unirioja.es/servlet/articulo?codigo=6963219","volume":"30","author":[{"family":"Soto","given":"Freddy"},{"family":"González","given":"María Isabel"}],"accessed":{"date-parts":[["2025",3,27]]},"issued":{"date-parts":[["2019"]]}}}],"schema":"https://github.com/citation-style-language/schema/raw/master/csl-citation.json"} </w:instrText>
      </w:r>
      <w:r>
        <w:rPr>
          <w:rFonts w:ascii="Arial" w:hAnsi="Arial" w:cs="Arial"/>
          <w:sz w:val="24"/>
          <w:szCs w:val="24"/>
          <w:lang w:val="es-ES"/>
        </w:rPr>
        <w:fldChar w:fldCharType="separate"/>
      </w:r>
      <w:r w:rsidR="00105C02" w:rsidRPr="00224BF0">
        <w:rPr>
          <w:rFonts w:ascii="Arial" w:hAnsi="Arial" w:cs="Arial"/>
          <w:sz w:val="24"/>
          <w:szCs w:val="24"/>
          <w:lang w:val="es-ES"/>
        </w:rPr>
        <w:t>(Soto &amp; González, 2019)</w:t>
      </w:r>
      <w:r>
        <w:rPr>
          <w:rFonts w:ascii="Arial" w:hAnsi="Arial" w:cs="Arial"/>
          <w:sz w:val="24"/>
          <w:szCs w:val="24"/>
          <w:lang w:val="es-ES"/>
        </w:rPr>
        <w:fldChar w:fldCharType="end"/>
      </w:r>
      <w:r>
        <w:rPr>
          <w:rFonts w:ascii="Arial" w:hAnsi="Arial" w:cs="Arial"/>
          <w:sz w:val="24"/>
          <w:szCs w:val="24"/>
          <w:lang w:val="es-ES"/>
        </w:rPr>
        <w:t xml:space="preserve">. Estos modelos permiten la experimentación, sustituyendo la investigación tradicional basada en experimentos de campo, y permitiendo realizar una evaluación económica y rápida del efecto de diversas alternativas de manejo agrícola, reduciendo el riesgo, el tiempo de respuesta y los costos. Por tanto, para que un modelo de simulación, represente un proceso real, debe ser evaluado considerando las diferencias entre sistemas de cultivo, suelos, clima y prácticas de manejo, entre otros; de lo contrario las conclusiones pueden ser especulativas y erróneas </w:t>
      </w:r>
      <w:r>
        <w:rPr>
          <w:rFonts w:ascii="Arial" w:hAnsi="Arial" w:cs="Arial"/>
          <w:sz w:val="24"/>
          <w:szCs w:val="24"/>
          <w:lang w:val="es-ES"/>
        </w:rPr>
        <w:fldChar w:fldCharType="begin"/>
      </w:r>
      <w:r w:rsidR="00105C02">
        <w:rPr>
          <w:rFonts w:ascii="Arial" w:hAnsi="Arial" w:cs="Arial"/>
          <w:sz w:val="24"/>
          <w:szCs w:val="24"/>
          <w:lang w:val="es-ES"/>
        </w:rPr>
        <w:instrText xml:space="preserve"> ADDIN ZOTERO_ITEM CSL_CITATION {"citationID":"plAfiLxX","properties":{"custom":"(Soto &amp; Gonz\\uc0\\u225{}lez, 2019)","formattedCitation":"(Soto &amp; Gonz\\uc0\\u225{}lez, 2019)","plainCitation":"(Soto &amp; González, 2019)","noteIndex":0},"citationItems":[{"id":1007,"uris":["http://zotero.org/users/12642312/items/Y9898IIZ"],"itemData":{"id":1007,"type":"article-journal","abstract":"Introduction. Every simulation model must be calibrated and validated, in order to avoid speculative and inaccurate conclusions. The methods to evaluate simulation models are usually applied “by habit”, without specifying basic methodological details which leads to the use of terminology and symbology that could cause confusion Objective. The objective in the present study was to analyze the different statistical methods employed to evaluate the performance of simulation models in agriculture, and thus propose which is the most suitable from the practical point of view. Materials and Methods. Statistical methods based on difference and regression analysis, between measured and simulated values were analyzed. Regarding the difference analysis group, the used methods were root mean square error (RMSE), mean absolute error (MAE), relative error (RE), adjustment index (d), me bianas error (MBE) and the model efficiency (E). In the case of the regression analysis the intercept, linear regression (b) and determination (R2) coefficients, and the estimation confidence limits were scrutinize. Results. The ER, d and E, are measures which objective is the comparison between different models to simulate a given variable, instead of evaluating the performance of the model as such. The root square mean error usually used to evaluate differences between observed and simulated values is different from the RMSE regression. The different cases illustrated with the “Eurotate_N” model demonstrated the apropriate practical application of the regression analysis as statistical tool to evaluate its capacity to simulate fruit yield, volumetric soil moisture, evapotranspiration and dry matter in tomato crop under greenhouse. Conclusion. The most appropriate statistical method proposed to evaluate a simulation model in tomato was the regression analysis.\nIntroducción.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Mesoamericana","ISSN":"2215-3608, 1021-7444","issue":"2","language":"spa","note":"publisher: Universidad de Costa Rica\nsection: Agronomía Mesoamericana","page":"517-534","source":"dialnet.unirioja.es","title":"Análisis de métodos estadísticos para evaluar el desempeño de modelos de simulación en cultivos hortícolas","URL":"https://dialnet.unirioja.es/servlet/articulo?codigo=6963219","volume":"30","author":[{"family":"Soto","given":"Freddy"},{"family":"González","given":"María Isabel"}],"accessed":{"date-parts":[["2025",3,27]]},"issued":{"date-parts":[["2019"]]}}}],"schema":"https://github.com/citation-style-language/schema/raw/master/csl-citation.json"} </w:instrText>
      </w:r>
      <w:r>
        <w:rPr>
          <w:rFonts w:ascii="Arial" w:hAnsi="Arial" w:cs="Arial"/>
          <w:sz w:val="24"/>
          <w:szCs w:val="24"/>
          <w:lang w:val="es-ES"/>
        </w:rPr>
        <w:fldChar w:fldCharType="separate"/>
      </w:r>
      <w:r w:rsidR="00105C02" w:rsidRPr="00224BF0">
        <w:rPr>
          <w:rFonts w:ascii="Arial" w:hAnsi="Arial" w:cs="Arial"/>
          <w:sz w:val="24"/>
          <w:szCs w:val="24"/>
          <w:lang w:val="es-ES"/>
        </w:rPr>
        <w:t>(Soto &amp; González, 2019)</w:t>
      </w:r>
      <w:r>
        <w:rPr>
          <w:rFonts w:ascii="Arial" w:hAnsi="Arial" w:cs="Arial"/>
          <w:sz w:val="24"/>
          <w:szCs w:val="24"/>
          <w:lang w:val="es-ES"/>
        </w:rPr>
        <w:fldChar w:fldCharType="end"/>
      </w:r>
      <w:r>
        <w:rPr>
          <w:rFonts w:ascii="Arial" w:hAnsi="Arial" w:cs="Arial"/>
          <w:sz w:val="24"/>
          <w:szCs w:val="24"/>
          <w:lang w:val="es-ES"/>
        </w:rPr>
        <w:t xml:space="preserve">. </w:t>
      </w:r>
    </w:p>
    <w:p w14:paraId="29EF21A9" w14:textId="62B86B16"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Los modelos de cultivos son algoritmos matemáticos que analizan y pronostican el crecimiento y desarrollo de los cultivos mediante la recopilación de datos cuantitativos de ensayos de agronomía y fisiología. En efecto, son programas informáticos que imitan el crecimiento y desarrollo de los cultivos </w:t>
      </w:r>
      <w:r>
        <w:rPr>
          <w:rFonts w:ascii="Arial" w:hAnsi="Arial" w:cs="Arial"/>
          <w:sz w:val="24"/>
          <w:szCs w:val="24"/>
          <w:lang w:val="es-ES"/>
        </w:rPr>
        <w:fldChar w:fldCharType="begin"/>
      </w:r>
      <w:r w:rsidR="00230B72">
        <w:rPr>
          <w:rFonts w:ascii="Arial" w:hAnsi="Arial" w:cs="Arial"/>
          <w:sz w:val="24"/>
          <w:szCs w:val="24"/>
          <w:lang w:val="es-ES"/>
        </w:rPr>
        <w:instrText xml:space="preserve"> ADDIN ZOTERO_ITEM CSL_CITATION {"citationID":"KmcONPQS","properties":{"custom":"(Chenu {\\i{}et al}., 2017; Das &amp; Sharma, 2020; Gavasso {\\i{}et al}., 2024)","formattedCitation":"(Chenu {\\i{}et al}., 2017; Das &amp; Sharma, 2020; Gavasso {\\i{}et al}., 2024)","plainCitation":"(Chenu et al., 2017; Das &amp; Sharma, 2020; Gavasso et al., 2024)","noteIndex":0},"citationItems":[{"id":1010,"uris":["http://zotero.org/users/12642312/items/AT4FBB62"],"itemData":{"id":1010,"type":"article-journal","container-title":"Trends in plant science","issue":"6","note":"publisher: Elsevier","page":"472–490","source":"Google Scholar","title":"Contribution of crop models to adaptation in wheat","URL":"https://www.cell.com/trends/plant-science/abstract/S1360-1385(17)30038-9","volume":"22","author":[{"family":"Chenu","given":"Karine"},{"family":"Porter","given":"John Roy"},{"family":"Martre","given":"Pierre"},{"family":"Basso","given":"Bruno"},{"family":"Chapman","given":"Scott Cameron"},{"family":"Ewert","given":"Frank"},{"family":"Bindi","given":"Marco"},{"family":"Asseng","given":"Senthold"}],"accessed":{"date-parts":[["2025",3,27]]},"issued":{"date-parts":[["2017"]]}},"label":"page"},{"id":1004,"uris":["http://zotero.org/users/12642312/items/QZ3SQEZT"],"itemData":{"id":1004,"type":"article-journal","abstract":"Plant production systems are governed by site management and by biotic and abiotic factors. Studying and understanding the tree growth and development of fruit crops is a difficult endeavour. Crop models have long been powerful tools in unravelling physiological mechanisms that determine crop yield in relation to the environment. Models are used to estimate seasonal changes in quality traits as fruit size, dry matter, water content and the concentration of sugars and acids, which are very important for flavor and aroma. Different types of models are available which vary in parameters and precision. Use of crop models in fruit crops is relatively new. Available literature on fruit crop modelling has been reviewed here.","container-title":"The Pharma Innovation Journal","ISSN":"2277-7695","issue":"11","journalAbbreviation":"Pharma Innovation","language":"en","note":"publisher: AkiNik Publications","page":"60-65","source":"www.thepharmajournal.com","title":"Crop modelling in fruit crops: A review","title-short":"Crop modelling in fruit crops","URL":"https://www.thepharmajournal.com/archives/?year=2020&amp;vol=9&amp;issue=11&amp;ArticleId=5306","volume":"9","author":[{"family":"Das","given":"Susmita"},{"family":"Sharma","given":"Arti"}],"accessed":{"date-parts":[["2025",3,27]]},"issued":{"date-parts":[["2020"]]}},"label":"page"},{"id":642,"uris":["http://zotero.org/users/12642312/items/D486RH2A"],"itemData":{"id":642,"type":"article-journal","abstract":"Agriculture is directly related to food security as it determines the global food supply. Research in agriculture to predict crop productivity and losses helps avoid high food demand with little supply and price spikes. Here, we review ten crop models and one intercomparison project used for simulating crop growth and productivity under various impacts from soil–crop–atmosphere interactions. The review outlines food security and production assessments using numerical models for maize, wheat, and rice production. A summary of reviewed studies shows the following: (1) model ensembles provide smaller modeling errors compared to single models, (2) single models show better results when coupled with other types of models, (3) the ten reviewed crop models had improvements over the years and can accurately predict crop growth and yield for most of the locations, management conditions, and genotypes tested, (4) APSIM and DSSAT are fast and reliable in assessing broader output variables, (5) AquaCrop is indicated to investigate water footprint, quality and use efficiency in rainfed and irrigated systems, (6) all models assess nitrogen dynamics and use efficiency efficiently, excluding AquaCrop and WOFOST, (7) JULES specifies in evaluating food security vulnerability, (8) ORYZA is the main crop model used to evaluate paddy rice production, (9) grain filling is usually assessed with APSIM, DAISY, and DSSAT, and (10) the ten crop models can be used as tools to evaluate food production, availability, and security.","container-title":"Food and Energy Security","DOI":"10.1002/fes3.503","ISSN":"2048-3694, 2048-3694","issue":"1","journalAbbreviation":"Food and Energy Security","language":"en","page":"e503","source":"DOI.org (Crossref)","title":"Crop models and their use in assessing crop production and food security: A review","title-short":"Crop models and their use in assessing crop production and food security","URL":"https://onlinelibrary.wiley.com/doi/10.1002/fes3.503","volume":"13","author":[{"family":"Gavasso","given":"Yohanne Larissa"},{"family":"Pa</w:instrText>
      </w:r>
      <w:r w:rsidR="00230B72">
        <w:rPr>
          <w:rFonts w:ascii="Arial" w:hAnsi="Arial" w:cs="Arial" w:hint="eastAsia"/>
          <w:sz w:val="24"/>
          <w:szCs w:val="24"/>
          <w:lang w:val="es-ES"/>
        </w:rPr>
        <w:instrText>palexiou","given":"Simon Michael"},{"family":"Li","given":"Yanping"},{"family":"Elshorbagy","given":"Amin"},{"family":"Li","given":"Zhenhua"},{"family":"Schuster</w:instrText>
      </w:r>
      <w:r w:rsidR="00230B72">
        <w:rPr>
          <w:rFonts w:ascii="Arial" w:hAnsi="Arial" w:cs="Arial" w:hint="eastAsia"/>
          <w:sz w:val="24"/>
          <w:szCs w:val="24"/>
          <w:lang w:val="es-ES"/>
        </w:rPr>
        <w:instrText>‐</w:instrText>
      </w:r>
      <w:r w:rsidR="00230B72">
        <w:rPr>
          <w:rFonts w:ascii="Arial" w:hAnsi="Arial" w:cs="Arial" w:hint="eastAsia"/>
          <w:sz w:val="24"/>
          <w:szCs w:val="24"/>
          <w:lang w:val="es-ES"/>
        </w:rPr>
        <w:instrText>Wallace","given":"Corinne"}],"accessed":{"date-parts":[["2025",3,12]]},"issued":{"date-parts"</w:instrText>
      </w:r>
      <w:r w:rsidR="00230B72">
        <w:rPr>
          <w:rFonts w:ascii="Arial" w:hAnsi="Arial" w:cs="Arial"/>
          <w:sz w:val="24"/>
          <w:szCs w:val="24"/>
          <w:lang w:val="es-ES"/>
        </w:rPr>
        <w:instrText xml:space="preserve">:[["2024",1]]}},"label":"page"}],"schema":"https://github.com/citation-style-language/schema/raw/master/csl-citation.json"} </w:instrText>
      </w:r>
      <w:r>
        <w:rPr>
          <w:rFonts w:ascii="Arial" w:hAnsi="Arial" w:cs="Arial"/>
          <w:sz w:val="24"/>
          <w:szCs w:val="24"/>
          <w:lang w:val="es-ES"/>
        </w:rPr>
        <w:fldChar w:fldCharType="separate"/>
      </w:r>
      <w:r w:rsidR="00230B72" w:rsidRPr="00224BF0">
        <w:rPr>
          <w:rFonts w:ascii="Arial" w:hAnsi="Arial" w:cs="Arial"/>
          <w:sz w:val="24"/>
          <w:szCs w:val="24"/>
          <w:lang w:val="es-ES"/>
        </w:rPr>
        <w:t xml:space="preserve">(Chenu </w:t>
      </w:r>
      <w:r w:rsidR="00230B72" w:rsidRPr="00224BF0">
        <w:rPr>
          <w:rFonts w:ascii="Arial" w:hAnsi="Arial" w:cs="Arial"/>
          <w:i/>
          <w:iCs/>
          <w:sz w:val="24"/>
          <w:szCs w:val="24"/>
          <w:lang w:val="es-ES"/>
        </w:rPr>
        <w:t>et al</w:t>
      </w:r>
      <w:r w:rsidR="00230B72" w:rsidRPr="00224BF0">
        <w:rPr>
          <w:rFonts w:ascii="Arial" w:hAnsi="Arial" w:cs="Arial"/>
          <w:sz w:val="24"/>
          <w:szCs w:val="24"/>
          <w:lang w:val="es-ES"/>
        </w:rPr>
        <w:t xml:space="preserve">., 2017; Das &amp; Sharma, 2020; Gavasso </w:t>
      </w:r>
      <w:r w:rsidR="00230B72" w:rsidRPr="00224BF0">
        <w:rPr>
          <w:rFonts w:ascii="Arial" w:hAnsi="Arial" w:cs="Arial"/>
          <w:i/>
          <w:iCs/>
          <w:sz w:val="24"/>
          <w:szCs w:val="24"/>
          <w:lang w:val="es-ES"/>
        </w:rPr>
        <w:t>et al</w:t>
      </w:r>
      <w:r w:rsidR="00230B72" w:rsidRPr="00224BF0">
        <w:rPr>
          <w:rFonts w:ascii="Arial" w:hAnsi="Arial" w:cs="Arial"/>
          <w:sz w:val="24"/>
          <w:szCs w:val="24"/>
          <w:lang w:val="es-ES"/>
        </w:rPr>
        <w:t>., 2024)</w:t>
      </w:r>
      <w:r>
        <w:rPr>
          <w:rFonts w:ascii="Arial" w:hAnsi="Arial" w:cs="Arial"/>
          <w:sz w:val="24"/>
          <w:szCs w:val="24"/>
          <w:lang w:val="es-ES"/>
        </w:rPr>
        <w:fldChar w:fldCharType="end"/>
      </w:r>
      <w:r>
        <w:rPr>
          <w:rFonts w:ascii="Arial" w:hAnsi="Arial" w:cs="Arial"/>
          <w:sz w:val="24"/>
          <w:szCs w:val="24"/>
          <w:lang w:val="es-ES"/>
        </w:rPr>
        <w:t xml:space="preserve">. Pueden reproducir una amplia gama de estaciones, lugares, climas y escenarios en muy poco tiempo </w:t>
      </w:r>
      <w:r>
        <w:rPr>
          <w:rFonts w:ascii="Arial" w:hAnsi="Arial" w:cs="Arial"/>
          <w:sz w:val="24"/>
          <w:szCs w:val="24"/>
          <w:lang w:val="es-ES"/>
        </w:rPr>
        <w:fldChar w:fldCharType="begin"/>
      </w:r>
      <w:r w:rsidR="004C7464">
        <w:rPr>
          <w:rFonts w:ascii="Arial" w:hAnsi="Arial" w:cs="Arial"/>
          <w:sz w:val="24"/>
          <w:szCs w:val="24"/>
          <w:lang w:val="es-ES"/>
        </w:rPr>
        <w:instrText xml:space="preserve"> ADDIN ZOTERO_ITEM CSL_CITATION {"citationID":"FxiB4OwP","properties":{"custom":"(Ventrella, {\\i{}et al}., 2012; Hoogenboom {\\i{}et al}., 2019)","unsorted":true,"formattedCitation":"(Ventrella, {\\i{}et al}., 2012; Hoogenboom {\\i{}et al}., 2019)","plainCitation":"(Ventrella, et al., 2012; Hoogenboom et al., 2019)","noteIndex":0},"citationItems":[{"id":640,"uris":["http://zotero.org/users/12642312/items/VLD4ER7M"],"itemData":{"id":640,"type":"article-journal","abstract":"Many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id":1015,"uris":["http://zotero.org/users/12642312/items/T4RW6BB8"],"itemData":{"id":1015,"type":"chapter","container-title":"Advances in crop modelling for a sustainable agriculture","page":"173–216","publisher":"Burleigh Dodds Science Publishing","source":"Google Scholar","title":"The DSSAT crop modeling ecosystem","URL":"https://www.taylorfrancis.com/chapters/edit/10.1201/9780429266591-7/dssat-crop-modeling-ecosystem-gerrit-hoogenboom-cheryl-porter-kenneth-boote-vakhtang-shelia-paul-wilkens-upendra-singh-jeffrey-white-senthold-asseng-jon-lizaso-patricia-moreno-willingthon-pavan-richard-ogoshi-anthony-hunt-gordon-tsuji-james-jones","author":[{"family":"Hoogenboom","given":"Gerrit"},{"family":"Porter","given":"Cheryl H."},{"family":"Boote","given":"Kenneth J."},{"family":"Shelia","given":"Vakhtang"},{"family":"Wilkens","given":"Paul W."},{"family":"Singh","given":"Upendra"},{"family":"White","given":"Jeffrey W."},{"family":"Asseng","given":"Senthold"},{"family":"Lizaso","given":"Jon I."},{"family":"Moreno","given":"L. Patricia"}],"accessed":{"date-parts":[["2025",3,27]]},"issued":{"date-parts":[["2019"]]}},"label":"page"}],"schema":"https://github.com/citation-style-language/schema/raw/master/csl-citation.json"} </w:instrText>
      </w:r>
      <w:r>
        <w:rPr>
          <w:rFonts w:ascii="Arial" w:hAnsi="Arial" w:cs="Arial"/>
          <w:sz w:val="24"/>
          <w:szCs w:val="24"/>
          <w:lang w:val="es-ES"/>
        </w:rPr>
        <w:fldChar w:fldCharType="separate"/>
      </w:r>
      <w:r w:rsidR="004C7464" w:rsidRPr="00F11F1D">
        <w:rPr>
          <w:rFonts w:ascii="Arial" w:hAnsi="Arial" w:cs="Arial"/>
          <w:sz w:val="24"/>
          <w:szCs w:val="24"/>
          <w:lang w:val="es-ES"/>
        </w:rPr>
        <w:t xml:space="preserve">(Ventrella, </w:t>
      </w:r>
      <w:r w:rsidR="004C7464" w:rsidRPr="00F11F1D">
        <w:rPr>
          <w:rFonts w:ascii="Arial" w:hAnsi="Arial" w:cs="Arial"/>
          <w:i/>
          <w:iCs/>
          <w:sz w:val="24"/>
          <w:szCs w:val="24"/>
          <w:lang w:val="es-ES"/>
        </w:rPr>
        <w:t>et al</w:t>
      </w:r>
      <w:r w:rsidR="004C7464" w:rsidRPr="00F11F1D">
        <w:rPr>
          <w:rFonts w:ascii="Arial" w:hAnsi="Arial" w:cs="Arial"/>
          <w:sz w:val="24"/>
          <w:szCs w:val="24"/>
          <w:lang w:val="es-ES"/>
        </w:rPr>
        <w:t xml:space="preserve">., 2012; Hoogenboom </w:t>
      </w:r>
      <w:r w:rsidR="004C7464" w:rsidRPr="00F11F1D">
        <w:rPr>
          <w:rFonts w:ascii="Arial" w:hAnsi="Arial" w:cs="Arial"/>
          <w:i/>
          <w:iCs/>
          <w:sz w:val="24"/>
          <w:szCs w:val="24"/>
          <w:lang w:val="es-ES"/>
        </w:rPr>
        <w:t>et al</w:t>
      </w:r>
      <w:r w:rsidR="004C7464" w:rsidRPr="00F11F1D">
        <w:rPr>
          <w:rFonts w:ascii="Arial" w:hAnsi="Arial" w:cs="Arial"/>
          <w:sz w:val="24"/>
          <w:szCs w:val="24"/>
          <w:lang w:val="es-ES"/>
        </w:rPr>
        <w:t>., 2019)</w:t>
      </w:r>
      <w:r>
        <w:rPr>
          <w:rFonts w:ascii="Arial" w:hAnsi="Arial" w:cs="Arial"/>
          <w:sz w:val="24"/>
          <w:szCs w:val="24"/>
          <w:lang w:val="es-ES"/>
        </w:rPr>
        <w:fldChar w:fldCharType="end"/>
      </w:r>
      <w:r>
        <w:rPr>
          <w:rFonts w:ascii="Arial" w:hAnsi="Arial" w:cs="Arial"/>
          <w:sz w:val="24"/>
          <w:szCs w:val="24"/>
          <w:lang w:val="es-ES"/>
        </w:rPr>
        <w:t xml:space="preserve">. Estos benefician a la agricultura de diversas maneras, como la investigación de las interacciones entre la atmósfera, el cultivo y el suelo, la ayuda en la agronomía de cultivos, el control de plagas, la reducción de la densidad de población vegetal, la mejora de la humedad del suelo, la mejora genética y la gestión de recursos naturales, y para predecir rasgos complejos, como el rendimiento de los cultivos, para genotipos modernos y futuros en sus entornos actuales y en evolución, </w:t>
      </w:r>
      <w:r w:rsidRPr="00390F1B">
        <w:rPr>
          <w:rFonts w:ascii="Arial" w:hAnsi="Arial" w:cs="Arial"/>
          <w:sz w:val="24"/>
          <w:szCs w:val="24"/>
          <w:lang w:val="es-ES"/>
        </w:rPr>
        <w:t xml:space="preserve">como los que se producen bajo el </w:t>
      </w:r>
      <w:r w:rsidRPr="009B0EB0">
        <w:rPr>
          <w:rFonts w:ascii="Arial" w:hAnsi="Arial" w:cs="Arial"/>
          <w:sz w:val="24"/>
          <w:szCs w:val="24"/>
          <w:lang w:val="es-ES"/>
        </w:rPr>
        <w:t>cambio</w:t>
      </w:r>
      <w:r w:rsidR="009B0EB0">
        <w:rPr>
          <w:rFonts w:ascii="Arial" w:hAnsi="Arial" w:cs="Arial"/>
          <w:sz w:val="24"/>
          <w:szCs w:val="24"/>
          <w:lang w:val="es-ES"/>
        </w:rPr>
        <w:t xml:space="preserve"> climático</w:t>
      </w:r>
      <w:r>
        <w:rPr>
          <w:rFonts w:ascii="Arial" w:hAnsi="Arial" w:cs="Arial"/>
          <w:sz w:val="24"/>
          <w:szCs w:val="24"/>
          <w:lang w:val="es-ES"/>
        </w:rPr>
        <w:t xml:space="preserve"> </w:t>
      </w:r>
      <w:r>
        <w:rPr>
          <w:rFonts w:ascii="Arial" w:hAnsi="Arial" w:cs="Arial"/>
          <w:sz w:val="24"/>
          <w:szCs w:val="24"/>
          <w:lang w:val="es-ES"/>
        </w:rPr>
        <w:fldChar w:fldCharType="begin"/>
      </w:r>
      <w:r w:rsidR="00F11F1D">
        <w:rPr>
          <w:rFonts w:ascii="Arial" w:hAnsi="Arial" w:cs="Arial"/>
          <w:sz w:val="24"/>
          <w:szCs w:val="24"/>
          <w:lang w:val="es-ES"/>
        </w:rPr>
        <w:instrText xml:space="preserve"> ADDIN ZOTERO_ITEM CSL_CITATION {"citationID":"fbljV75y","properties":{"custom":"(Ventrella, {\\i{}et al}., 2012; Gerlin {\\i{}et al}., 2021; Zhou {\\i{}et al}., 2022; Phuoc {\\i{}et al}., 2023; Van {\\i{}et al}., 2023)","unsorted":true,"formattedCitation":"(Ventrella, {\\i{}et al}., 2012; Gerlin {\\i{}et al}., 2021; Zhou {\\i{}et al}., 2022; Phuoc {\\i{}et al}., 2023; Van {\\i{}et al}., 2023)","plainCitation":"(Ventrella, et al., 2012; Gerlin et al., 2021; Zhou et al., 2022; Phuoc et al., 2023; Van et al., 2023)","noteIndex":0},"citationItems":[{"id":712,"uris":["http://zotero.org/users/12642312/items/MYSPD4QZ"],"itemData":{"id":712,"type":"article-journal","container-title":"Regional Environmental Change","DOI":"10.1007/s10113-011-0256-3","ISSN":"1436-3798, 1436-378X","issue":"3","journalAbbreviation":"Reg Environ Change","language":"en","license":"http://www.springer.com/tdm","page":"407-419","source":"DOI.org (Crossref)","title":"Agronomic adaptation strategies under climate change for winter durum wheat and tomato in southern Italy: irrigation and nitrogen fertilization","title-short":"Agronomic adaptation strategies under climate change for winter durum wheat and tomato in southern Italy","URL":"http://link.springer.com/10.1007/s10113-011-0256-3","volume":"12","author":[{"family":"Ventrella","given":"Domenico"},{"family":"Charfeddine","given":"Monia"},{"family":"Moriondo","given":"Marco"},{"family":"Rinaldi","given":"Michele"},{"family":"Bindi","given":"Marco"}],"accessed":{"date-parts":[["2025",3,12]]},"issued":{"date-parts":[["2012",9]]}},"label":"page"},{"id":1016,"uris":["http://zotero.org/users/12642312/items/Y93MQVU2"],"itemData":{"id":1016,"type":"article","abstract":"Resumen\nPredecir y entender las respuestas de las plantas a las perturbaciones requiere integrar las interacciones entre fuentes nutricionales, genes, metabolismo celular y fisiología en el mismo modelo. Esto se puede lograr utilizando modelado metabólico calibrado por datos experimentales. En este estudio, desarrollamos un modelo metabólico multiorgánico de una planta de tomate durante el crecimiento vegetativo, llamado VYTOP (Virtual Young TOmato Plant) que combina modelos metabólicos a escala de genoma de hoja, tallo y raíz e integra datos experimentales adquiridos a partir de metabolómica y fenotipado de alto rendimiento de las plantas de tomate. Se compone de 6689 reacciones y 6326 metabolitos. Validamos las predicciones de VYTOP en cinco casos de uso independiente. El modelo predijo correctamente que la glutamina es el principal nutriente orgánico de la savia de xilome. El modelo estimó cuantitativamente cómo la contribución fotosintética del tallo impacta los intercambios entre los diferentes órganos. El modelo también fue capaz de predecir cómo la limitación de nitrógeno afecta el crecimiento vegetal vegetativo, y predecir el comportamiento metabólico de las líneas de tomate transgénico con expresiones alteradas de enzimas metabólicas de núcleo. La integración de diferentes componentes como un modelo metabólico, restricciones fisiológicas y datos experimentales genera una poderosa herramienta predictiva para estudiar el comportamiento de las plantas, que será útil para varias otras aplicaciones como ingeniería metabólica vegetal o nutrición vegetal.\nUn sumario de frase Un modelo metabólico multiorgánico de tomate da información biológica sobre el funcionamiento de una planta como la composición de xylem, el papel del tallo y la respuesta a la perturbación ambiental o genética.","DOI":"10.1101/2021.09.30.462630","language":"en","license":"© 2021, Posted by Cold Spring Harbor Laboratory. This pre-print is available under a Creative Commons License (Attribution-NonCommercial-NoDerivs 4.0 International), CC BY-NC-ND 4.0, as described at http://creativecommons.org/licenses/by-nc-nd/4.0/","note":"page: 2021.09.30.462630\nsection: New Results","publisher":"bioRxiv","source":"bioRxiv","title":"A multi-organ metabolic model of tomato predicts plant responses to nutritional and genetic perturbations","URL":"https://www.biorxiv.org/content/10.1101/2021.09.30.462630v1","author":[{"family":"Gerlin","given":"Léo"},{"family":"Cottret","given":"Ludovic"},{"family":"Escourrou","given":"Antoine"},{"family":"Genin","given":"Stéphane"},{"family":"Baroukh","given":"Caroline"}],"accessed":{"date-parts":[["2025",3,27]]},"issued":{"date-parts":[["2021",10,3]]}},"label":"page"},{"id":632,"uris":["http://zotero.org/users/12642312/items/XIRX6DBR"],"itemData":{"id":632,"type":"article-journal","abstract":"In order to estimate the adaptability of Agricultural Production Systems Simulator (APSIM)-Maize model under the special climate environment in tropic, 10 field experiments were conducted at different seasons in three sites (Longchuan, Mangshi and Ruili) of tropic in Yunnan Province, China. The parameters of APSIM model were calibrated and its adaptability was validated. The results showed that the days from sowing to flowering and sowing to maturity were predicted accurately for all sites with mean errors of 2.0 ± 0.4, and 3.2 ± 0.7 d respectively. The normalized root mean square errors (NRMSE) of the model for yield prediction were 2%, 3% and 5% for each of three sites, respectively, which indicated that the APSIM model had good accuracy and sensitivity in predicting phenological phases and yield of maize (Zea mays L.) grown in different seasons, and the model had good adaptability in the tropic of Southwest China. This study provided the basis and technical support for evaluating maize production potential based on the model.","container-title":"Chilean journal of agricultural research","DOI":"10.4067/S0718-58392022000400586","ISSN":"0718-5839","issue":"4","journalAbbreviation":"Chil. j. agric. res.","language":"en","page":"586-594","source":"DOI.org (Crossref)","title":"Calibration and validation of APSIM for maize grown in different seasons in Southwest tropic of China","URL":"http://www.scielo.cl/scielo.php?script=sci_arttext&amp;pid=S0718-58392022000400586&amp;lng=en&amp;nrm=iso&amp;tlng=en","volume":"82","author":[{"family":"Zhou","given":"Jie"},{"family":"Li","given":"Wenfeng"},{"family":"Xiao","given":"Weihua"},{"family":"Chen","given":"Yang"},{"family":"Chang","given":"Xinxia"}],"accessed":{"date-parts":[["2025",3,12]]},"issued":{"date-parts":[["2022",12]]}},"label":"page"},{"id":631,"uris":["http://zotero.org/users/12642312/items/I77XCMEQ"],"itemData":{"id":631,"type":"article-journal","abstract":"Modeling science has been applied by many advanced countries in many fields, such as geology, meteorology, climate change, crop productivity, environment, erosion, and landslide. The crop model simulates the processes of agriculture. The writing of this article is descriptive qualitative using the Systematic Literature Review (SLR) method. So far, each model has its advantages and disadvantages but generally is based on the physiology of the growth and development of crops in relationship with soil, climate, solar radiation energy, and limiting factors to plant growth. There have been many models for rice that can forecast yield and biomass or predict future climate change dynamics. Meanwhile, many models such as DSSAT, AquaCrop, Oryza, APSIM, EPIC need more data to operate their modeling, which in many cases, data is not readily available. In this review, we would like to introduce the model “SIMPLE” which includes only thirteen parameters and four of which describe cultivar characteristics. Another advantage of “SIMPLE” is that it can be adapted for many crop species and added variable modules such as nutrient dynamics, water stress, temperature stress, or pests. It is entirely open source based on R programming, but limitations still exist that have been mentioned in the review.","container-title":"Journal of Applied Agricultural Science and Technology","DOI":"10.55043/jaast.v7i3.123","ISSN":"2621-2528, 2621-4709","issue":"3","journalAbbreviation":"J. appl. agricultural sci. technol.","language":"en","license":"https://creativecommons.org/licenses/by-sa/4.0","page":"197-216","source":"DOI.org (Crossref)","title":"Literature Review Crop Modeling and Introduction a Simple Crop Model","URL":"https://www.jaast.org/index.php/jaast/article/view/123","volume":"7","author":[{"family":"Phuoc","given":"Le Huu"},{"family":"Suliansyah","given":"Irfan"},{"family":"Arlius","given":"Feri"},{"family":"Chaniago","given":"Irawati"},{"family":"Xuan","given":"Nguyen Thi Thanh"},{"family":"Quang","given":"Pham Van"}],"accessed":{"date-parts":[["2025",3,12]]},"issued":{"date-parts":[["2023",8,25]]}},"label":"page"},{"id":1019,"uris":["http://zotero.org/users/12642312/items/EGNKSJ4H"],"itemData":{"id":1019,"type":"article-journal","container-title":"Frontiers in Plant Science","note":"publisher: Frontiers Media SA","page":"1172359","source":"Google Scholar","title":"A conceptual framework for the dynamic modeling of time-resolved phenotypes for sets of genotype-environment-management combinations: a model library","title-short":"A conceptual framework for the dynamic modeling of time-resolved phenotypes for sets of genotype-environment-management combinations","URL":"https://www.frontiersin.org/articles/10.3389/fpls.2023.1172359/full","volume":"14","author":[{"family":"Van","given":"George AK"},{"family":"Boer","given":"Martin P."},{"family":"Truong","given":"Sandra Huynh"},{"family":"Friedenberg","given":"Nicholas A."},{"family":"Gugushvili","given":"Shota"},{"family":"McCormick","given":"Ryan"},{"family":"Bustos Korts","given":"Daniela"},{"family":"Messina","given":"Carlos D."},{"family":"Van Eeuwijk","given":"Fred A."}],"accessed":{"date-parts":[["2025",3,27]]},"issued":{"date-parts":[["2023"]]}},"label":"page"}],"schema":"https://github.com/citation-style-language/schema/raw/master/csl-citation.json"} </w:instrText>
      </w:r>
      <w:r>
        <w:rPr>
          <w:rFonts w:ascii="Arial" w:hAnsi="Arial" w:cs="Arial"/>
          <w:sz w:val="24"/>
          <w:szCs w:val="24"/>
          <w:lang w:val="es-ES"/>
        </w:rPr>
        <w:fldChar w:fldCharType="separate"/>
      </w:r>
      <w:r w:rsidR="00F11F1D" w:rsidRPr="00F11F1D">
        <w:rPr>
          <w:rFonts w:ascii="Arial" w:hAnsi="Arial" w:cs="Arial"/>
          <w:sz w:val="24"/>
          <w:szCs w:val="24"/>
          <w:lang w:val="es-ES"/>
        </w:rPr>
        <w:t xml:space="preserve">(Ventrella, </w:t>
      </w:r>
      <w:r w:rsidR="00F11F1D" w:rsidRPr="00F11F1D">
        <w:rPr>
          <w:rFonts w:ascii="Arial" w:hAnsi="Arial" w:cs="Arial"/>
          <w:i/>
          <w:iCs/>
          <w:sz w:val="24"/>
          <w:szCs w:val="24"/>
          <w:lang w:val="es-ES"/>
        </w:rPr>
        <w:t>et al</w:t>
      </w:r>
      <w:r w:rsidR="00F11F1D" w:rsidRPr="00F11F1D">
        <w:rPr>
          <w:rFonts w:ascii="Arial" w:hAnsi="Arial" w:cs="Arial"/>
          <w:sz w:val="24"/>
          <w:szCs w:val="24"/>
          <w:lang w:val="es-ES"/>
        </w:rPr>
        <w:t xml:space="preserve">., 2012; Gerlin </w:t>
      </w:r>
      <w:r w:rsidR="00F11F1D" w:rsidRPr="00F11F1D">
        <w:rPr>
          <w:rFonts w:ascii="Arial" w:hAnsi="Arial" w:cs="Arial"/>
          <w:i/>
          <w:iCs/>
          <w:sz w:val="24"/>
          <w:szCs w:val="24"/>
          <w:lang w:val="es-ES"/>
        </w:rPr>
        <w:t>et al</w:t>
      </w:r>
      <w:r w:rsidR="00F11F1D" w:rsidRPr="00F11F1D">
        <w:rPr>
          <w:rFonts w:ascii="Arial" w:hAnsi="Arial" w:cs="Arial"/>
          <w:sz w:val="24"/>
          <w:szCs w:val="24"/>
          <w:lang w:val="es-ES"/>
        </w:rPr>
        <w:t xml:space="preserve">., 2021; Zhou </w:t>
      </w:r>
      <w:r w:rsidR="00F11F1D" w:rsidRPr="00F11F1D">
        <w:rPr>
          <w:rFonts w:ascii="Arial" w:hAnsi="Arial" w:cs="Arial"/>
          <w:i/>
          <w:iCs/>
          <w:sz w:val="24"/>
          <w:szCs w:val="24"/>
          <w:lang w:val="es-ES"/>
        </w:rPr>
        <w:t>et al</w:t>
      </w:r>
      <w:r w:rsidR="00F11F1D" w:rsidRPr="00F11F1D">
        <w:rPr>
          <w:rFonts w:ascii="Arial" w:hAnsi="Arial" w:cs="Arial"/>
          <w:sz w:val="24"/>
          <w:szCs w:val="24"/>
          <w:lang w:val="es-ES"/>
        </w:rPr>
        <w:t xml:space="preserve">., 2022; Phuoc </w:t>
      </w:r>
      <w:r w:rsidR="00F11F1D" w:rsidRPr="00F11F1D">
        <w:rPr>
          <w:rFonts w:ascii="Arial" w:hAnsi="Arial" w:cs="Arial"/>
          <w:i/>
          <w:iCs/>
          <w:sz w:val="24"/>
          <w:szCs w:val="24"/>
          <w:lang w:val="es-ES"/>
        </w:rPr>
        <w:t>et al</w:t>
      </w:r>
      <w:r w:rsidR="00F11F1D" w:rsidRPr="00F11F1D">
        <w:rPr>
          <w:rFonts w:ascii="Arial" w:hAnsi="Arial" w:cs="Arial"/>
          <w:sz w:val="24"/>
          <w:szCs w:val="24"/>
          <w:lang w:val="es-ES"/>
        </w:rPr>
        <w:t xml:space="preserve">., 2023; Van </w:t>
      </w:r>
      <w:r w:rsidR="00F11F1D" w:rsidRPr="00F11F1D">
        <w:rPr>
          <w:rFonts w:ascii="Arial" w:hAnsi="Arial" w:cs="Arial"/>
          <w:i/>
          <w:iCs/>
          <w:sz w:val="24"/>
          <w:szCs w:val="24"/>
          <w:lang w:val="es-ES"/>
        </w:rPr>
        <w:t>et al</w:t>
      </w:r>
      <w:r w:rsidR="00F11F1D" w:rsidRPr="00F11F1D">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w:t>
      </w:r>
      <w:r>
        <w:rPr>
          <w:rFonts w:ascii="Times New Roman" w:hAnsi="Times New Roman" w:cs="Times New Roman"/>
          <w:sz w:val="24"/>
          <w:szCs w:val="24"/>
          <w:lang w:val="es-ES"/>
        </w:rPr>
        <w:t xml:space="preserve"> </w:t>
      </w:r>
      <w:r>
        <w:rPr>
          <w:rFonts w:ascii="Arial" w:hAnsi="Arial" w:cs="Arial"/>
          <w:color w:val="000000"/>
          <w:sz w:val="24"/>
          <w:szCs w:val="24"/>
          <w:lang w:val="es-ES"/>
        </w:rPr>
        <w:t xml:space="preserve">En general, </w:t>
      </w:r>
      <w:r>
        <w:rPr>
          <w:rFonts w:ascii="Arial" w:hAnsi="Arial" w:cs="Arial"/>
          <w:sz w:val="24"/>
          <w:szCs w:val="24"/>
          <w:lang w:val="es-ES"/>
        </w:rPr>
        <w:t xml:space="preserve">tratan de traducir la relación entre las plantas y su entorno, mediante la simulación de procesos fisiológicos en marcos temporales, en su mayoría diarios, para estimar el rendimiento de los cultivos en el momento de la cosecha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{"citationID":"KaSxulRd","properties":{"custom":"(Kasper {\\i{}et al}., 2019)","formattedCitation":"(Kasper {\\i{}et al}., 2019)","plainCitation":"(Kasper et al., 2019)","noteIndex":0},"citationItems":[{"id":1035,"uris":["http://zotero.org/users/12642312/items/HQYQGSAM"],"itemData":{"id":1035,"type":"article-journal","abstract":"National emission inventories for UN FCCC reporting estimate regional soil nitrous oxide (N2O) fluxes by considering the amount of N input as the only influencing factor for N2O emissions. Our aim was to deepen the understanding of N2O fluxes from agricultural soils, including region specific soil and climate properties into the estimation of emission to find targeted mitigation measures for the reduction of nitrogen losses and GHG emissions. Within this project, N2O emissions and nitrate (NO3−) leaching were modelled under spatially distinct environmental conditions in two agricultural regions in Austria taking into account region specific soil and climatic properties, management practices and crop rotations. The LandscapeDNDC ecosystem model was used to calculate N2O emissions and NO3− leaching reflecting different types of vegetation, management operations and crop rotations. In addition, N input and N fluxes were assessed and N2O emissions were calculated. This approach allowed identifying hot spots of N2O emissions. Results show that certain combinations of soil type, weather conditions, crop and management can lead to high emissions. Mean values ranged from 0.15 to 1.29 kg N2O–N ha−1 year−1 (Marchfeld) and 0.26 to 0.52 kg N2O–N ha−1 year−1 (Grieskirchen). Nitrate leaching, which strongly dominated N-losses, often reacted opposite to N2O emissions. Larger quantities of NO3− were lost during years of higher precipitation, especially if winter barley was cultivated on sandy soils. Taking into account the detected hot spots of N2O emissions and NO3− leaching most efficient measures can be addressed to mitigate environmental impacts while maximising crop production.","container-title":"Nutrient Cycling in Agroecosystems","DOI":"10.1007/s10705-018-9965-z","ISSN":"1573-0867","issue":"1","journalAbbreviation":"Nutr Cycl Agroecosyst","language":"en","page":"95-111","source":"Springer Link","title":"N2O emissions and NO3− leaching from two contrasting regions in Austria and influence of soil, crops and climate: a modelling approach","title-short":"N2O emissions and NO3− leaching from two contrasting regions in Austria and influence of soil, crops and climate","URL":"https://doi.org/10.1007/s10705-018-9965-z","volume":"113","author":[{"family":"Kasper","given":"M."},{"family":"Foldal","given":"C."},{"family":"Kitzler","given":"B."},{"family":"Haas","given":"E."},{"family":"Strauss","given":"P."},{"family":"Eder","given":"A."},{"family":"Zechmeister-Boltenstern","given":"S."},{"family":"Amon","given":"B."}],"accessed":{"date-parts":[["2025",3,31]]},"issued":{"date-parts":[["2019",1,1]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(Kasper </w:t>
      </w:r>
      <w:r>
        <w:rPr>
          <w:rFonts w:ascii="Arial" w:hAnsi="Arial" w:cs="Arial"/>
          <w:i/>
          <w:iCs/>
          <w:sz w:val="24"/>
          <w:szCs w:val="24"/>
          <w:lang w:val="es-ES"/>
        </w:rPr>
        <w:t>et al</w:t>
      </w:r>
      <w:r>
        <w:rPr>
          <w:rFonts w:ascii="Arial" w:hAnsi="Arial" w:cs="Arial"/>
          <w:sz w:val="24"/>
          <w:szCs w:val="24"/>
          <w:lang w:val="es-ES"/>
        </w:rPr>
        <w:t>., 2019)</w:t>
      </w:r>
      <w:r>
        <w:rPr>
          <w:rFonts w:ascii="Arial" w:hAnsi="Arial" w:cs="Arial"/>
          <w:sz w:val="24"/>
          <w:szCs w:val="24"/>
          <w:lang w:val="es-ES"/>
        </w:rPr>
        <w:fldChar w:fldCharType="end"/>
      </w:r>
      <w:r>
        <w:rPr>
          <w:rFonts w:ascii="Arial" w:hAnsi="Arial" w:cs="Arial"/>
          <w:sz w:val="24"/>
          <w:szCs w:val="24"/>
          <w:lang w:val="es-ES"/>
        </w:rPr>
        <w:t>.</w:t>
      </w:r>
    </w:p>
    <w:p w14:paraId="55EB1328"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De esta forma, predicen el desarrollo, crecimiento, rendimiento, absorción de agua y nutrientes de los cultivos utilizando datos meteorológicos y otra información sobre el entorno agrícola. Para ello</w:t>
      </w:r>
      <w:r w:rsidR="009337A4">
        <w:rPr>
          <w:rFonts w:ascii="Arial" w:hAnsi="Arial" w:cs="Arial"/>
          <w:sz w:val="24"/>
          <w:szCs w:val="24"/>
          <w:lang w:val="es-ES"/>
        </w:rPr>
        <w:t>,</w:t>
      </w:r>
      <w:r>
        <w:rPr>
          <w:rFonts w:ascii="Arial" w:hAnsi="Arial" w:cs="Arial"/>
          <w:sz w:val="24"/>
          <w:szCs w:val="24"/>
          <w:lang w:val="es-ES"/>
        </w:rPr>
        <w:t xml:space="preserve"> incorporan varios tipos de datos, incluidas las variables meteorológicas diarias (como la radiación solar, las temperaturas </w:t>
      </w:r>
      <w:r>
        <w:rPr>
          <w:rFonts w:ascii="Arial" w:hAnsi="Arial" w:cs="Arial"/>
          <w:sz w:val="24"/>
          <w:szCs w:val="24"/>
          <w:lang w:val="es-ES"/>
        </w:rPr>
        <w:lastRenderedPageBreak/>
        <w:t xml:space="preserve">máximas y mínimas y las precipitaciones), la información sobre el riego, las propiedades del suelo, las condiciones iniciales del suelo, los atributos de los cultivares y las prácticas de gestión de los cultivos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{"citationID":"lBegZ34v","properties":{"custom":"(Boote {\\i{}et al}., 2021)","formattedCitation":"(Boote {\\i{}et al}., 2021)","plainCitation":"(Boote et al., 2021)","noteIndex":0},"citationItems":[{"id":643,"uris":["http://zotero.org/users/12642312/items/39Z8AHQ3"],"itemData":{"id":643,"type":"article-journal","abstract":"Carinata (Brassica carinata) is an oilseed crop which, because of its non-edible oil composition and favorable fatty acid profile, is proposed as a “green” sustainable aviation fuel. It can be grown as a winter crop in the southeastern USA or as a summer annual crop in northern latitudes. No crop models exist for carinata because it is a relatively new crop. The CROPGRO model is a mechanistic crop simulation of daily crop growth and development as a function of daily weather, soil properties, crop management, and species parameters. We adapted the CROPGRO model to simulate carinata based on growth analysis data collected over two seasons at three sites: Quincy, FL, Jay, FL, and Shorter, AL. The adaptation process required literature knowledge as well as optimization against field observations. The parameterization of model sensitivities to climatic factors is presented. The adapted model gave good simulations of carinata growth dynamics compared to observed growth during different seasons and locations and in response to N fertilization. While additional testing is appropriate, the model is sufficiently ready to be used for various applications. An example application is presented for the effect of sowing date on carinata yield and maturity over long-term weather in the Southeastern USA.","container-title":"GCB Bioenergy","DOI":"10.1111/gcbb.12838","ISSN":"1757-1693, 1757-1707","issue":"7","journalAbbreviation":"GCB Bioenergy","language":"en","page":"1134-1148","source":"DOI.org (Crossref)","title":"Adapting the CROPGRO model to simulate growth and production of &lt;i&gt;Brassica carinata&lt;/i&gt; , a bio</w:instrText>
      </w:r>
      <w:r>
        <w:rPr>
          <w:rFonts w:ascii="Cambria Math" w:hAnsi="Cambria Math" w:cs="Cambria Math"/>
          <w:sz w:val="24"/>
          <w:szCs w:val="24"/>
          <w:lang w:val="es-ES"/>
        </w:rPr>
        <w:instrText>‐</w:instrText>
      </w:r>
      <w:r>
        <w:rPr>
          <w:rFonts w:ascii="Arial" w:hAnsi="Arial" w:cs="Arial"/>
          <w:sz w:val="24"/>
          <w:szCs w:val="24"/>
          <w:lang w:val="es-ES"/>
        </w:rPr>
        <w:instrText xml:space="preserve">fuel crop","URL":"https://onlinelibrary.wiley.com/doi/10.1111/gcbb.12838","volume":"13","author":[{"family":"Boote","given":"Kenneth J."},{"family":"Seepaul","given":"Ramdeo"},{"family":"Mulvaney","given":"Michael J."},{"family":"Hagan","given":"Austin K."},{"family":"Bashyal","given":"Mahesh"},{"family":"George","given":"Sheeja"},{"family":"Small","given":"Ian"},{"family":"Wright","given":"David L."}],"accessed":{"date-parts":[["2025",3,12]]},"issued":{"date-parts":[["2021",7]]}}}],"schema":"https://github.com/citation-style-language/schema/raw/master/csl-citation.json"}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(Boote </w:t>
      </w:r>
      <w:r>
        <w:rPr>
          <w:rFonts w:ascii="Arial" w:hAnsi="Arial" w:cs="Arial"/>
          <w:i/>
          <w:iCs/>
          <w:sz w:val="24"/>
          <w:szCs w:val="24"/>
          <w:lang w:val="es-ES"/>
        </w:rPr>
        <w:t>et al</w:t>
      </w:r>
      <w:r>
        <w:rPr>
          <w:rFonts w:ascii="Arial" w:hAnsi="Arial" w:cs="Arial"/>
          <w:sz w:val="24"/>
          <w:szCs w:val="24"/>
          <w:lang w:val="es-ES"/>
        </w:rPr>
        <w:t>., 2021)</w:t>
      </w:r>
      <w:r>
        <w:rPr>
          <w:rFonts w:ascii="Arial" w:hAnsi="Arial" w:cs="Arial"/>
          <w:sz w:val="24"/>
          <w:szCs w:val="24"/>
          <w:lang w:val="es-ES"/>
        </w:rPr>
        <w:fldChar w:fldCharType="end"/>
      </w:r>
      <w:r>
        <w:rPr>
          <w:rFonts w:ascii="Arial" w:hAnsi="Arial" w:cs="Arial"/>
          <w:sz w:val="24"/>
          <w:szCs w:val="24"/>
          <w:lang w:val="es-ES"/>
        </w:rPr>
        <w:t xml:space="preserve">, para hacer predicciones sobre la planificación futura </w:t>
      </w:r>
      <w:r>
        <w:rPr>
          <w:rFonts w:ascii="Arial" w:hAnsi="Arial" w:cs="Arial"/>
          <w:color w:val="000000"/>
          <w:sz w:val="24"/>
          <w:szCs w:val="24"/>
          <w:lang w:val="es-ES"/>
        </w:rPr>
        <w:t xml:space="preserve">de los procesos que ocurren en un sistema real </w:t>
      </w:r>
      <w:r>
        <w:rPr>
          <w:rFonts w:ascii="Arial" w:hAnsi="Arial" w:cs="Arial"/>
          <w:color w:val="000000"/>
          <w:sz w:val="24"/>
          <w:szCs w:val="24"/>
          <w:lang w:val="es-ES"/>
        </w:rPr>
        <w:fldChar w:fldCharType="begin"/>
      </w:r>
      <w:r>
        <w:rPr>
          <w:rFonts w:ascii="Arial" w:hAnsi="Arial" w:cs="Arial"/>
          <w:color w:val="000000"/>
          <w:sz w:val="24"/>
          <w:szCs w:val="24"/>
          <w:lang w:val="es-ES"/>
        </w:rPr>
        <w:instrText xml:space="preserve"> ADDIN ZOTERO_ITEM CSL_CITATION {"citationID":"2QTIA2vv","properties":{"custom":"(Saqib {\\i{}et al}., 2020)","formattedCitation":"(Saqib {\\i{}et al}., 2020)","plainCitation":"(Saqib et al., 2020)","noteIndex":0},"citationItems":[{"id":846,"uris":["http://zotero.org/users/12642312/items/8AU6LV6P"],"itemData":{"id":846,"type":"article-journal","language":"en","source":"Zotero","title":"Integrating Novel Deep Neural Networks on the Analysis of Fractional Epidemiological Models in both Populations with Disease Infection","author":[{"family":"Saqib","given":"Sana Ullah"},{"family":"Anjum","given":"Muhammad Wajahat"},{"family":"Hasan","given":"Ali"},{"family":"Qasmi","given":"M Hakam Ali"}],"issued":{"date-parts":[["2020"]]}}}],"schema":"https://github.com/citation-style-language/schema/raw/master/csl-citation.json"} </w:instrText>
      </w:r>
      <w:r>
        <w:rPr>
          <w:rFonts w:ascii="Arial" w:hAnsi="Arial" w:cs="Arial"/>
          <w:color w:val="000000"/>
          <w:sz w:val="24"/>
          <w:szCs w:val="24"/>
          <w:lang w:val="es-ES"/>
        </w:rPr>
        <w:fldChar w:fldCharType="separate"/>
      </w:r>
      <w:r>
        <w:rPr>
          <w:rFonts w:ascii="Arial" w:hAnsi="Arial" w:cs="Arial"/>
          <w:sz w:val="24"/>
          <w:szCs w:val="24"/>
          <w:lang w:val="es-ES"/>
        </w:rPr>
        <w:t xml:space="preserve">(Saqib </w:t>
      </w:r>
      <w:r>
        <w:rPr>
          <w:rFonts w:ascii="Arial" w:hAnsi="Arial" w:cs="Arial"/>
          <w:i/>
          <w:iCs/>
          <w:sz w:val="24"/>
          <w:szCs w:val="24"/>
          <w:lang w:val="es-ES"/>
        </w:rPr>
        <w:t>et al</w:t>
      </w:r>
      <w:r>
        <w:rPr>
          <w:rFonts w:ascii="Arial" w:hAnsi="Arial" w:cs="Arial"/>
          <w:sz w:val="24"/>
          <w:szCs w:val="24"/>
          <w:lang w:val="es-ES"/>
        </w:rPr>
        <w:t>., 2020)</w:t>
      </w:r>
      <w:r>
        <w:rPr>
          <w:rFonts w:ascii="Arial" w:hAnsi="Arial" w:cs="Arial"/>
          <w:color w:val="000000"/>
          <w:sz w:val="24"/>
          <w:szCs w:val="24"/>
          <w:lang w:val="es-ES"/>
        </w:rPr>
        <w:fldChar w:fldCharType="end"/>
      </w:r>
      <w:r>
        <w:rPr>
          <w:rFonts w:ascii="Arial" w:hAnsi="Arial" w:cs="Arial"/>
          <w:color w:val="000000"/>
          <w:sz w:val="24"/>
          <w:szCs w:val="24"/>
          <w:lang w:val="es-ES"/>
        </w:rPr>
        <w:t xml:space="preserve">. </w:t>
      </w:r>
    </w:p>
    <w:p w14:paraId="364AB94D" w14:textId="61941A38" w:rsidR="008403BD" w:rsidRDefault="007D49D9">
      <w:pPr>
        <w:spacing w:before="120" w:after="0" w:line="360" w:lineRule="auto"/>
        <w:jc w:val="both"/>
        <w:rPr>
          <w:rFonts w:ascii="Arial" w:eastAsia="Calibri" w:hAnsi="Arial" w:cs="Arial"/>
          <w:sz w:val="24"/>
          <w:szCs w:val="24"/>
          <w:lang w:val="es-ES" w:eastAsia="es-ES"/>
        </w:rPr>
      </w:pPr>
      <w:r w:rsidRPr="00D81F2C">
        <w:rPr>
          <w:rFonts w:ascii="Arial" w:hAnsi="Arial" w:cs="Arial"/>
          <w:sz w:val="24"/>
          <w:szCs w:val="24"/>
          <w:lang w:val="es-ES"/>
        </w:rPr>
        <w:t xml:space="preserve">Los modelos de simulación varían en función de los objetivos, las condiciones de producción y el nivel de detalle deseado. </w:t>
      </w:r>
      <w:r w:rsidRPr="00D81F2C">
        <w:rPr>
          <w:rFonts w:ascii="Arial" w:eastAsia="Calibri" w:hAnsi="Arial" w:cs="Arial"/>
          <w:sz w:val="24"/>
          <w:szCs w:val="24"/>
          <w:lang w:val="es-ES" w:eastAsia="es-ES"/>
        </w:rPr>
        <w:t xml:space="preserve">En la actualidad, existen diversos modelos que simulan el desarrollo de diferentes cultivos en diversos escenarios como: </w:t>
      </w:r>
      <w:proofErr w:type="spellStart"/>
      <w:r>
        <w:rPr>
          <w:rFonts w:ascii="Arial" w:eastAsia="Calibri" w:hAnsi="Arial" w:cs="Arial"/>
          <w:sz w:val="24"/>
          <w:szCs w:val="24"/>
          <w:lang w:val="es-ES" w:eastAsia="es-ES"/>
        </w:rPr>
        <w:t>AquaCrop</w:t>
      </w:r>
      <w:proofErr w:type="spellEnd"/>
      <w:r>
        <w:rPr>
          <w:rFonts w:ascii="Arial" w:eastAsia="Calibri" w:hAnsi="Arial" w:cs="Arial"/>
          <w:sz w:val="24"/>
          <w:szCs w:val="24"/>
          <w:lang w:val="es-ES" w:eastAsia="es-ES"/>
        </w:rPr>
        <w:t xml:space="preserve"> </w:t>
      </w:r>
      <w:r>
        <w:rPr>
          <w:rFonts w:ascii="Arial" w:eastAsia="Calibri" w:hAnsi="Arial" w:cs="Arial"/>
          <w:sz w:val="24"/>
          <w:szCs w:val="24"/>
          <w:lang w:val="es-ES" w:eastAsia="es-ES"/>
        </w:rPr>
        <w:fldChar w:fldCharType="begin"/>
      </w:r>
      <w:r w:rsidR="00523AA2">
        <w:rPr>
          <w:rFonts w:ascii="Arial" w:eastAsia="Calibri" w:hAnsi="Arial" w:cs="Arial"/>
          <w:sz w:val="24"/>
          <w:szCs w:val="24"/>
          <w:lang w:val="es-ES" w:eastAsia="es-ES"/>
        </w:rPr>
        <w:instrText xml:space="preserve"> ADDIN ZOTERO_ITEM CSL_CITATION {"citationID":"BaE5lNPg","properties":{"custom":"(Corbari {\\i{}et al}., 2021; Cheng {\\i{}et al}., 2022; Ebrahimipak {\\i{}et al}., 2022; Lipovac {\\i{}et al}., 2022; Muroyiwa {\\i{}et al}., 2022)","unsorted":true,"formattedCitation":"(Corbari {\\i{}et al}., 2021; Cheng {\\i{}et al}., 2022; Ebrahimipak {\\i{}et al}., 2022; Lipovac {\\i{}et al}., 2022; Muroyiwa {\\i{}et al}., 2022)","plainCitation":"(Corbari et al., 2021; Cheng et al., 2022; Ebrahimipak et al., 2022; Lipovac et al., 2022; Muroyiwa et al., 2022)","noteIndex":0},"citationItems":[{"id":989,"uris":["http://zotero.org/users/12642312/items/3ILHYXFH"],"itemData":{"id":989,"type":"article-journal","abstract":"Remote sensing data of canopy cover and leaf area index are used together with the AquaCrop model to optimize irrigation water use efﬁciency for tomato and maize ﬁelds across Italy, which differ in climate, soil types and irrigation technique. An optimization irrigation strategy, “SIM strategy”, is developed based on crop stress thresholds and then applied to all the analyzed ﬁelds in different crop seasons, evaluating the effect not only on irrigation volume and number of irrigations but also on crop yield and canopy cover, and on the drainage ﬂux which represents the main water loss. Irrigation volume reduction is found to be between 200 and 1000 mm, mainly depending on the different soil types within the climate, irrigation technique and crop type. This is directly related to the drainage ﬂux reduction which is of a similar entity. The SIM strategy efﬁciency has then been quantiﬁed by different indicators, such as the irrigation water use efﬁciency (IWUE) which is higher than with the observed irrigations (around 35% for tomato ﬁelds in Southern Italy, between 30 and 80% for maize in Northern Italy), and the percolation deﬁcit and irrigation efﬁciency. The AquaCrop model has been previously calibrated against canopy cover and leaf area index (LAI) data, producing errors between 0.7 and 5%, while absolute mean errors (MAE) between 0.015 and 0.04 are obtained for soil moisture (SM). The validation of the AquaCrop model has been performed against evapotranspiration (ET) ground-measured data and crop yields producing MAE values ranging from 0.3 to 0.9 mm/day, and 0.9 ton/ha for maize and 10 ton/ha for tomatoes, respectively.","container-title":"Hydrology","DOI":"10.3390/hydrology8010039","ISSN":"2306-5338","issue":"1","journalAbbreviation":"Hydrology","language":"en","license":"https://creativecommons.org/licenses/by/4.0/","page":"39","source":"DOI.org (Crossref)","title":"Optimizing Irrigation Water Use Efficiency for Tomato and Maize Fields across Italy Combining Remote Sensing Data and the AquaCrop Model","URL":"https://www.mdpi.com/2306-5338/8/1/39","volume":"8","author":[{"family":"Corbari","given":"Chiara"},{"family":"Ben Charfi","given":"Imen"},{"family":"Mancini","given":"Marco"}],"accessed":{"date-parts":[["2025",3,26]]},"issued":{"date-parts":[["2021",3,2]]}},"label":"page"},{"id":993,"uris":["http://zotero.org/users/12642312/items/ZRZXSQUJ"],"itemData":{"id":993,"type":"article-journal","abstract":"Assessing and optimizing crop management strategies, e.g. irrigation and nitrogen (N) fertilization, is critical for the sustainable production of crops. Currently, crop simulation models combined with experimental data have been proved to be effective tools. Herein, the FAO AquaCrop model was calibrated and validated based on fieldmeasured data during two consecutive growing seasons (2020 and 2021) for predicting canopy cover (CC, %), aboveground biomass and soil water content (SWC, mm) on a daily scale, and for simulating final fruit yield, evapotranspiration (ET, mm) and water productivity (WP, kg m 3) on a seasonal scale under plastic film mulch condition. The two-year experiment included three irrigation levels (60 %, 80 % and 100 % ET0, where ET0 is the reference evapotranspiration) and five N fertilizer rates (0, 180, 270, 360 and 450 kg N ha 1). In general, the AquaCrop model adequately simulated the dynamic changes of cherry tomato CC, aboveground biomass and final fruit yield. Nonetheless, the model severely overestimated SWC especially under full irrigation in the twoyear experiment, and the simulation accuracy gradually increased with the increase of N rate. For ET, it was largely underestimated. With the decrease in irrigation level and N rate, the simulation accuracy improved and the impact of water stress was stronger than that of nitrogen stress. The simulation accuracy of WP decreased as irrigation level and N rate increased. The optimal integrated regime was deficit irrigation of 80 % ET0 combined with N rate of 360 kg ha 1 (I80N360), which obtained 98.24 % of potential yield while significantly decreasing water input. The simulation of the mulched module and parameters of the AquaCrop model (crop transpiration, water productivity, etc.) should be further optimized and verified. If these improvements can be made, the AquaCrop model can be used in the decision-making of irrigation and N fertilization strategies of cherry tomato under plastic film mulch condition.","container-title":"Agricultural Water Management","DOI":"10.1016/j.agwat.2022.107949","ISSN":"03783774","journalAbbreviation":"Agricultural Water Management","language":"en","page":"107949","source":"DOI.org (Crossref)","title":"Evaluation of AquaCrop model for greenhouse cherry tomato with plastic film mulch under various water and nitrogen supplies","URL":"https://linkinghub.elsevier.com/retrieve/pii/S0378377422004966","volume":"274","author":[{"family":"Cheng","given":"Minghui"},{"family":"Wang","given":"Haidong"},{"family":"Fan","given":"Junliang"},{"family":"Xiang","given":"Youzhen"},{"family":"Liu","given":"Xiaoqiang"},{"family":"Liao","given":"Zhenqi"},{"family":"Abdelghany","given":"Ahmed Elsayed"},{"family":"Zhang","given":"Fucang"},{"family":"Li","given":"Zhijun"}],"accessed":{"date-parts":[["2025",3,26]]},"issued":{"date-parts":[["2022",12]]}},"label":"page"},{"id":875,"uris":["http://zotero.org/users/12642312/items/QALGBCCK"],"itemData":{"id":875,"type":"article-journal","abstract":"Irrigation water and nitrogen fertilizer management have an effective effect on tomato yield and water use efficiency. So, it is important to know the best amount of irrigation and nitrogen fertilizer for tomato cultivation. Since doing farm researches need time and funds, it is necessary to use crop growth models like AquaCrop. Regarding that, data collected from Ismaeel Abad research station was used. The study was conducted there, irrigation was considered as four levels (E1: 50, E2: 75, E3: 100, and E4: 125 mm evaporation from pan class A) and fertility uses was considered as three levels (F1: 70, F2:100, and F3: 40 percent as fertility needed). At first, AquaCrop was calibrated without considering any fertility stresses using first year data. Then, F3 treatment in the first and second year was used to calibrate AquaCrop for fertility stress (40 percent as fertility needed). Results showed high correlation between observation and simulation values for yield (R2=0.915) and water use efficiency (R2=0.893). MBE, RMSE and NRMSE values showed a good precision for the model. The mentioned values were -0.02 (ton.ha-1), 0.42 (ton.ha-1) and 0.07 for yield, respectively, and -0.01 (ton.ha-1), 0.02 (ton.ha-1) and 0.03 for water use efficiency, respectively. Due to AquaCrop efficiency for simulating tomato yield (EF=0.41) and water use efficiency (EF=0.19), it is recommended to use AquaCop for simulating tomato yield and water use efficiency.","container-title":"Irrigation and Water Engineering","DOI":"10.22125/iwe.2022.146391","ISSN":"2251-7359","issue":"3","language":"en","note":"publisher: انجمن علم</w:instrText>
      </w:r>
      <w:r w:rsidR="00523AA2">
        <w:rPr>
          <w:rFonts w:ascii="Arial" w:eastAsia="Calibri" w:hAnsi="Arial" w:cs="Arial" w:hint="cs"/>
          <w:sz w:val="24"/>
          <w:szCs w:val="24"/>
          <w:lang w:val="es-ES" w:eastAsia="es-ES"/>
        </w:rPr>
        <w:instrText>ی</w:instrText>
      </w:r>
      <w:r w:rsidR="00523AA2">
        <w:rPr>
          <w:rFonts w:ascii="Arial" w:eastAsia="Calibri" w:hAnsi="Arial" w:cs="Arial"/>
          <w:sz w:val="24"/>
          <w:szCs w:val="24"/>
          <w:lang w:val="es-ES" w:eastAsia="es-ES"/>
        </w:rPr>
        <w:instrText xml:space="preserve"> مهندس</w:instrText>
      </w:r>
      <w:r w:rsidR="00523AA2">
        <w:rPr>
          <w:rFonts w:ascii="Arial" w:eastAsia="Calibri" w:hAnsi="Arial" w:cs="Arial" w:hint="cs"/>
          <w:sz w:val="24"/>
          <w:szCs w:val="24"/>
          <w:lang w:val="es-ES" w:eastAsia="es-ES"/>
        </w:rPr>
        <w:instrText>ی</w:instrText>
      </w:r>
      <w:r w:rsidR="00523AA2">
        <w:rPr>
          <w:rFonts w:ascii="Arial" w:eastAsia="Calibri" w:hAnsi="Arial" w:cs="Arial"/>
          <w:sz w:val="24"/>
          <w:szCs w:val="24"/>
          <w:lang w:val="es-ES" w:eastAsia="es-ES"/>
        </w:rPr>
        <w:instrText xml:space="preserve"> آب</w:instrText>
      </w:r>
      <w:r w:rsidR="00523AA2">
        <w:rPr>
          <w:rFonts w:ascii="Arial" w:eastAsia="Calibri" w:hAnsi="Arial" w:cs="Arial" w:hint="cs"/>
          <w:sz w:val="24"/>
          <w:szCs w:val="24"/>
          <w:lang w:val="es-ES" w:eastAsia="es-ES"/>
        </w:rPr>
        <w:instrText>ی</w:instrText>
      </w:r>
      <w:r w:rsidR="00523AA2">
        <w:rPr>
          <w:rFonts w:ascii="Arial" w:eastAsia="Calibri" w:hAnsi="Arial" w:cs="Arial" w:hint="eastAsia"/>
          <w:sz w:val="24"/>
          <w:szCs w:val="24"/>
          <w:lang w:val="es-ES" w:eastAsia="es-ES"/>
        </w:rPr>
        <w:instrText>ار</w:instrText>
      </w:r>
      <w:r w:rsidR="00523AA2">
        <w:rPr>
          <w:rFonts w:ascii="Arial" w:eastAsia="Calibri" w:hAnsi="Arial" w:cs="Arial" w:hint="cs"/>
          <w:sz w:val="24"/>
          <w:szCs w:val="24"/>
          <w:lang w:val="es-ES" w:eastAsia="es-ES"/>
        </w:rPr>
        <w:instrText>ی</w:instrText>
      </w:r>
      <w:r w:rsidR="00523AA2">
        <w:rPr>
          <w:rFonts w:ascii="Arial" w:eastAsia="Calibri" w:hAnsi="Arial" w:cs="Arial"/>
          <w:sz w:val="24"/>
          <w:szCs w:val="24"/>
          <w:lang w:val="es-ES" w:eastAsia="es-ES"/>
        </w:rPr>
        <w:instrText xml:space="preserve"> و آب ا</w:instrText>
      </w:r>
      <w:r w:rsidR="00523AA2">
        <w:rPr>
          <w:rFonts w:ascii="Arial" w:eastAsia="Calibri" w:hAnsi="Arial" w:cs="Arial" w:hint="cs"/>
          <w:sz w:val="24"/>
          <w:szCs w:val="24"/>
          <w:lang w:val="es-ES" w:eastAsia="es-ES"/>
        </w:rPr>
        <w:instrText>ی</w:instrText>
      </w:r>
      <w:r w:rsidR="00523AA2">
        <w:rPr>
          <w:rFonts w:ascii="Arial" w:eastAsia="Calibri" w:hAnsi="Arial" w:cs="Arial" w:hint="eastAsia"/>
          <w:sz w:val="24"/>
          <w:szCs w:val="24"/>
          <w:lang w:val="es-ES" w:eastAsia="es-ES"/>
        </w:rPr>
        <w:instrText>ران</w:instrText>
      </w:r>
      <w:r w:rsidR="00523AA2">
        <w:rPr>
          <w:rFonts w:ascii="Arial" w:eastAsia="Calibri" w:hAnsi="Arial" w:cs="Arial"/>
          <w:sz w:val="24"/>
          <w:szCs w:val="24"/>
          <w:lang w:val="es-ES" w:eastAsia="es-ES"/>
        </w:rPr>
        <w:instrText xml:space="preserve">","page":"121-136","source":"www.waterjournal.ir","title":"The Effect of Irrigation Water Management and Fertilizer Amount on AquaCrop Accuracy and Efficiency for Tomato Yield and Water Use Efficiency Simulation","URL":"https://www.waterjournal.ir/article_146391_en.html","volume":"12","author":[{"family":"Ebrahimipak","given":"Niazali"},{"family":"Egdarnejad","given":"Aslan"},{"family":"Tafteh","given":"Arash"},{"family":"Ansari","given":"Mohammad Ali"}],"accessed":{"date-parts":[["2025",3,26]]},"issued":{"date-parts":[["2022",3,21]]}},"label":"page"},{"id":634,"uris":["http://zotero.org/users/12642312/items/GP7DQ7T7"],"itemData":{"id":634,"type":"article-journal","abstract":"Water for irrigation will undoubtedly be reduced as a result of climate change, disrupted rainfall patterns, and water scarcity, putting crop production in jeopardy. As a result, in order to maintain high agricultural production and meet food demand, new technology must be developed, and the feasibility of cultivating essential vegetable crops without irrigation must be investigated. The goal of this research is to estimate tomato water consumption, growth, and yield using the Aquacrop model. The experiment was put up on carbonate chernozem soil near Stara Pazova (40 kilometers north of Belgrade). There were two treatments: soil treated with organic fertilizer Fertigkompost (OF) and soil treated with no organic fertilizer (K). Both treatments were fed by rain. The obtained results show that the AquaCrop model accurately predicts tomato yields with variations of 7.1 percent and 11.8 percent, respectively, when compared to observed yields on OF and K treatments. For the OF and K treatments, statistical indices of correlation coefficients (r) of 0.97 and 0.95, respectively, root mean square error (RMSE) of 10.1 percent, 9.0 percent, and Willmott index of agreement (d) of 0.98, 0.97, confirm excellent assessment of tomato growth. Water consumption is likewise fairly predicted by the model, with r= 0.72 and 0.63, RMSE = 38.1 and 32.5 mm, and d= 0.83 and 0.76 for the OF and K treatments, respectively. With high confidence, the model may be used to estimate tomato production in a variety of growth circumstances.","container-title":"Journal of Agricultural, Food and Environmental Sciences","DOI":"10.55302/JAFES22768007l","ISSN":"25454315","issue":"8","journalAbbreviation":"JAFES","language":"en","page":"7-14","source":"DOI.org (Crossref)","title":"SIMULATION OF WATER CONSUMPTION, GROWTH AND YIELD OF TOMATOES USING THE AQUACROP MODEL","URL":"https://journals.ukim.mk/index.php/jafes/article/view/1919","volume":"76","author":[{"family":"Lipovac","given":"Aleksa"},{"family":"Stricevic","given":"Ruzica"},{"family":"Ćosić","given":"Marija"},{"family":"Djurović","given":"Nevenka"}],"accessed":{"date-parts":[["2025",3,12]]},"issued":{"date-parts":[["2022"]]}},"label":"page"},{"id":889,"uris":["http://zotero.org/users/12642312/items/LVPF3ZX4"],"itemData":{"id":889,"type":"article-journal","abstract":"Crop simulation models have an important role in evaluating irrigation management strategies for improving agricultural water use. The aim of this study was to evaluate the AquaCrop model for ability to simulate water use and tomato (Lycopersicon esculentum Mill.) fruit yields under deficit irrigation conditions. A fieldexperiment was conducted at Thornpark, University of Zimbabwe Research site over four seasons (2014 and 2017). The data collected for yield and water use were used to run and evaluate the performance of AquaCrop in predicting water use efficiency and fruit yield. Four treatments defined in relation to 100% of the crop water requirement (ETc) were simulated: T1 100% ETc; T2 80% ETc; T3 60% ETc and T4 50% ETc. The model performance was satisfactory, with a good correlation between the simulated and observed soil water content (SWC) and fruit yield (FY). All the statistical indicators (The Normalised Root Mean Square Error (R2), Root Mean Square Error (RMSE), Nush Sutcliffe Model Efficiency (EF), Pearson Correlation Coefficient (r), and Willmott’s Index of Agreement (d)) used to compare the observed and predicted parameters, showed good performance; for example the EF showed values of 0.91 for SWC, the (r) showed values of 0.95 for SWC and a FY of 2.79 and 2.39 metric tonnes ha-1 for the simulated results. The results showed that the values of the simulated FY were consistent with the measured, with corresponding coefficients of determination (R2) of 0.93. The results revealed AquaCropisable to simulate the yield of tomato and the seasonal water requirements to an appreciable degree. However, it must be pointed out that the calibration of AquaCrop suffered from lack of measured data on the progress of crop canopy cover, which is an important parameter used in developing the model. The results obtained showed that AquaCrop can be used effectively in simulating tomato production under deficit irrigation and, therefore, it can be used as a decisionmaking tool for irrigation management of tomatoes in Zimbabwe.","container-title":"African Crop Science Journal","ISSN":"2072-6589","issue":"2","language":"en","license":"Copyright (c) 0","note":"number: 2","page":"245-269","source":"www.ajol.info","title":"Evaluation of FAO aquacrop model for ability to simulate attainable yields and water use for field tomatoes grown under deficit irrigation in Harare, Zimbabwe","URL":"https://www.ajol.info/index.php/acsj/article/view/244976","volume":"30","author":[{"family":"Muroyiwa","given":"G."},{"family":"Mhizha","given":"T."},{"family":"Mashonjowa","given":"E."},{"family":"Muchuweti","given":"M."}],"accessed":{"date-parts":[["2025",3,26]]},"issued":{"date-parts":[["2022"]]}},"label":"page"}],"schema":"https://github.com/citation-style-language/schema/raw/master/csl-citation.json"} </w:instrText>
      </w:r>
      <w:r>
        <w:rPr>
          <w:rFonts w:ascii="Arial" w:eastAsia="Calibri" w:hAnsi="Arial" w:cs="Arial"/>
          <w:sz w:val="24"/>
          <w:szCs w:val="24"/>
          <w:lang w:val="es-ES" w:eastAsia="es-ES"/>
        </w:rPr>
        <w:fldChar w:fldCharType="separate"/>
      </w:r>
      <w:r w:rsidR="00523AA2" w:rsidRPr="00523AA2">
        <w:rPr>
          <w:rFonts w:ascii="Arial" w:hAnsi="Arial" w:cs="Arial"/>
          <w:sz w:val="24"/>
          <w:szCs w:val="24"/>
          <w:lang w:val="es-ES"/>
        </w:rPr>
        <w:t xml:space="preserve">(Corbari </w:t>
      </w:r>
      <w:r w:rsidR="00523AA2" w:rsidRPr="00523AA2">
        <w:rPr>
          <w:rFonts w:ascii="Arial" w:hAnsi="Arial" w:cs="Arial"/>
          <w:i/>
          <w:iCs/>
          <w:sz w:val="24"/>
          <w:szCs w:val="24"/>
          <w:lang w:val="es-ES"/>
        </w:rPr>
        <w:t>et al</w:t>
      </w:r>
      <w:r w:rsidR="00523AA2" w:rsidRPr="00523AA2">
        <w:rPr>
          <w:rFonts w:ascii="Arial" w:hAnsi="Arial" w:cs="Arial"/>
          <w:sz w:val="24"/>
          <w:szCs w:val="24"/>
          <w:lang w:val="es-ES"/>
        </w:rPr>
        <w:t xml:space="preserve">., 2021; Cheng </w:t>
      </w:r>
      <w:r w:rsidR="00523AA2" w:rsidRPr="00523AA2">
        <w:rPr>
          <w:rFonts w:ascii="Arial" w:hAnsi="Arial" w:cs="Arial"/>
          <w:i/>
          <w:iCs/>
          <w:sz w:val="24"/>
          <w:szCs w:val="24"/>
          <w:lang w:val="es-ES"/>
        </w:rPr>
        <w:t>et al</w:t>
      </w:r>
      <w:r w:rsidR="00523AA2" w:rsidRPr="00523AA2">
        <w:rPr>
          <w:rFonts w:ascii="Arial" w:hAnsi="Arial" w:cs="Arial"/>
          <w:sz w:val="24"/>
          <w:szCs w:val="24"/>
          <w:lang w:val="es-ES"/>
        </w:rPr>
        <w:t xml:space="preserve">., 2022; Ebrahimipak </w:t>
      </w:r>
      <w:r w:rsidR="00523AA2" w:rsidRPr="00523AA2">
        <w:rPr>
          <w:rFonts w:ascii="Arial" w:hAnsi="Arial" w:cs="Arial"/>
          <w:i/>
          <w:iCs/>
          <w:sz w:val="24"/>
          <w:szCs w:val="24"/>
          <w:lang w:val="es-ES"/>
        </w:rPr>
        <w:t>et al</w:t>
      </w:r>
      <w:r w:rsidR="00523AA2" w:rsidRPr="00523AA2">
        <w:rPr>
          <w:rFonts w:ascii="Arial" w:hAnsi="Arial" w:cs="Arial"/>
          <w:sz w:val="24"/>
          <w:szCs w:val="24"/>
          <w:lang w:val="es-ES"/>
        </w:rPr>
        <w:t xml:space="preserve">., 2022; Lipovac </w:t>
      </w:r>
      <w:r w:rsidR="00523AA2" w:rsidRPr="00523AA2">
        <w:rPr>
          <w:rFonts w:ascii="Arial" w:hAnsi="Arial" w:cs="Arial"/>
          <w:i/>
          <w:iCs/>
          <w:sz w:val="24"/>
          <w:szCs w:val="24"/>
          <w:lang w:val="es-ES"/>
        </w:rPr>
        <w:t>et al</w:t>
      </w:r>
      <w:r w:rsidR="00523AA2" w:rsidRPr="00523AA2">
        <w:rPr>
          <w:rFonts w:ascii="Arial" w:hAnsi="Arial" w:cs="Arial"/>
          <w:sz w:val="24"/>
          <w:szCs w:val="24"/>
          <w:lang w:val="es-ES"/>
        </w:rPr>
        <w:t xml:space="preserve">., 2022; Muroyiwa </w:t>
      </w:r>
      <w:r w:rsidR="00523AA2" w:rsidRPr="00523AA2">
        <w:rPr>
          <w:rFonts w:ascii="Arial" w:hAnsi="Arial" w:cs="Arial"/>
          <w:i/>
          <w:iCs/>
          <w:sz w:val="24"/>
          <w:szCs w:val="24"/>
          <w:lang w:val="es-ES"/>
        </w:rPr>
        <w:t>et al</w:t>
      </w:r>
      <w:r w:rsidR="00523AA2" w:rsidRPr="00523AA2">
        <w:rPr>
          <w:rFonts w:ascii="Arial" w:hAnsi="Arial" w:cs="Arial"/>
          <w:sz w:val="24"/>
          <w:szCs w:val="24"/>
          <w:lang w:val="es-ES"/>
        </w:rPr>
        <w:t>., 2022)</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proofErr w:type="spellStart"/>
      <w:r>
        <w:rPr>
          <w:rFonts w:ascii="Arial" w:eastAsia="Calibri" w:hAnsi="Arial" w:cs="Arial"/>
          <w:sz w:val="24"/>
          <w:szCs w:val="24"/>
          <w:lang w:val="es-ES" w:eastAsia="es-ES"/>
        </w:rPr>
        <w:t>CropSyst</w:t>
      </w:r>
      <w:proofErr w:type="spellEnd"/>
      <w:r>
        <w:rPr>
          <w:rFonts w:ascii="Arial" w:eastAsia="Calibri" w:hAnsi="Arial" w:cs="Arial"/>
          <w:sz w:val="24"/>
          <w:szCs w:val="24"/>
          <w:lang w:val="es-ES" w:eastAsia="es-ES"/>
        </w:rPr>
        <w:t xml:space="preserve"> </w:t>
      </w:r>
      <w:r>
        <w:rPr>
          <w:rFonts w:ascii="Arial" w:eastAsia="Calibri" w:hAnsi="Arial" w:cs="Arial"/>
          <w:sz w:val="24"/>
          <w:szCs w:val="24"/>
          <w:lang w:val="es-ES" w:eastAsia="es-ES"/>
        </w:rPr>
        <w:fldChar w:fldCharType="begin"/>
      </w:r>
      <w:r w:rsidR="00517400">
        <w:rPr>
          <w:rFonts w:ascii="Arial" w:eastAsia="Calibri" w:hAnsi="Arial" w:cs="Arial"/>
          <w:sz w:val="24"/>
          <w:szCs w:val="24"/>
          <w:lang w:val="es-ES" w:eastAsia="es-ES"/>
        </w:rPr>
        <w:instrText xml:space="preserve"> ADDIN ZOTERO_ITEM CSL_CITATION {"citationID":"T1UzvRtO","properties":{"custom":"(Gavasso {\\i{}et al}., 2024)","formattedCitation":"(Gavasso {\\i{}et al}., 2024)","plainCitation":"(Gavasso et al., 2024)","noteIndex":0},"citationItems":[{"id":642,"uris":["http://zotero.org/users/12642312/items/D486RH2A"],"itemData":{"id":642,"type":"article-journal","abstract":"Agriculture is directly related to food security as it determines the global food supply. Research in agriculture to predict crop productivity and losses helps avoid high food demand with little supply and price spikes. Here, we review ten crop models and one intercomparison project used for simulating crop growth and productivity under various impacts from soil–crop–atmosphere interactions. The review outlines food security and production assessments using numerical models for maize, wheat, and rice production. A summary of reviewed studies shows the following: (1) model ensembles provide smaller modeling errors compared to single models, (2) single models show better results when coupled with other types of models, (3) the ten reviewed crop models had improvements over the years and can accurately predict crop growth and yield for most of the locations, management conditions, and genotypes tested, (4) APSIM and DSSAT are fast and reliable in assessing broader output variables, (5) AquaCrop is indicated to investigate water footprint, quality and use efficiency in rainfed and irrigated systems, (6) all models assess nitrogen dynamics and use efficiency efficiently, excluding AquaCrop and WOFOST, (7) JULES specifies in evaluating food security vulnerability, (8) ORYZA is the main crop model used to evaluate paddy rice production, (9) grain filling is usually assessed with APSIM, DAISY, and DSSAT, and (10) the ten crop models can be used as tools to evaluate food production, availability, and security.","container-title":"Food and Energy Security","DOI":"10.1002/fes3.503","ISSN":"2048-3694, 2048-3694","issue":"1","journalAbbreviation":"Food and Energy Security","language":"en","page":"e503","source":"DOI.org (Crossref)","title":"Crop models and their use in assessing crop production and food security: A review","title-short":"Crop models and their use in assessing crop production and food security","URL":"https://onlinelibrary.wiley.com/doi/10.1002/fes3.503","volume":"13","author":[{"family":"Gavasso","given":"Yohanne Larissa"},{"family":"Papalexiou","given":"Simon Michael"},{"family":"Li","given":"Yanping"},{"family":"Elshorbagy","given":"Amin"},{"family":"Li","given":"Zhenhua"},{"family":"Schuster</w:instrText>
      </w:r>
      <w:r w:rsidR="00517400">
        <w:rPr>
          <w:rFonts w:ascii="Cambria Math" w:eastAsia="Calibri" w:hAnsi="Cambria Math" w:cs="Cambria Math"/>
          <w:sz w:val="24"/>
          <w:szCs w:val="24"/>
          <w:lang w:val="es-ES" w:eastAsia="es-ES"/>
        </w:rPr>
        <w:instrText>‐</w:instrText>
      </w:r>
      <w:r w:rsidR="00517400">
        <w:rPr>
          <w:rFonts w:ascii="Arial" w:eastAsia="Calibri" w:hAnsi="Arial" w:cs="Arial"/>
          <w:sz w:val="24"/>
          <w:szCs w:val="24"/>
          <w:lang w:val="es-ES" w:eastAsia="es-ES"/>
        </w:rPr>
        <w:instrText xml:space="preserve">Wallace","given":"Corinne"}],"accessed":{"date-parts":[["2025",3,12]]},"issued":{"date-parts":[["2024",1]]}}}],"schema":"https://github.com/citation-style-language/schema/raw/master/csl-citation.json"} </w:instrText>
      </w:r>
      <w:r>
        <w:rPr>
          <w:rFonts w:ascii="Arial" w:eastAsia="Calibri" w:hAnsi="Arial" w:cs="Arial"/>
          <w:sz w:val="24"/>
          <w:szCs w:val="24"/>
          <w:lang w:val="es-ES" w:eastAsia="es-ES"/>
        </w:rPr>
        <w:fldChar w:fldCharType="separate"/>
      </w:r>
      <w:r w:rsidR="00517400" w:rsidRPr="00517400">
        <w:rPr>
          <w:rFonts w:ascii="Arial" w:hAnsi="Arial" w:cs="Arial"/>
          <w:sz w:val="24"/>
          <w:szCs w:val="24"/>
          <w:lang w:val="es-ES"/>
        </w:rPr>
        <w:t xml:space="preserve">(Gavasso </w:t>
      </w:r>
      <w:r w:rsidR="00517400" w:rsidRPr="00517400">
        <w:rPr>
          <w:rFonts w:ascii="Arial" w:hAnsi="Arial" w:cs="Arial"/>
          <w:i/>
          <w:iCs/>
          <w:sz w:val="24"/>
          <w:szCs w:val="24"/>
          <w:lang w:val="es-ES"/>
        </w:rPr>
        <w:t>et al</w:t>
      </w:r>
      <w:r w:rsidR="00517400" w:rsidRPr="00517400">
        <w:rPr>
          <w:rFonts w:ascii="Arial" w:hAnsi="Arial" w:cs="Arial"/>
          <w:sz w:val="24"/>
          <w:szCs w:val="24"/>
          <w:lang w:val="es-ES"/>
        </w:rPr>
        <w:t>., 2024)</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proofErr w:type="spellStart"/>
      <w:r>
        <w:rPr>
          <w:rFonts w:ascii="Arial" w:hAnsi="Arial" w:cs="Arial"/>
          <w:color w:val="231F20"/>
          <w:sz w:val="24"/>
          <w:szCs w:val="24"/>
          <w:lang w:val="es-ES"/>
        </w:rPr>
        <w:t>Cropwat</w:t>
      </w:r>
      <w:proofErr w:type="spellEnd"/>
      <w:r>
        <w:rPr>
          <w:rFonts w:ascii="Arial" w:hAnsi="Arial" w:cs="Arial"/>
          <w:color w:val="231F20"/>
          <w:sz w:val="24"/>
          <w:szCs w:val="24"/>
          <w:lang w:val="es-ES"/>
        </w:rPr>
        <w:t xml:space="preserve"> </w:t>
      </w:r>
      <w:r>
        <w:rPr>
          <w:rFonts w:ascii="Arial" w:hAnsi="Arial" w:cs="Arial"/>
          <w:color w:val="231F20"/>
          <w:sz w:val="24"/>
          <w:szCs w:val="24"/>
          <w:lang w:val="es-ES"/>
        </w:rPr>
        <w:fldChar w:fldCharType="begin"/>
      </w:r>
      <w:r w:rsidR="008E182A">
        <w:rPr>
          <w:rFonts w:ascii="Arial" w:hAnsi="Arial" w:cs="Arial"/>
          <w:color w:val="231F20"/>
          <w:sz w:val="24"/>
          <w:szCs w:val="24"/>
          <w:lang w:val="es-ES"/>
        </w:rPr>
        <w:instrText xml:space="preserve"> ADDIN ZOTERO_ITEM CSL_CITATION {"citationID":"jA4A1NSH","properties":{"custom":"(Halimi &amp; Tefera, 2019; Grancharova {\\i{}et al}., 2022)","unsorted":true,"formattedCitation":"(Halimi &amp; Tefera, 2019; Grancharova {\\i{}et al}., 2022)","plainCitation":"(Halimi &amp; Tefera, 2019; Grancharova et al., 2022)","noteIndex":0},"citationItems":[{"id":630,"uris":["http://zotero.org/users/12642312/items/M58UBC9L"],"itemData":{"id":630,"type":"article-journal","abstract":"Low agricultural water productivity in irrigated agriculture and very low food security is challenging due to high population explosion and water exploitation in agriculture in both developed and developing countries in the world. CROPWAT model is decision support system developed by FAO and it is used as practical tool to carry out standard calculations for reference evapotranspiration, crop water requirements, irrigation scheduling, and also allows helps in planning and decision making in the areas were water resource availability is varying and scarce. Therefore, understanding crop water requirements (CWR) is essential for better irrigation practices, scheduling and efficient use of irrigated water since climatic variability and water scarcity is in every corner in the globe. So, the main purpose of this research was to estimate crop water requirement and irrigation scheduling of Tomato in Gödöllő under Hungarian environmental condition. The major input data has been used in CropWat-8 model was climatic data, crop data and soil data. From the result it has been observed that, the total amount of water requirement for Tomato determined to be 393.6 mm and 527 mm for 2010 and 2011 respectively were as total amount of irrigation requirement for 2010 was determined as 164.1 mm while for 2011, 363 mm irrigation water was estimated for irrigated Tomato production. The CropWat model for Tomato irrigation schedules for all growing periods in 2010 was zero, 19.2 mm, 116.1 mm and 28.9 mm in its initial, development, mid and let stages of growing period respectively and also the irrigation scheduling for Tomato in 2011 were 16.7 mm, 89 mm and 129 mm in initial and development stages respectively followed by128.3 mm in their mid and end stages. Besides in the study area, 2010 was the wettest year but 2011 was determined as the driest year this may cause adverse condition on crop yields quantity and quality especially in case of tomato in mentioned years.","container-title":"International Journal of Agriculture &amp; Environmental Science","DOI":"10.14445/23942568/IJAES-V6I1P101","ISSN":"23942568","issue":"1","journalAbbreviation":"IJAES","language":"en","page":"1-11","source":"DOI.org (Crossref)","title":"Application of Cropwat Model for Estimation of Irrigation Scheduling of Tomato in Changing Climate of Eastern Europe: the Case Study of Godollo, Hungary","title-short":"Application of Cropwat Model for Estimation of Irrigation Scheduling of Tomato in Changing Climate of Eastern Europe","URL":"http://www.internationaljournalssrg.org/IJAES/paper-details?Id=146","volume":"6","author":[{"family":"Halimi","given":"Abdul H"},{"family":"Tefera","given":"Ashebir H"}],"accessed":{"date-parts":[["2025",3,12]]},"issued":{"date-parts":[["2019",1,25]]}},"label":"page"},{"id":633,"uris":["http://zotero.org/users/12642312/items/2YWRCWAV"],"itemData":{"id":633,"type":"article-journal","abstract":"Emerging climate changes and rapidly growing demand for food are creating preconditions for making water an increasingly valuable resource and irrigation management assumed greater importance and increasingly responsible essential role. This study uses CROPWAT 8.0 model by FAO to predict and simulate crop water requirements for greenhouse tomato production in Chelopechene experimental field of the Institute of soil science, agrotechnologies and plant protection in Sofia, Bulgaria. The main input data are climatic data, crop data and soil data. The simulation results analysis suggests that an actual irrigation requirement of tomato is 489.5 mm. This study has proved that decision support tools like CROPWAT 8.0 are useful for irrigation planning and management and could be used by farmers to determine irrigation requirement and frequency, as well as contribute to saving water resources.","issue":"7","language":"en","source":"Zotero","title":"QUANTITATIVE PREDICTION OF TOMATO IRRIGATION NEEDS USING CROPWAT MODEL","volume":"76","author":[{"family":"Grancharova","given":"Elena"},{"family":"Elenov","given":"Blagoj"},{"family":"Janevska","given":"Emilija"}],"issued":{"date-parts":[["2022"]]}},"label":"page"}],"schema":"https://github.com/citation-style-language/schema/raw/master/csl-citation.json"} </w:instrText>
      </w:r>
      <w:r>
        <w:rPr>
          <w:rFonts w:ascii="Arial" w:hAnsi="Arial" w:cs="Arial"/>
          <w:color w:val="231F20"/>
          <w:sz w:val="24"/>
          <w:szCs w:val="24"/>
          <w:lang w:val="es-ES"/>
        </w:rPr>
        <w:fldChar w:fldCharType="separate"/>
      </w:r>
      <w:r w:rsidR="008E182A" w:rsidRPr="008E182A">
        <w:rPr>
          <w:rFonts w:ascii="Arial" w:hAnsi="Arial" w:cs="Arial"/>
          <w:sz w:val="24"/>
          <w:szCs w:val="24"/>
        </w:rPr>
        <w:t xml:space="preserve">(Halimi &amp; Tefera, 2019; Grancharova </w:t>
      </w:r>
      <w:r w:rsidR="008E182A" w:rsidRPr="008E182A">
        <w:rPr>
          <w:rFonts w:ascii="Arial" w:hAnsi="Arial" w:cs="Arial"/>
          <w:i/>
          <w:iCs/>
          <w:sz w:val="24"/>
          <w:szCs w:val="24"/>
        </w:rPr>
        <w:t>et al</w:t>
      </w:r>
      <w:r w:rsidR="008E182A" w:rsidRPr="008E182A">
        <w:rPr>
          <w:rFonts w:ascii="Arial" w:hAnsi="Arial" w:cs="Arial"/>
          <w:sz w:val="24"/>
          <w:szCs w:val="24"/>
        </w:rPr>
        <w:t>., 2022)</w:t>
      </w:r>
      <w:r>
        <w:rPr>
          <w:rFonts w:ascii="Arial" w:hAnsi="Arial" w:cs="Arial"/>
          <w:color w:val="231F20"/>
          <w:sz w:val="24"/>
          <w:szCs w:val="24"/>
          <w:lang w:val="es-ES"/>
        </w:rPr>
        <w:fldChar w:fldCharType="end"/>
      </w:r>
      <w:r>
        <w:rPr>
          <w:rFonts w:ascii="Arial" w:hAnsi="Arial" w:cs="Arial"/>
          <w:color w:val="000000"/>
          <w:sz w:val="24"/>
          <w:szCs w:val="24"/>
          <w:lang w:val="es-ES"/>
        </w:rPr>
        <w:t xml:space="preserve">, </w:t>
      </w:r>
      <w:r>
        <w:rPr>
          <w:rFonts w:ascii="Arial" w:eastAsia="Calibri" w:hAnsi="Arial" w:cs="Arial"/>
          <w:sz w:val="24"/>
          <w:szCs w:val="24"/>
          <w:lang w:val="es-ES" w:eastAsia="es-ES"/>
        </w:rPr>
        <w:t xml:space="preserve">DSSAT </w:t>
      </w:r>
      <w:r>
        <w:rPr>
          <w:rFonts w:ascii="Arial" w:eastAsia="Calibri" w:hAnsi="Arial" w:cs="Arial"/>
          <w:sz w:val="24"/>
          <w:szCs w:val="24"/>
          <w:lang w:val="es-ES" w:eastAsia="es-ES"/>
        </w:rPr>
        <w:fldChar w:fldCharType="begin"/>
      </w:r>
      <w:r w:rsidR="00517400">
        <w:rPr>
          <w:rFonts w:ascii="Arial" w:eastAsia="Calibri" w:hAnsi="Arial" w:cs="Arial"/>
          <w:sz w:val="24"/>
          <w:szCs w:val="24"/>
          <w:lang w:val="es-ES" w:eastAsia="es-ES"/>
        </w:rPr>
        <w:instrText xml:space="preserve"> ADDIN ZOTERO_ITEM CSL_CITATION {"citationID":"YPPf7Cgi","properties":{"custom":"(Ventrella, {\\i{}et al}., 2012; Ayankojo &amp; Morgan, 2020; Ge {\\i{}et al}., 2023; Pierre {\\i{}et al}., 2023)","unsorted":true,"formattedCitation":"(Ventrella, {\\i{}et al}., 2012; Ayankojo &amp; Morgan, 2020; Ge {\\i{}et al}., 2023; Pierre {\\i{}et al}., 2023)","plainCitation":"(Ventrella, et al., 2012; Ayankojo &amp; Morgan, 2020; Ge et al., 2023; Pierre et al., 2023)","noteIndex":0},"citationItems":[{"id":640,"uris":["http://zotero.org/users/12642312/items/VLD4ER7M"],"itemData":{"id":640,"type":"article-journal","abstract":"Many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id":645,"uris":["http://zotero.org/users/12642312/items/YP76YLUU"],"itemData":{"id":645,"type":"article-journal","abstract":"Florida ranks ﬁrst among US states in fresh-market tomato production with annual production exceeding one-third of the total annual production in the country. Although tomato is a signature crop in Florida, current and future ambient temperatures could impose a major production challenge, especially during the fall growing season. This problem is increasingly becoming an important concern among tomato growers in south Florida, but studies addressing these concerns have not been conducted until now. Therefore, this study was conducted to determine the impacts of the present ambient temperature conditions and planting dates on tomato productivity in south Florida. The study was conducted using crop simulation model CROPGRO-Tomato of DSSAT (Decision Support System for Agricultural Transfer) version 4.7. Five treatments were evaluated, and included AT (simulated treatment using 14 years of actual daily weather conditions at the study location) while other treatments were conducted based on a percentage (−20%, −10%, +10%, +20%) of AT to simulate cooler and warmer temperature regimes. The results suggested that under the current temperature conditions during the fall growing season in south Florida, average tomato yield was up to 29% lower compared to the cooler temperature regimes. Tomato yield further decreased by 52% to 85% at air temperatures above the current condition. Yield reduction under high temperature was primarily due to lower fruit production. Contrary to yield, both tomato biomass accumulation and leaf area index increased with increase in temperature. Results also indicated that due to changes in air temperature pattern, tomato yield increased as planting date increased from July to December. Therefore, planting date modiﬁcation during the fall season from the current July–September to dates between November and December will reduce the impacts of heat stress and increase tomato productivity in south Florida.","container-title":"Plants","DOI":"10.3390/plants9091245","ISSN":"2223-7747","issue":"9","journalAbbreviation":"Plants","language":"en","license":"https://creativecommons.org/licenses/by/4.0/","page":"1245","source":"DOI.org (Crossref)","title":"Increasing Air Temperatures and Its Effects on Growth and Productivity of Tomato in South Florida","URL":"https://www.mdpi.com/2223-7747/9/9/1245","volume":"9","author":[{"family":"Ayankojo","given":"Ibukun T."},{"family":"Morgan","given":"Kelly T."}],"accessed":{"date-parts":[["2025",3,12]]},"issued":{"date-parts":[["2020",9,21]]}},"label":"page"},{"id":998,"uris":["http://zotero.org/users/12642312/items/7HYWWNQQ"],"itemData":{"id":998,"type":"article-journal","abstract":"The improvement of the simulation accuracy of crop models in different greenhouse environments would be better applied to the automation management of greenhouse cultivation. Tomatoes under drip irrigation in a greenhouse were taken as the research object, and the cumulative evaporation capacity (Ep) of the 20 cm standard evaporation dish was taken as the basis for irrigation. Three treatments were set up in the experiment: high water treatment without mulch (NM-0.9 Ep), high water treatment with mulch (M-0.9 Ep), and low water treatment with mulch (M-0.5 Ep). AquaCrop and DSSAT models were used to simulate the canopy coverage, soil water content, biomass, and yield of the tomatoes. Data from 2020 were used to correct the model, and simulation results from 2021 were analyzed in this paper. The results showed that: (1) Of the two crop models, the simulation accuracy of the greenhouse tomato canopy coverage kCC was higher, and the root mean square errors were less than 6.8% (AquaCrop model) and 8.5% (DSSAT model); (2) The AquaCrop model could accurately simulate soil water change under high water treatments, while the DSSAT model was more suitable for the conditions without mulch; (3) The relative error RE of simulated and observed values for biomass B, yield Y, and water use efﬁciency WUE in the AquaCrop model were less than 2.0%, 2.3%, and 9.0%, respectively, while those of the DSSAT model were less than 4.7%, 7.6%, and 10.4%, respectively; (4) Considering the simulation results of each index comprehensively, the AquaCrop model was superior to the DSSAT model; subsequently, the former was used to predict 16 different water and ﬁlm coating treatments (S1–S16). It was found that the greenhouse tomato yield and WUE were the highest under S7 (0.8 Ep), at 8.201 t/ha and 2.79 kg/m3, respectively.","container-title":"Plants","DOI":"10.3390/plants12223863","ISSN":"2223-7747","issue":"22","journalAbbreviation":"Plants","language":"en","license":"https://creativecommons.org/licenses/by/4.0/","page":"3863","source":"DOI.org (Crossref)","title":"Evaluation of Irrigation Modes for Greenhouse Drip Irrigation Tomatoes Based on AquaCrop and DSSAT Models","URL":"https://www.mdpi.com/2223-7747/12/22/3863","volume":"12","author":[{"family":"Ge","given":"Jiankun"},{"family":"Yu","given":"Zihui"},{"family":"Gong","given":"Xuewen"},{"family":"Ping","given":"Yinglu"},{"family":"Luo","given":"Jinyao"},{"family":"Li","given":"Yanbin"}],"accessed":{"date-parts":[["2025",3,26]]},"issued":{"date-parts":[["2023",11,15]]}},"label":"page"},{"id":641,"uris":["http://zotero.org/users/12642312/items/HSN3UR9Y"],"itemData":{"id":641,"type":"article-journal","abstract":"Intercropping is extensively used to increase land productivity and agricultural beneﬁts. In developing countries, intercropping has historically been one of the most widely used cropping systems. Crop models have been used to assess risk productivity over time and space, particularly in monocropping systems. Crop models, such as the Decision Support System for Agrotechnology Transfer (DSSAT), have been widely used to improve crop growth, development, and yield predictions; however, this model has some limitations when assessing interspeciﬁc competition in intercropping systems (e.g., it does not have a subroutine capable of running two crops simultaneously). Therefore, in this study, we developed a new approach to allow DSSAT to run two crop species in intercropping systems. A light interception algorithm and modiﬁed source code were integrated into the DSSAT to simulate the relay-strip intercropping system. The intercrop model developed in this study is the ﬁrst intercrop model for DSSAT. This model is generic and can be employed to build other cereal–legume intercrop models for DSSAT Version 4.8. Regarding risk assessment of crop production, the model can evaluate long-term cereal–legume intercrop yields in low-input cropping systems. Therefore, before ofﬁcially launching the new model in DSSAT, more ﬁeld trials are recommended to rigorously evaluate and improve the model with data from different environments. The intercrop model developed in this study is simple, so this modeling approach can be employed to develop other cereal–noncereal intercrop models.","container-title":"Agriculture","DOI":"10.3390/agriculture13040845","ISSN":"2077-0472","issue":"4","journalAbbreviation":"Agriculture","language":"en","license":"https://creativecommons.org/licenses/by/4.0/","page":"845","source":"DOI.org (Crossref)","title":"Development of a Cereal–Legume Intercrop Model for DSSAT Version 4.8","URL":"https://www.mdpi.com/2077-0472/13/4/845","volume":"13","author":[{"family":"Pierre","given":"Jacques Fils"},{"family":"Singh","given":"Upendra"},{"family":"Ruiz-Sánchez","given":"Esaú"},{"family":"Pavan","given":"Willingthon"}],"accessed":{"date-parts":[["2025",3,12]]},"issued":{"date-parts":[["2023",4,10]]}},"label":"page"}],"schema":"https://github.com/citation-style-language/schema/raw/master/csl-citation.json"} </w:instrText>
      </w:r>
      <w:r>
        <w:rPr>
          <w:rFonts w:ascii="Arial" w:eastAsia="Calibri" w:hAnsi="Arial" w:cs="Arial"/>
          <w:sz w:val="24"/>
          <w:szCs w:val="24"/>
          <w:lang w:val="es-ES" w:eastAsia="es-ES"/>
        </w:rPr>
        <w:fldChar w:fldCharType="separate"/>
      </w:r>
      <w:r w:rsidR="00517400" w:rsidRPr="00517400">
        <w:rPr>
          <w:rFonts w:ascii="Arial" w:hAnsi="Arial" w:cs="Arial"/>
          <w:sz w:val="24"/>
          <w:szCs w:val="24"/>
          <w:lang w:val="es-ES"/>
        </w:rPr>
        <w:t xml:space="preserve">(Ventrella, </w:t>
      </w:r>
      <w:r w:rsidR="00517400" w:rsidRPr="00517400">
        <w:rPr>
          <w:rFonts w:ascii="Arial" w:hAnsi="Arial" w:cs="Arial"/>
          <w:i/>
          <w:iCs/>
          <w:sz w:val="24"/>
          <w:szCs w:val="24"/>
          <w:lang w:val="es-ES"/>
        </w:rPr>
        <w:t>et al</w:t>
      </w:r>
      <w:r w:rsidR="00517400" w:rsidRPr="00517400">
        <w:rPr>
          <w:rFonts w:ascii="Arial" w:hAnsi="Arial" w:cs="Arial"/>
          <w:sz w:val="24"/>
          <w:szCs w:val="24"/>
          <w:lang w:val="es-ES"/>
        </w:rPr>
        <w:t xml:space="preserve">., 2012; Ayankojo &amp; Morgan, 2020; Ge </w:t>
      </w:r>
      <w:r w:rsidR="00517400" w:rsidRPr="00517400">
        <w:rPr>
          <w:rFonts w:ascii="Arial" w:hAnsi="Arial" w:cs="Arial"/>
          <w:i/>
          <w:iCs/>
          <w:sz w:val="24"/>
          <w:szCs w:val="24"/>
          <w:lang w:val="es-ES"/>
        </w:rPr>
        <w:t>et al</w:t>
      </w:r>
      <w:r w:rsidR="00517400" w:rsidRPr="00517400">
        <w:rPr>
          <w:rFonts w:ascii="Arial" w:hAnsi="Arial" w:cs="Arial"/>
          <w:sz w:val="24"/>
          <w:szCs w:val="24"/>
          <w:lang w:val="es-ES"/>
        </w:rPr>
        <w:t xml:space="preserve">., 2023; Pierre </w:t>
      </w:r>
      <w:r w:rsidR="00517400" w:rsidRPr="00517400">
        <w:rPr>
          <w:rFonts w:ascii="Arial" w:hAnsi="Arial" w:cs="Arial"/>
          <w:i/>
          <w:iCs/>
          <w:sz w:val="24"/>
          <w:szCs w:val="24"/>
          <w:lang w:val="es-ES"/>
        </w:rPr>
        <w:t>et al</w:t>
      </w:r>
      <w:r w:rsidR="00517400" w:rsidRPr="00517400">
        <w:rPr>
          <w:rFonts w:ascii="Arial" w:hAnsi="Arial" w:cs="Arial"/>
          <w:sz w:val="24"/>
          <w:szCs w:val="24"/>
          <w:lang w:val="es-ES"/>
        </w:rPr>
        <w:t>., 2023)</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r>
        <w:rPr>
          <w:rFonts w:ascii="Arial" w:hAnsi="Arial" w:cs="Arial"/>
          <w:sz w:val="24"/>
          <w:szCs w:val="24"/>
          <w:lang w:val="es-ES"/>
        </w:rPr>
        <w:t xml:space="preserve">EPIC </w:t>
      </w:r>
      <w:r>
        <w:rPr>
          <w:rFonts w:ascii="Arial" w:hAnsi="Arial" w:cs="Arial"/>
          <w:sz w:val="24"/>
          <w:szCs w:val="24"/>
          <w:lang w:val="es-ES"/>
        </w:rPr>
        <w:fldChar w:fldCharType="begin"/>
      </w:r>
      <w:r w:rsidR="005C0098">
        <w:rPr>
          <w:rFonts w:ascii="Arial" w:hAnsi="Arial" w:cs="Arial"/>
          <w:sz w:val="24"/>
          <w:szCs w:val="24"/>
          <w:lang w:val="es-ES"/>
        </w:rPr>
        <w:instrText xml:space="preserve"> ADDIN ZOTERO_ITEM CSL_CITATION {"citationID":"n8FJVI4b","properties":{"custom":"(Di Bene, {\\i{}et al}., 2022)","formattedCitation":"(Di Bene, {\\i{}et al}., 2022)","plainCitation":"(Di Bene, et al., 2022)","noteIndex":0},"citationItems":[{"id":648,"uris":["http://zotero.org/users/12642312/items/ECS5WLX8"],"itemData":{"id":648,"type":"article-journal","abstract":"Mediterranean agriculture is markedly threatened by climate change and extreme events (drought and flooding). For the first time, the EPIC model was used in a long-term organic vegetable field experiment to evaluate the performance of agroecological practices, as adaptation and mitigation measures to cope with climate change in Southern Italy. These practices were a soil hydraulic arrangement (consisting of ridges and flat strips) combined with crop rotation (winter and summer cash crops), organic fertilization (poultry manure vs. no fertilization), and cover crops (pure or in mixture vs. no cover) managed as living mulch, green manure, or flattened by roller crimper. Seven treatments were selected for the simulation procedure. EPIC was calibrated and validated using measured crop yield and soil organic carbon stock values. The statistical metrics of EPIC showed r to be between 0.96 and 0.97, the Nash–Sutcliffe model efficiency between 0.54 and 0.94, and the relative root mean square error between 2 and 18%. Then, the model was run under baseline current climate (1985–2014) and near-future climate change (2015–2044) scenarios. Climate change increased both microbial respiration and nitrate leaching compared to the baseline, while soil organic carbon stock change and nitrous oxide emissions were mainly influenced by agro-ecological practices. Cover crop management could be an effective solution to limit negative climate effects, since it allowed improving summer cash crop yield (32%) and soil organic carbon stock change (2%), and reducing nitrogen losses (–34%), as compared to the no-cover-crop system. Finally, under climate change, green manure increased microbial respiration (5%) and reduced nitrogen losses (− 19%), compared to roller crimper flattening. Our findings indicated that the tested agro-ecological practices contribute to re-designing new climate change-resilient vegetable systems, by involving the stakeholders in promoting a coinnovation and co-research knowledge platform and fine-tuning agro-ecological practices in a wider range of environments.","container-title":"Agronomy for Sustainable Development","DOI":"10.1007/s13593-021-00745-5","ISSN":"1774-0746, 1773-0155","issue":"1","journalAbbreviation":"Agron. Sustain. Dev.","language":"en","page":"7","source":"DOI.org (Crossref)","title":"EPIC model simulation to assess effective agro-ecological practices for climate change mitigation and adaptation in organic vegetable system","URL":"https://link.springer.com/10.1007/s13593-021-00745-5","volume":"42","author":[{"family":"Di Bene","given":"Claudia"},{"family":"Diacono","given":"Mariangela"},{"family":"Montemurro","given":"Francesco"},{"family":"Testani","given":"Elena"},{"family":"Farina","given":"Roberta"}],"accessed":{"date-parts":[["2025",3,12]]},"issued":{"date-parts":[["2022",2]]}}}],"schema":"https://github.com/citation-style-language/schema/raw/master/csl-citation.json"} </w:instrText>
      </w:r>
      <w:r>
        <w:rPr>
          <w:rFonts w:ascii="Arial" w:hAnsi="Arial" w:cs="Arial"/>
          <w:sz w:val="24"/>
          <w:szCs w:val="24"/>
          <w:lang w:val="es-ES"/>
        </w:rPr>
        <w:fldChar w:fldCharType="separate"/>
      </w:r>
      <w:r w:rsidR="005C0098" w:rsidRPr="005C0098">
        <w:rPr>
          <w:rFonts w:ascii="Arial" w:hAnsi="Arial" w:cs="Arial"/>
          <w:sz w:val="24"/>
          <w:szCs w:val="24"/>
        </w:rPr>
        <w:t xml:space="preserve">(Di Bene, </w:t>
      </w:r>
      <w:r w:rsidR="005C0098" w:rsidRPr="005C0098">
        <w:rPr>
          <w:rFonts w:ascii="Arial" w:hAnsi="Arial" w:cs="Arial"/>
          <w:i/>
          <w:iCs/>
          <w:sz w:val="24"/>
          <w:szCs w:val="24"/>
        </w:rPr>
        <w:t>et al</w:t>
      </w:r>
      <w:r w:rsidR="005C0098" w:rsidRPr="005C0098">
        <w:rPr>
          <w:rFonts w:ascii="Arial" w:hAnsi="Arial" w:cs="Arial"/>
          <w:sz w:val="24"/>
          <w:szCs w:val="24"/>
        </w:rPr>
        <w:t>., 2022)</w:t>
      </w:r>
      <w:r>
        <w:rPr>
          <w:rFonts w:ascii="Arial" w:hAnsi="Arial" w:cs="Arial"/>
          <w:sz w:val="24"/>
          <w:szCs w:val="24"/>
          <w:lang w:val="es-ES"/>
        </w:rPr>
        <w:fldChar w:fldCharType="end"/>
      </w:r>
      <w:r>
        <w:rPr>
          <w:rFonts w:ascii="Arial" w:eastAsia="Calibri" w:hAnsi="Arial" w:cs="Arial"/>
          <w:sz w:val="24"/>
          <w:szCs w:val="24"/>
          <w:lang w:val="es-ES" w:eastAsia="es-ES"/>
        </w:rPr>
        <w:t xml:space="preserve">, </w:t>
      </w:r>
      <w:r>
        <w:rPr>
          <w:rFonts w:ascii="Arial" w:hAnsi="Arial" w:cs="Arial"/>
          <w:color w:val="000000"/>
          <w:sz w:val="24"/>
          <w:szCs w:val="24"/>
          <w:lang w:val="es-ES"/>
        </w:rPr>
        <w:t>EU-</w:t>
      </w:r>
      <w:proofErr w:type="spellStart"/>
      <w:r>
        <w:rPr>
          <w:rFonts w:ascii="Arial" w:hAnsi="Arial" w:cs="Arial"/>
          <w:color w:val="000000"/>
          <w:sz w:val="24"/>
          <w:szCs w:val="24"/>
          <w:lang w:val="es-ES"/>
        </w:rPr>
        <w:t>Rotate_N</w:t>
      </w:r>
      <w:proofErr w:type="spellEnd"/>
      <w:r>
        <w:rPr>
          <w:rFonts w:ascii="Arial" w:hAnsi="Arial" w:cs="Arial"/>
          <w:color w:val="000000"/>
          <w:sz w:val="24"/>
          <w:szCs w:val="24"/>
          <w:lang w:val="es-ES"/>
        </w:rPr>
        <w:t xml:space="preserve"> </w:t>
      </w:r>
      <w:r>
        <w:rPr>
          <w:rFonts w:ascii="Arial" w:hAnsi="Arial" w:cs="Arial"/>
          <w:color w:val="000000"/>
          <w:sz w:val="24"/>
          <w:szCs w:val="24"/>
          <w:lang w:val="es-ES"/>
        </w:rPr>
        <w:fldChar w:fldCharType="begin"/>
      </w:r>
      <w:r>
        <w:rPr>
          <w:rFonts w:ascii="Arial" w:hAnsi="Arial" w:cs="Arial"/>
          <w:color w:val="000000"/>
          <w:sz w:val="24"/>
          <w:szCs w:val="24"/>
          <w:lang w:val="es-ES"/>
        </w:rPr>
        <w:instrText xml:space="preserve"> ADDIN ZOTERO_ITEM CSL_CITATION {"citationID":"iDFIjeMC","properties":{"custom":"(Xu {\\i{}et al}., 2023)","formattedCitation":"(Xu {\\i{}et al}., 2023)","plainCitation":"(Xu et al., 2023)","noteIndex":0},"citationItems":[{"id":962,"uris":["http://zotero.org/users/12642312/items/B576RXLD"],"itemData":{"id":962,"type":"article-journal","abstract":"Overapplication of nitrogen fertilizer and water in vegetable production is popular and serious in China and other developing countries, leading to severe environmental pollution. To date, most model-based decision support systems, which are believed to be powerful tools for improving fertilizer and water management in vegetable production, have been established by developed countries, and the weather, soil, hydrology, facility type and vegetable species of developing countries have been less considered. In this study, a water level component and a new vegetable species, pakchoi (Brassica campestris ssp. Chinese) were incorporated into EURotate_N, a simulation model developed by the European Union for open field vegetable cultivation. The experiment was carried out in typical vegetable plastic tunnels in Jiangsu Province, China, an area with high groundwater level. The results indicated that the water level algorithm which differentiate the soil into saturated and unsaturated layers enhanced the model simulation accuracy of the soil nitrogen and water content in the 30 cm soil layer, indicating the significant influence of groundwater on the soil water and nutrient movement. The pakchoi experiment suggest that new vegetables could be added into the crop list of EU-Rotate_N by adjusting parameters with ‘trial and error’ methods after considering its biological characteristics. Furthermore, a novel module was added for recommendations of fertilization and irrigation on daily basis in accordance with reasonable upper and lower thresholds of soil water content and soil available nitrogen after a series of adjustment. Finally, a user-friendly application (APP) was developed based on the improved model. The evaluation experiments in 2021 and 2022 showed that APP could significantly improve nitrogen and water use efficiency without obvious yield loss in pakchoi production. We conclude that simulation models for vegetable fertilizer and water management established by developed countries could be modified by several operable steps to expand its application area.","container-title":"Agricultural Water Management","DOI":"10.1016/j.agwat.2023.108520","ISSN":"03783774","journalAbbreviation":"Agricultural Water Management","language":"en","page":"108520","source":"DOI.org (Crossref)","title":"Development and performance evaluation of an APP for vegetable fertilization and irrigation management originated from EU-Rotate_N","URL":"https://linkinghub.elsevier.com/retrieve/pii/S0378377423003852","volume":"289","author":[{"family":"Xu","given":"Xiangying"},{"family":"Wang","given":"Chao"},{"family":"Wang","given":"Hongjiang"},{"family":"Zhang","given":"Yonglong"},{"family":"Cao","given":"Zhuangzhuang"},{"family":"Zhang","given":"Zhiping"},{"family":"Dai","given":"Haibo"},{"family":"Miao","given":"Minmin"}],"accessed":{"date-parts":[["2025",3,26]]},"issued":{"date-parts":[["2023",11]]}}}],"schema":"https://github.com/citation-style-language/schema/raw/master/csl-citation.json"} </w:instrText>
      </w:r>
      <w:r>
        <w:rPr>
          <w:rFonts w:ascii="Arial" w:hAnsi="Arial" w:cs="Arial"/>
          <w:color w:val="000000"/>
          <w:sz w:val="24"/>
          <w:szCs w:val="24"/>
          <w:lang w:val="es-ES"/>
        </w:rPr>
        <w:fldChar w:fldCharType="separate"/>
      </w:r>
      <w:r>
        <w:rPr>
          <w:rFonts w:ascii="Arial" w:hAnsi="Arial" w:cs="Arial"/>
          <w:sz w:val="24"/>
          <w:szCs w:val="24"/>
          <w:lang w:val="es-ES"/>
        </w:rPr>
        <w:t xml:space="preserve">(Xu </w:t>
      </w:r>
      <w:r>
        <w:rPr>
          <w:rFonts w:ascii="Arial" w:hAnsi="Arial" w:cs="Arial"/>
          <w:i/>
          <w:iCs/>
          <w:sz w:val="24"/>
          <w:szCs w:val="24"/>
          <w:lang w:val="es-ES"/>
        </w:rPr>
        <w:t>et al</w:t>
      </w:r>
      <w:r>
        <w:rPr>
          <w:rFonts w:ascii="Arial" w:hAnsi="Arial" w:cs="Arial"/>
          <w:sz w:val="24"/>
          <w:szCs w:val="24"/>
          <w:lang w:val="es-ES"/>
        </w:rPr>
        <w:t>., 2023)</w:t>
      </w:r>
      <w:r>
        <w:rPr>
          <w:rFonts w:ascii="Arial" w:hAnsi="Arial" w:cs="Arial"/>
          <w:color w:val="000000"/>
          <w:sz w:val="24"/>
          <w:szCs w:val="24"/>
          <w:lang w:val="es-ES"/>
        </w:rPr>
        <w:fldChar w:fldCharType="end"/>
      </w:r>
      <w:r>
        <w:rPr>
          <w:rFonts w:ascii="Arial" w:eastAsia="Calibri" w:hAnsi="Arial" w:cs="Arial"/>
          <w:sz w:val="24"/>
          <w:szCs w:val="24"/>
          <w:lang w:val="es-ES" w:eastAsia="es-ES"/>
        </w:rPr>
        <w:t xml:space="preserve">, </w:t>
      </w:r>
      <w:proofErr w:type="spellStart"/>
      <w:r>
        <w:rPr>
          <w:rFonts w:ascii="Arial" w:hAnsi="Arial" w:cs="Arial"/>
          <w:color w:val="231F20"/>
          <w:sz w:val="24"/>
          <w:szCs w:val="24"/>
          <w:lang w:val="es-ES"/>
        </w:rPr>
        <w:t>Salmed</w:t>
      </w:r>
      <w:proofErr w:type="spellEnd"/>
      <w:r>
        <w:rPr>
          <w:rFonts w:ascii="Arial" w:hAnsi="Arial" w:cs="Arial"/>
          <w:color w:val="231F20"/>
          <w:sz w:val="24"/>
          <w:szCs w:val="24"/>
          <w:lang w:val="es-ES"/>
        </w:rPr>
        <w:t xml:space="preserve"> </w:t>
      </w:r>
      <w:r>
        <w:rPr>
          <w:rFonts w:ascii="Arial" w:hAnsi="Arial" w:cs="Arial"/>
          <w:color w:val="231F20"/>
          <w:sz w:val="24"/>
          <w:szCs w:val="24"/>
          <w:lang w:val="es-ES"/>
        </w:rPr>
        <w:fldChar w:fldCharType="begin"/>
      </w:r>
      <w:r>
        <w:rPr>
          <w:rFonts w:ascii="Arial" w:hAnsi="Arial" w:cs="Arial"/>
          <w:color w:val="231F20"/>
          <w:sz w:val="24"/>
          <w:szCs w:val="24"/>
          <w:lang w:val="es-ES"/>
        </w:rPr>
        <w:instrText xml:space="preserve"> ADDIN ZOTERO_ITEM CSL_CITATION {"citationID":"wVpZyOlH","properties":{"custom":"(Alghamdi {\\i{}et al}., 2024)","formattedCitation":"(Alghamdi {\\i{}et al}., 2024)","plainCitation":"(Alghamdi et al., 2024)","noteIndex":0},"citationItems":[{"id":627,"uris":["http://zotero.org/users/12642312/items/53EYEV7A"],"itemData":{"id":627,"type":"article-journal","abstract":"The use of modeling for water conservation during irrigation is still in the research stage. There are many models can be used for this purpose, including Saltmed model. The SALTMED model is a holistic model can be used for different irrigation water and soil qualities, variety of crops, and water irrigation systems. This research aimed to interpret the tomato yield using different water quantities and qualities under greenhouse experiments. The trial included deficit irrigation with 3 treatments (80 %, 60 %, 40 % along with 100 % crop water requirements (ETc), with three water qualities (ECw 1.0, 2.3 and 3.6 dSm 1). The outcomes of the SALTMED model indicate the potential of the model to interpret soil-water content, salinity and tomato yield in regions having semi-arid climates under deficit irrigation strategies. Results of the SALTMED model revealed that data was underestimated. Furthermore, the values range of the CRM coefficient of the residual mass were 0.005–0.055, -0.01–0.02, and -0.02–0.04 for 0.9, 2.3 and 3.6 dSm 1, respectively. Most salinity showed the CRM values 0.18 to -0.02, 0.2 to -0.41, and -0.05 to -0.38 respectively, for the three irrigation water qualities. The values of observed and simulated data predicted a good relationship obtained. For soil water content and salinity, R2 values ranged between 0.80–0.99 and 0.74–0.99 respectively. Model efficiently simulates tomato yield outcomes under saline and freshwater. The correlation between the simulated and observed yield were 0.92, 0.94, and 0.79 for water quality of 1.0, 2.3 and 3.6 dSm 1, respectively. Finally, the SALTMED model showed good simulations of soil water content, soil salinity, and final tomato yield.","container-title":"Scientific African","DOI":"10.1016/j.sciaf.2024.e02185","ISSN":"24682276","journalAbbreviation":"Scientific African","language":"en","page":"e02185","source":"DOI.org (Crossref)","title":"Water conservation in tomato production using deficit irrigation and SALTMED model under greenhouse conditions","URL":"https://linkinghub.elsevier.com/retrieve/pii/S2468227624001303","volume":"24","author":[{"family":"Alghamdi","given":"Abdulaziz G."},{"family":"Aly","given":"Anwar A."},{"family":"Alomran","given":"Abdulrasoul"},{"family":"Alkhasha","given":"Arafat"},{"family":"Alharbi","given":"Abdulaziz"}],"accessed":{"date-parts":[["2025",3,12]]},"issued":{"date-parts":[["2024",6]]}}}],"schema":"https://github.com/citation-style-language/schema/raw/master/csl-citation.json"} </w:instrText>
      </w:r>
      <w:r>
        <w:rPr>
          <w:rFonts w:ascii="Arial" w:hAnsi="Arial" w:cs="Arial"/>
          <w:color w:val="231F20"/>
          <w:sz w:val="24"/>
          <w:szCs w:val="24"/>
          <w:lang w:val="es-ES"/>
        </w:rPr>
        <w:fldChar w:fldCharType="separate"/>
      </w:r>
      <w:r>
        <w:rPr>
          <w:rFonts w:ascii="Arial" w:hAnsi="Arial" w:cs="Arial"/>
          <w:sz w:val="24"/>
          <w:szCs w:val="24"/>
          <w:lang w:val="es-ES"/>
        </w:rPr>
        <w:t xml:space="preserve">(Alghamdi </w:t>
      </w:r>
      <w:r>
        <w:rPr>
          <w:rFonts w:ascii="Arial" w:hAnsi="Arial" w:cs="Arial"/>
          <w:i/>
          <w:iCs/>
          <w:sz w:val="24"/>
          <w:szCs w:val="24"/>
          <w:lang w:val="es-ES"/>
        </w:rPr>
        <w:t>et al</w:t>
      </w:r>
      <w:r>
        <w:rPr>
          <w:rFonts w:ascii="Arial" w:hAnsi="Arial" w:cs="Arial"/>
          <w:sz w:val="24"/>
          <w:szCs w:val="24"/>
          <w:lang w:val="es-ES"/>
        </w:rPr>
        <w:t>., 2024)</w:t>
      </w:r>
      <w:r>
        <w:rPr>
          <w:rFonts w:ascii="Arial" w:hAnsi="Arial" w:cs="Arial"/>
          <w:color w:val="231F20"/>
          <w:sz w:val="24"/>
          <w:szCs w:val="24"/>
          <w:lang w:val="es-ES"/>
        </w:rPr>
        <w:fldChar w:fldCharType="end"/>
      </w:r>
      <w:r>
        <w:rPr>
          <w:rFonts w:ascii="Arial" w:hAnsi="Arial" w:cs="Arial"/>
          <w:color w:val="231F20"/>
          <w:sz w:val="24"/>
          <w:szCs w:val="24"/>
          <w:lang w:val="es-ES"/>
        </w:rPr>
        <w:t xml:space="preserve">, Simple </w:t>
      </w:r>
      <w:r>
        <w:rPr>
          <w:rFonts w:ascii="Arial" w:hAnsi="Arial" w:cs="Arial"/>
          <w:color w:val="231F20"/>
          <w:sz w:val="24"/>
          <w:szCs w:val="24"/>
          <w:lang w:val="es-ES"/>
        </w:rPr>
        <w:fldChar w:fldCharType="begin"/>
      </w:r>
      <w:r w:rsidR="0076488F">
        <w:rPr>
          <w:rFonts w:ascii="Arial" w:hAnsi="Arial" w:cs="Arial"/>
          <w:color w:val="231F20"/>
          <w:sz w:val="24"/>
          <w:szCs w:val="24"/>
          <w:lang w:val="es-ES"/>
        </w:rPr>
        <w:instrText xml:space="preserve"> ADDIN ZOTERO_ITEM CSL_CITATION {"citationID":"PL189kvS","properties":{"custom":"(Soltani {\\i{}et al}., 2020; Fink {\\i{}et al}., 2023; Phuoc {\\i{}et al}., 2023)","unsorted":true,"formattedCitation":"(Soltani {\\i{}et al}., 2020; Fink {\\i{}et al}., 2023; Phuoc {\\i{}et al}., 2023)","plainCitation":"(Soltani et al., 2020; Fink et al., 2023; Phuoc et al., 2023)","noteIndex":0},"citationItems":[{"id":649,"uris":["http://zotero.org/users/12642312/items/S34EM8WN"],"itemData":{"id":649,"type":"article-journal","abstract":"Crop models are essential in undertaking large scale estimation of crop production of diverse crop species, especially in assessing food availability and climate change impacts. In this study, an existing model (SSM, Simple Simulation Models) was adapted to simulate a large number of plant species including orchard species and perennial forages. Simpliﬁcation of some methods employed in the original model was necessary to deal with limited data availability for some of the plant species to be simulated. The model requires limited, readily available input information. The simulations account for plant phenology, leaf area development and senescence, dry matter accumulation, yield formation, and soil water balance in a daily time step. Parameterization of the model for new crops/cultivars is easy and straight-forward. The resultant model (SSM-iCrop2) was parameterized and tested for more than 30 crop species of Iran using numerous ﬁeld experiments. Tests showed the model was robust in the predictions of crop yield and water use. Root mean square of error as percentage of observed mean for yield was 18% for grain ﬁeld crops, 14% for non-grain crops 14% for vegetables and 28% for fruit trees.","container-title":"Agricultural Systems","DOI":"10.1016/j.agsy.2020.102855","ISSN":"0308521X","journalAbbreviation":"Agricultural Systems","language":"en","page":"102855","source":"DOI.org (Crossref)","title":"SSM-iCrop2: A simple model for diverse crop species over large areas","title-short":"SSM-iCrop2","URL":"https://linkinghub.elsevier.com/retrieve/pii/S0308521X19310455","volume":"182","author":[{"family":"Soltani","given":"A."},{"family":"Alimagham","given":"S.M."},{"family":"Nehbandani","given":"A."},{"family":"Torabi","given":"B."},{"family":"Zeinali","given":"E."},{"family":"Dadrasi","given":"A."},{"family":"Zand","given":"E."},{"family":"Ghassemi","given":"S."},{"family":"Pourshirazi","given":"S."},{"family":"Alasti","given":"O."},{"family":"Hosseini","given":"R.S."},{"family":"Zahed","given":"M."},{"family":"Arabameri","given":"R."},{"family":"Mohammadzadeh","given":"Z."},{"family":"Rahban","given":"S."},{"family":"Kamari","given":"H."},{"family":"Fayazi","given":"H."},{"family":"Mohammadi","given":"S."},{"family":"Keramat","given":"S."},{"family":"Vadez","given":"V."},{"family":"Van Ittersum","given":"M.K."},{"family":"Sinclair","given":"T.R."}],"accessed":{"date-parts":[["2025",3,12]]},"issued":{"date-parts":[["2020",6]]}},"label":"page"},{"id":636,"uris":["http://zotero.org/users/12642312/items/KKY4DBAD"],"itemData":{"id":636,"type":"article","abstract":"As global demand for efﬁciency in agriculture rises, there is a growing interest in high-precision farming practices. Particularly greenhouses play a critical role in ensuring a yearround supply of fresh produce. In order to maximize efﬁciency and productivity while minimizing resource use, mathematical techniques such as optimal control have been employed. However, selecting appropriate models for optimal control requires domain expertise. This study aims to compare three established tomato models for their suitability in an optimal control framework. Results show that all three models have similar yield predictions and accuracy, but only two models are currently applicable for optimal control due to implementation limitations. The two remaining models each have advantages in terms of economic yield and computation times, but the differences in optimal control strategies suggest that they require more accurate parameter identiﬁcation and calibration tailored to greenhouses.","DOI":"10.48550/arXiv.2308.06031","language":"en","note":"arXiv:2308.06031 [math]","number":"arXiv:2308.06031","publisher":"arXiv","source":"arXiv.org","title":"Comparison of Dynamic Tomato Growth Models for Optimal Control in Greenhouses","URL":"http://arxiv.org/abs/2308.06031","author":[{"family":"Fink","given":"Michael"},{"family":"Daniels","given":"Annalena"},{"family":"Qian","given":"Cheng"},{"family":"Velásquez","given":"Víctor Martínez"},{"family":"Salotra","given":"Sahil"},{"family":"Wollherr","given":"Dirk"}],"accessed":{"date-parts":[["2025",3,12]]},"issued":{"date-parts":[["2023",8,11]]}},"label":"page"},{"id":631,"uris":["http://zotero.org/users/12642312/items/I77XCMEQ"],"itemData":{"id":631,"type":"article-journal","abstract":"Modeling science has been applied by many advanced countries in many fields, such as geology, meteorology, climate change, crop productivity, environment, erosion, and landslide. The crop model simulates the processes of agriculture. The writing of this article is descriptive qualitative using the Systematic Literature Review (SLR) method. So far, each model has its advantages and disadvantages but generally is based on the physiology of the growth and development of crops in relationship with soil, climate, solar radiation energy, and limiting factors to plant growth. There have been many models for rice that can forecast yield and biomass or predict future climate change dynamics. Meanwhile, many models such as DSSAT, AquaCrop, Oryza, APSIM, EPIC need more data to operate their modeling, which in many cases, data is not readily available. In this review, we would like to introduce the model “SIMPLE” which includes only thirteen parameters and four of which describe cultivar characteristics. Another advantage of “SIMPLE” is that it can be adapted for many crop species and added variable modules such as nutrient dynamics, water stress, temperature stress, or pests. It is entirely open source based on R programming, but limitations still exist that have been mentioned in the review.","container-title":"Journal of Applied Agricultural Science and Technology","DOI":"10.55043/jaast.v7i3.123","ISSN":"2621-2528, 2621-4709","issue":"3","journalAbbreviation":"J. appl. agricultural sci. technol.","language":"en","license":"https://creativecommons.org/licenses/by-sa/4.0","page":"197-216","source":"DOI.org (Crossref)","title":"Literature Review Crop Modeling and Introduction a Simple Crop Model","URL":"https://www.jaast.org/index.php/jaast/article/view/123","volume":"7","author":[{"family":"Phuoc","given":"Le Huu"},{"family":"Suliansyah","given":"Irfan"},{"family":"Arlius","given":"Feri"},{"family":"Chaniago","given":"Irawati"},{"family":"Xuan","given":"Nguyen Thi Thanh"},{"family":"Quang","given":"Pham Van"}],"accessed":{"date-parts":[["2025",3,12]]},"issued":{"date-parts":[["2023",8,25]]}},"label":"page"}],"schema":"https://github.com/citation-style-language/schema/raw/master/csl-citation.json"} </w:instrText>
      </w:r>
      <w:r>
        <w:rPr>
          <w:rFonts w:ascii="Arial" w:hAnsi="Arial" w:cs="Arial"/>
          <w:color w:val="231F20"/>
          <w:sz w:val="24"/>
          <w:szCs w:val="24"/>
          <w:lang w:val="es-ES"/>
        </w:rPr>
        <w:fldChar w:fldCharType="separate"/>
      </w:r>
      <w:r w:rsidR="0076488F" w:rsidRPr="0076488F">
        <w:rPr>
          <w:rFonts w:ascii="Arial" w:hAnsi="Arial" w:cs="Arial"/>
          <w:sz w:val="24"/>
          <w:szCs w:val="24"/>
        </w:rPr>
        <w:t xml:space="preserve">(Soltani </w:t>
      </w:r>
      <w:r w:rsidR="0076488F" w:rsidRPr="0076488F">
        <w:rPr>
          <w:rFonts w:ascii="Arial" w:hAnsi="Arial" w:cs="Arial"/>
          <w:i/>
          <w:iCs/>
          <w:sz w:val="24"/>
          <w:szCs w:val="24"/>
        </w:rPr>
        <w:t>et al</w:t>
      </w:r>
      <w:r w:rsidR="0076488F" w:rsidRPr="0076488F">
        <w:rPr>
          <w:rFonts w:ascii="Arial" w:hAnsi="Arial" w:cs="Arial"/>
          <w:sz w:val="24"/>
          <w:szCs w:val="24"/>
        </w:rPr>
        <w:t xml:space="preserve">., 2020; Fink </w:t>
      </w:r>
      <w:r w:rsidR="0076488F" w:rsidRPr="0076488F">
        <w:rPr>
          <w:rFonts w:ascii="Arial" w:hAnsi="Arial" w:cs="Arial"/>
          <w:i/>
          <w:iCs/>
          <w:sz w:val="24"/>
          <w:szCs w:val="24"/>
        </w:rPr>
        <w:t>et al</w:t>
      </w:r>
      <w:r w:rsidR="0076488F" w:rsidRPr="0076488F">
        <w:rPr>
          <w:rFonts w:ascii="Arial" w:hAnsi="Arial" w:cs="Arial"/>
          <w:sz w:val="24"/>
          <w:szCs w:val="24"/>
        </w:rPr>
        <w:t xml:space="preserve">., 2023; Phuoc </w:t>
      </w:r>
      <w:r w:rsidR="0076488F" w:rsidRPr="0076488F">
        <w:rPr>
          <w:rFonts w:ascii="Arial" w:hAnsi="Arial" w:cs="Arial"/>
          <w:i/>
          <w:iCs/>
          <w:sz w:val="24"/>
          <w:szCs w:val="24"/>
        </w:rPr>
        <w:t>et al</w:t>
      </w:r>
      <w:r w:rsidR="0076488F" w:rsidRPr="0076488F">
        <w:rPr>
          <w:rFonts w:ascii="Arial" w:hAnsi="Arial" w:cs="Arial"/>
          <w:sz w:val="24"/>
          <w:szCs w:val="24"/>
        </w:rPr>
        <w:t>., 2023)</w:t>
      </w:r>
      <w:r>
        <w:rPr>
          <w:rFonts w:ascii="Arial" w:hAnsi="Arial" w:cs="Arial"/>
          <w:color w:val="231F20"/>
          <w:sz w:val="24"/>
          <w:szCs w:val="24"/>
          <w:lang w:val="es-ES"/>
        </w:rPr>
        <w:fldChar w:fldCharType="end"/>
      </w:r>
      <w:r>
        <w:rPr>
          <w:rFonts w:ascii="Arial" w:hAnsi="Arial" w:cs="Arial"/>
          <w:color w:val="231F20"/>
          <w:sz w:val="24"/>
          <w:szCs w:val="24"/>
          <w:lang w:val="es-ES"/>
        </w:rPr>
        <w:t xml:space="preserve">, </w:t>
      </w:r>
      <w:proofErr w:type="spellStart"/>
      <w:r>
        <w:rPr>
          <w:rFonts w:ascii="Arial" w:hAnsi="Arial" w:cs="Arial"/>
          <w:color w:val="231F20"/>
          <w:sz w:val="24"/>
          <w:szCs w:val="24"/>
          <w:lang w:val="es-ES"/>
        </w:rPr>
        <w:t>HortSim</w:t>
      </w:r>
      <w:proofErr w:type="spellEnd"/>
      <w:r>
        <w:rPr>
          <w:rFonts w:ascii="Arial" w:hAnsi="Arial" w:cs="Arial"/>
          <w:color w:val="231F20"/>
          <w:sz w:val="24"/>
          <w:szCs w:val="24"/>
          <w:lang w:val="es-ES"/>
        </w:rPr>
        <w:t xml:space="preserve"> </w:t>
      </w:r>
      <w:r>
        <w:rPr>
          <w:rFonts w:ascii="Arial" w:hAnsi="Arial" w:cs="Arial"/>
          <w:color w:val="231F20"/>
          <w:sz w:val="24"/>
          <w:szCs w:val="24"/>
          <w:lang w:val="es-ES"/>
        </w:rPr>
        <w:fldChar w:fldCharType="begin"/>
      </w:r>
      <w:r w:rsidR="008F362B">
        <w:rPr>
          <w:rFonts w:ascii="Arial" w:hAnsi="Arial" w:cs="Arial"/>
          <w:color w:val="231F20"/>
          <w:sz w:val="24"/>
          <w:szCs w:val="24"/>
          <w:lang w:val="es-ES"/>
        </w:rPr>
        <w:instrText xml:space="preserve"> ADDIN ZOTERO_ITEM CSL_CITATION {"citationID":"w9hU1RyM","properties":{"custom":"(Abreu {\\i{}et al}., 2000; Mart\\uc0\\u237{}nez {\\i{}et al}., 2019)","formattedCitation":"(Abreu {\\i{}et al}., 2000; Mart\\uc0\\u237{}nez {\\i{}et al}., 2019)","plainCitation":"(Abreu et al., 2000; Martínez et al., 2019)","noteIndex":0},"citationItems":[{"id":1043,"uris":["http://zotero.org/users/12642312/items/DZZYF7KP"],"itemData":{"id":1043,"type":"article-journal","container-title":"Acta Horticulturae","DOI":"10.17660/ActaHortic.2000.519.14","ISSN":"0567-7572, 2406-6168","issue":"519","journalAbbreviation":"Acta Hortic.","page":"141-150","source":"DOI.org (Crossref)","title":"TOMPOUSSE, A MODEL OF YIELD PREDICTION FOR TOMATO CROPS: CALIBRATION STUDY FOR UNHEATED PLASTIC GREENHOUSES","title-short":"TOMPOUSSE, A MODEL OF YIELD PREDICTION FOR TOMATO CROPS","URL":"https://www.actahort.org/books/519/519_14.htm","author":[{"family":"Abreu","given":"P."},{"family":"Meneses","given":"J.F."},{"family":"Gary","given":"C."}],"accessed":{"date-parts":[["2025",3,31]]},"issued":{"date-parts":[["2000",1]]}},"label":"page"},{"id":1037,"uris":["http://zotero.org/users/12642312/items/GTUAIUQ7"],"itemData":{"id":1037,"type":"article-journal","container-title":"Chilean journal of agricultural research","DOI":"10.4067/S0718-58392019000100089","ISSN":"0718-5839","issue":"1","note":"publisher: Instituto de Investigaciones Agropecuarias, INIA","page":"89-102","source":"SciELO","title":"HortSyst: A dynamic model to predict growth, nitrogen uptake, and transpiration of greenhouse tomatoes","title-short":"HortSyst","URL":"http://www.scielo.cl/scielo.php?script=sci_abstract&amp;pid=S0718-58392019000100089&amp;lng=es&amp;nrm=iso&amp;tlng=en","volume":"79","author":[{"family":"Martínez-Ruiz","given":"Antonio"},{"family":"López-Cruz","given":"Irineo L."},{"family":"Ruiz-García","given":"Agustín"},{"family":"Pineda-Pineda","given":"Joel"},{"family":"Prado-Hernández","given":"J. Víctor"},{"family":"Martínez-Ruiz","given":"Antonio"},{"family":"López-Cruz","given":"Irineo L."},{"family":"Ruiz-García","given":"Agustín"},{"family":"Pineda-Pineda","given":"Joel"},{"family":"Prado-Hernández","given":"J. Víctor"}],"accessed":{"date-parts":[["2025",3,31]]},"issued":{"date-parts":[["2019",3]]}},"label":"page"}],"schema":"https://github.com/citation-style-language/schema/raw/master/csl-citation.json"} </w:instrText>
      </w:r>
      <w:r>
        <w:rPr>
          <w:rFonts w:ascii="Arial" w:hAnsi="Arial" w:cs="Arial"/>
          <w:color w:val="231F20"/>
          <w:sz w:val="24"/>
          <w:szCs w:val="24"/>
          <w:lang w:val="es-ES"/>
        </w:rPr>
        <w:fldChar w:fldCharType="separate"/>
      </w:r>
      <w:r w:rsidR="008F362B" w:rsidRPr="008F362B">
        <w:rPr>
          <w:rFonts w:ascii="Arial" w:hAnsi="Arial" w:cs="Arial"/>
          <w:sz w:val="24"/>
          <w:szCs w:val="24"/>
        </w:rPr>
        <w:t xml:space="preserve">(Abreu </w:t>
      </w:r>
      <w:r w:rsidR="008F362B" w:rsidRPr="008F362B">
        <w:rPr>
          <w:rFonts w:ascii="Arial" w:hAnsi="Arial" w:cs="Arial"/>
          <w:i/>
          <w:iCs/>
          <w:sz w:val="24"/>
          <w:szCs w:val="24"/>
        </w:rPr>
        <w:t>et al</w:t>
      </w:r>
      <w:r w:rsidR="008F362B" w:rsidRPr="008F362B">
        <w:rPr>
          <w:rFonts w:ascii="Arial" w:hAnsi="Arial" w:cs="Arial"/>
          <w:sz w:val="24"/>
          <w:szCs w:val="24"/>
        </w:rPr>
        <w:t xml:space="preserve">., 2000; Martínez </w:t>
      </w:r>
      <w:r w:rsidR="008F362B" w:rsidRPr="008F362B">
        <w:rPr>
          <w:rFonts w:ascii="Arial" w:hAnsi="Arial" w:cs="Arial"/>
          <w:i/>
          <w:iCs/>
          <w:sz w:val="24"/>
          <w:szCs w:val="24"/>
        </w:rPr>
        <w:t>et al</w:t>
      </w:r>
      <w:r w:rsidR="008F362B" w:rsidRPr="008F362B">
        <w:rPr>
          <w:rFonts w:ascii="Arial" w:hAnsi="Arial" w:cs="Arial"/>
          <w:sz w:val="24"/>
          <w:szCs w:val="24"/>
        </w:rPr>
        <w:t>., 2019)</w:t>
      </w:r>
      <w:r>
        <w:rPr>
          <w:rFonts w:ascii="Arial" w:hAnsi="Arial" w:cs="Arial"/>
          <w:color w:val="231F20"/>
          <w:sz w:val="24"/>
          <w:szCs w:val="24"/>
          <w:lang w:val="es-ES"/>
        </w:rPr>
        <w:fldChar w:fldCharType="end"/>
      </w:r>
      <w:r>
        <w:rPr>
          <w:rFonts w:ascii="Arial" w:hAnsi="Arial" w:cs="Arial"/>
          <w:color w:val="231F20"/>
          <w:sz w:val="24"/>
          <w:szCs w:val="24"/>
          <w:lang w:val="es-ES"/>
        </w:rPr>
        <w:t>,</w:t>
      </w:r>
      <w:r>
        <w:rPr>
          <w:rFonts w:ascii="Arial" w:eastAsia="Calibri" w:hAnsi="Arial" w:cs="Arial"/>
          <w:sz w:val="24"/>
          <w:szCs w:val="24"/>
          <w:lang w:val="es-ES" w:eastAsia="es-ES"/>
        </w:rPr>
        <w:t xml:space="preserve"> </w:t>
      </w:r>
      <w:proofErr w:type="spellStart"/>
      <w:r>
        <w:rPr>
          <w:rFonts w:ascii="Arial" w:eastAsia="Calibri" w:hAnsi="Arial" w:cs="Arial"/>
          <w:sz w:val="24"/>
          <w:szCs w:val="24"/>
          <w:lang w:val="es-ES" w:eastAsia="es-ES"/>
        </w:rPr>
        <w:t>TomCast</w:t>
      </w:r>
      <w:proofErr w:type="spellEnd"/>
      <w:r>
        <w:rPr>
          <w:rFonts w:ascii="Arial" w:eastAsia="Calibri" w:hAnsi="Arial" w:cs="Arial"/>
          <w:sz w:val="24"/>
          <w:szCs w:val="24"/>
          <w:lang w:val="es-ES" w:eastAsia="es-ES"/>
        </w:rPr>
        <w:t xml:space="preserve"> </w:t>
      </w:r>
      <w:r>
        <w:rPr>
          <w:rFonts w:ascii="Arial" w:eastAsia="Calibri" w:hAnsi="Arial" w:cs="Arial"/>
          <w:sz w:val="24"/>
          <w:szCs w:val="24"/>
          <w:lang w:val="es-ES" w:eastAsia="es-ES"/>
        </w:rPr>
        <w:fldChar w:fldCharType="begin"/>
      </w:r>
      <w:r w:rsidR="008F362B">
        <w:rPr>
          <w:rFonts w:ascii="Arial" w:eastAsia="Calibri" w:hAnsi="Arial" w:cs="Arial"/>
          <w:sz w:val="24"/>
          <w:szCs w:val="24"/>
          <w:lang w:val="es-ES" w:eastAsia="es-ES"/>
        </w:rPr>
        <w:instrText xml:space="preserve"> ADDIN ZOTERO_ITEM CSL_CITATION {"citationID":"dOyjhdZ5","properties":{"custom":"(Meno {\\i{}et al}., 2020; Li {\\i{}et al}., 2023)","unsorted":true,"formattedCitation":"(Meno {\\i{}et al}., 2020; Li {\\i{}et al}., 2023)","plainCitation":"(Meno et al., 2020; Li et al., 2023)","noteIndex":0},"citationItems":[{"id":639,"uris":["http://zotero.org/users/12642312/items/N9I386JD"],"itemData":{"id":639,"type":"article-journal","abstract":"The present study focuses on establishing thresholds of weather variables for predict early blight in potato crops. For this, the TOMCAST model was adjusted using weather variables and Alternaria conidia levels (mainly A. solani and A. alternata) during six growing seasons in A Limia (Northwest Spain). TOMCAST for the eﬀective management of early blight considers leaf wetness and air temperature to calculate daily severity values (DSVs). Spearman correlations between temperature (minimum and average), mean temperature during leaf wetness period and Alternaria concentration showed the highest positive signiﬁcant coeﬃcients (0.386, 0.230 and 0.372, respectively; p &lt; 0.01). Speciﬁcally, Alternaria levels higher than 50 spores/m3 were found the days with air mean temperature above 18 ◦C, more than 7 h of leaf wetness. Leaf wetness was decisive to estimate the concentration of Alternaria, resulting in a signiﬁcant linear regression model (R2 = 0.41; p &lt; 0.001). TOMCAST was adapted to the area, considering 10 ◦C the minimum threshold for the mean value of temperature during the wet period and 10–15 accumulated disease severity values (DSV). Using TOMCAST, it was possible to predict the ﬁrst Alternaria peak in most of potato growing seasons. Combining aerobiological and meteorological data to control fungal diseases during crops are a useful tool for sustainable agriculture.","container-title":"Agronomy","DOI":"10.3390/agronomy10121872","ISSN":"2073-4395","issue":"12","journalAbbreviation":"Agronomy","language":"en","license":"https://creativecommons.org/licenses/by/4.0/","page":"1872","source":"DOI.org (Crossref)","title":"Modification of the TOMCAST Model with Aerobiological Data for Management of Potato Early Blight","URL":"https://www.mdpi.com/2073-4395/10/12/1872","volume":"10","author":[{"family":"Meno","given":"Laura"},{"family":"Escuredo","given":"Olga"},{"family":"Rodríguez-Flores","given":"Maria Shantal"},{"family":"Seijo","given":"Maria Carmen"}],"accessed":{"date-parts":[["2025",3,12]]},"issued":{"date-parts":[["2020",11,27]]}},"label":"page"},{"id":646,"uris":["http://zotero.org/users/12642312/items/2LZN8MR3"],"itemData":{"id":646,"type":"article-journal","abstract":"To explore the applicability of different fungicide application schemes to control potato early blight (mainly caused by Alternaria solani) in China, ﬁeld trials were conducted from 2020 to 2022, combining different fungicides with the tomato forecaster (TOMCAST) model and using weather variables to adjust the minimum temperature of TOMCAST to 7 ◦C. To effectively manage potato early blight, the TOMCAST model combines relative humidity (&gt;88%) and air temperature to calculate daily severity values (DSVs). The application of fungicides (fungicide schedule) is as follows: untreated; two standard treatments, Amimiaoshou SC and Xishi SC, applied at the ﬁrst appearance of disease symptoms; and two different TOMCAST treatments, in which fungicides are applied when the physiological days add up to 300 days and DSVs add up to 15. This study quantiﬁes the intensity of early blight as the area under the disease progression curve and the ﬁnal disease severity. Additionally, a progress curve for early blight is constructed to compare the development of early blight in different years and treatments. The TOMCAST-15 model reduces the number of fungicide applications in addition to signiﬁcantly suppressing the development of early blight. Furthermore, fungicide application signiﬁcantly increases the dry matter and starch contents of potatoes, and TOMCAST-15 × Amimiaoshou SC has similar enhancement effects on dry matter, protein, reducing sugar, and starch contents compared with Amomiaohou SC and Xishi SC. As a result, TOMCAST × Amimiaoshou SC may be an effective alternative to the standard treatment and have good applicability in China.","container-title":"Plants","DOI":"10.3390/plants12081634","ISSN":"2223-7747","issue":"8","journalAbbreviation":"Plants","language":"en","license":"https://creativecommons.org/licenses/by/4.0/","page":"1634","source":"DOI.org (Crossref)","title":"Evaluating the Applicability of the TOMCAST Model for the Control of Potato Early Blight in China","URL":"https://www.mdpi.com/2223-7747/12/8/1634","volume":"12","author":[{"family":"Li","given":"Qing"},{"family":"Zhang","given":"Xueyan"},{"family":"Ma","given":"Xin"},{"family":"Li","given":"Hailong"}],"accessed":{"date-parts":[["2025",3,12]]},"issued":{"date-parts":[["2023",4,12]]}},"label":"page"}],"schema":"https://github.com/citation-style-language/schema/raw/master/csl-citation.json"} </w:instrText>
      </w:r>
      <w:r>
        <w:rPr>
          <w:rFonts w:ascii="Arial" w:eastAsia="Calibri" w:hAnsi="Arial" w:cs="Arial"/>
          <w:sz w:val="24"/>
          <w:szCs w:val="24"/>
          <w:lang w:val="es-ES" w:eastAsia="es-ES"/>
        </w:rPr>
        <w:fldChar w:fldCharType="separate"/>
      </w:r>
      <w:r w:rsidR="008F362B" w:rsidRPr="008F362B">
        <w:rPr>
          <w:rFonts w:ascii="Arial" w:hAnsi="Arial" w:cs="Arial"/>
          <w:sz w:val="24"/>
          <w:szCs w:val="24"/>
        </w:rPr>
        <w:t xml:space="preserve">(Meno </w:t>
      </w:r>
      <w:r w:rsidR="008F362B" w:rsidRPr="008F362B">
        <w:rPr>
          <w:rFonts w:ascii="Arial" w:hAnsi="Arial" w:cs="Arial"/>
          <w:i/>
          <w:iCs/>
          <w:sz w:val="24"/>
          <w:szCs w:val="24"/>
        </w:rPr>
        <w:t>et al</w:t>
      </w:r>
      <w:r w:rsidR="008F362B" w:rsidRPr="008F362B">
        <w:rPr>
          <w:rFonts w:ascii="Arial" w:hAnsi="Arial" w:cs="Arial"/>
          <w:sz w:val="24"/>
          <w:szCs w:val="24"/>
        </w:rPr>
        <w:t xml:space="preserve">., 2020; Li </w:t>
      </w:r>
      <w:r w:rsidR="008F362B" w:rsidRPr="008F362B">
        <w:rPr>
          <w:rFonts w:ascii="Arial" w:hAnsi="Arial" w:cs="Arial"/>
          <w:i/>
          <w:iCs/>
          <w:sz w:val="24"/>
          <w:szCs w:val="24"/>
        </w:rPr>
        <w:t>et al</w:t>
      </w:r>
      <w:r w:rsidR="008F362B" w:rsidRPr="008F362B">
        <w:rPr>
          <w:rFonts w:ascii="Arial" w:hAnsi="Arial" w:cs="Arial"/>
          <w:sz w:val="24"/>
          <w:szCs w:val="24"/>
        </w:rPr>
        <w:t>., 2023)</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r>
        <w:rPr>
          <w:rFonts w:ascii="Arial" w:hAnsi="Arial" w:cs="Arial"/>
          <w:sz w:val="24"/>
          <w:szCs w:val="24"/>
          <w:lang w:val="es-ES"/>
        </w:rPr>
        <w:t xml:space="preserve">TOMGRO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{"citationID":"b4NsswR9","properties":{"custom":"(Giuliani {\\i{}et al}., 2019; Lin {\\i{}et al}., 2019)","formattedCitation":"(Giuliani {\\i{}et al}., 2019; Lin {\\i{}et al}., 2019)","plainCitation":"(Giuliani et al., 2019; Lin et al., 2019)","noteIndex":0},"citationItems":[{"id":626,"uris":["http://zotero.org/users/12642312/items/DFMUQA25"],"itemData":{"id":626,"type":"article-journal","abstract":"The main cultivation area of the Italian processing tomato is the Southern Capitanata plain. Here, the hardest agronomic challenge is the optimization of the irrigation water use, which is often inefficiently performed by farmers, who tend to over-irrigate. This could become unsustainable in the next years, given the negative impacts of climatic changes on groundwater availability and heat stress intensification. The aim of the study was to identify the most promising agronomic strategies to optimize tomato yield and water use in Capitanata, through a modeling study relying on an extensive dataset for model calibration and evaluation (22 data sets in 2005–2018). The TOMGRO simulation model was adapted to open-field growing conditions and was coupled with a soil model to reproduce the impact of water stress on yield and fruit quality. The new model, TomGro_field, was applied on the tomato cultivation area in Capitanata at 5 × 5 km spatial resolution using an ensemble of future climatic scenarios, resulting from the combination of four General Circulation Models, two extreme Representative Concentration Pathways and five 10-years time frames (2030–2070). Our results showed an overall negative impact of climate change on tomato yields (average decrease = 5–10%), which could be reversed by i) the implementation of deficit irrigation strategies based on the restitution of 60–70% of the crop evapotranspiration, ii) the adoption of varieties with longer cycle and iii) the anticipation of 1–2 weeks in transplanting dates. The corresponding irrigation amounts applied are around 360 mm, thus reinforcing that a rational water management could be realized. Our study provides agronomic indications to tomato growers and lays the basis for a bio-economic analysis to support policy makers in charge of promoting the sustainability of the tomato growing systems.","container-title":"European Journal of Agronomy","DOI":"10.1016/j.eja.2019.125937","ISSN":"11610301","journalAbbreviation":"European Journal of Agronomy","language":"en","page":"125937","source":"DOI.org (Crossref)","title":"Identifying the most promising agronomic adaptation strategies for the tomato growing systems in Southern Italy via simulation modeling","URL":"https://linkinghub.elsevier.com/retrieve/pii/S1161030119300747","volume":"111","author":[{"family":"Giuliani","given":"Marcella Michela"},{"family":"Gatta","given":"Giuseppe"},{"family":"Cappelli","given":"Giovanni"},{"family":"Gagliardi","given":"Anna"},{"family":"Donatelli","given":"Marcello"},{"family":"Fanchini","given":"Davide"},{"family":"De Nart","given":"Dario"},{"family":"Mongiano","given":"Gabriele"},{"family":"Bregaglio","given":"Simone"}],"accessed":{"date-parts":[["2025",3,12]]},"issued":{"date-parts":[["2019",11]]}},"label":"page"},{"id":638,"uris":["http://zotero.org/users/12642312/items/NWNIDNNT"],"itemData":{"id":638,"type":"article-journal","abstract":"The commonly used greenhouse crop yield prediction models today have their speciﬁc application scenarios, which may not ensure the accuracy of the results if the greenhouse environment changes. This greatly restricts their use in the greenhouse environment. To solve this problem, two widely used tomato growth models were compared in the study: TOMGRO and Vanthoor, and then an integrated model was obtained. Through the extended Fourier amplitude sensitivity test (EFAST), the model parameters were divided into three categories: optimized, ﬁxed and ignored. In addition, Bayesian optimization was used as an optimization algorithm, through which the parameters applicable to the greenhouse can be optimized based on the greenhouse data. Compared with TOMGRO and Vanthoor, the output of the integrated model was more reasonable and universal, and the RMSE in the integrated model was 2.5974 while that in TOMGRO and Vanthoor both were over 17, reﬂecting the fact that the model output was closer to the actual value. According to the veriﬁcation results of four-year greenhouse data, the model had high performance in predicting yield.","container-title":"Agronomy","DOI":"10.3390/agronomy9120873","ISSN":"2073-4395","issue":"12","journalAbbreviation":"Agronomy","language":"en","license":"https://creativecommons.org/licenses/by/4.0/","page":"873","source":"DOI.org (Crossref)","title":"An Integrated Yield Prediction Model for Greenhouse Tomato","URL":"https://www.mdpi.com/2073-4395/9/12/873","volume":"9","author":[{"family":"Lin","given":"Dingyi"},{"family":"Wei","given":"Ruihua"},{"family":"Xu","given":"Lihong"}],"accessed":{"date-parts":[["2025",3,12]]},"issued":{"date-parts":[["2019",12,11]]}},"label":"page"}],"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(Giuliani </w:t>
      </w:r>
      <w:r>
        <w:rPr>
          <w:rFonts w:ascii="Arial" w:hAnsi="Arial" w:cs="Arial"/>
          <w:i/>
          <w:iCs/>
          <w:sz w:val="24"/>
          <w:szCs w:val="24"/>
          <w:lang w:val="es-ES"/>
        </w:rPr>
        <w:t>et al</w:t>
      </w:r>
      <w:r>
        <w:rPr>
          <w:rFonts w:ascii="Arial" w:hAnsi="Arial" w:cs="Arial"/>
          <w:sz w:val="24"/>
          <w:szCs w:val="24"/>
          <w:lang w:val="es-ES"/>
        </w:rPr>
        <w:t xml:space="preserve">., 2019; Lin </w:t>
      </w:r>
      <w:r>
        <w:rPr>
          <w:rFonts w:ascii="Arial" w:hAnsi="Arial" w:cs="Arial"/>
          <w:i/>
          <w:iCs/>
          <w:sz w:val="24"/>
          <w:szCs w:val="24"/>
          <w:lang w:val="es-ES"/>
        </w:rPr>
        <w:t>et al</w:t>
      </w:r>
      <w:r>
        <w:rPr>
          <w:rFonts w:ascii="Arial" w:hAnsi="Arial" w:cs="Arial"/>
          <w:sz w:val="24"/>
          <w:szCs w:val="24"/>
          <w:lang w:val="es-ES"/>
        </w:rPr>
        <w:t>., 2019)</w:t>
      </w:r>
      <w:r>
        <w:rPr>
          <w:rFonts w:ascii="Arial" w:hAnsi="Arial" w:cs="Arial"/>
          <w:sz w:val="24"/>
          <w:szCs w:val="24"/>
          <w:lang w:val="es-ES"/>
        </w:rPr>
        <w:fldChar w:fldCharType="end"/>
      </w:r>
      <w:r>
        <w:rPr>
          <w:rFonts w:ascii="Arial" w:hAnsi="Arial" w:cs="Arial"/>
          <w:sz w:val="24"/>
          <w:szCs w:val="24"/>
          <w:lang w:val="es-ES"/>
        </w:rPr>
        <w:t xml:space="preserve">, TOMPOUSSE </w:t>
      </w:r>
      <w:r>
        <w:rPr>
          <w:rFonts w:ascii="Arial" w:hAnsi="Arial" w:cs="Arial"/>
          <w:sz w:val="24"/>
          <w:szCs w:val="24"/>
          <w:lang w:val="es-ES"/>
        </w:rPr>
        <w:fldChar w:fldCharType="begin"/>
      </w:r>
      <w:r w:rsidR="008F362B">
        <w:rPr>
          <w:rFonts w:ascii="Arial" w:hAnsi="Arial" w:cs="Arial"/>
          <w:sz w:val="24"/>
          <w:szCs w:val="24"/>
          <w:lang w:val="es-ES"/>
        </w:rPr>
        <w:instrText xml:space="preserve"> ADDIN ZOTERO_ITEM CSL_CITATION {"citationID":"gmu0tS1l","properties":{"custom":"(Gary {\\i{}et al}., 1996; Abreu {\\i{}et al}., 2000)","unsorted":true,"formattedCitation":"(Gary {\\i{}et al}., 1996; Abreu {\\i{}et al}., 2000)","plainCitation":"(Gary et al., 1996; Abreu et al., 2000)","noteIndex":0},"citationItems":[{"id":1039,"uris":["http://zotero.org/users/12642312/items/59EBQEXN"],"itemData":{"id":1039,"type":"paper-conference","event-title":"Séminaire","language":"fr","source":"hal.inrae.fr","title":"TOMPOUSSE, un modèle simplifié de prévision du rendement et du calibre de la tomate","URL":"https://hal.inrae.fr/hal-02769257","author":[{"family":"Gary","given":"Christian C."},{"family":"Baille","given":"Alain"},{"family":"Navarrete","given":"Mireille"},{"family":"Espanet","given":"R."}],"accessed":{"date-parts":[["2025",3,31]]},"issued":{"date-parts":[["1996",3,12]]}},"label":"page"},{"id":1043,"uris":["http://zotero.org/users/12642312/items/DZZYF7KP"],"itemData":{"id":1043,"type":"article-journal","container-title":"Acta Horticulturae","DOI":"10.17660/ActaHortic.2000.519.14","ISSN":"0567-7572, 2406-6168","issue":"519","journalAbbreviation":"Acta Hortic.","page":"141-150","source":"DOI.org (Crossref)","title":"TOMPOUSSE, A MODEL OF YIELD PREDICTION FOR TOMATO CROPS: CALIBRATION STUDY FOR UNHEATED PLASTIC GREENHOUSES","title-short":"TOMPOUSSE, A MODEL OF YIELD PREDICTION FOR TOMATO CROPS","URL":"https://www.actahort.org/books/519/519_14.htm","author":[{"family":"Abreu","given":"P."},{"family":"Meneses","given":"J.F."},{"family":"Gary","given":"C."}],"accessed":{"date-parts":[["2025",3,31]]},"issued":{"date-parts":[["2000",1]]}},"label":"page"}],"schema":"https://github.com/citation-style-language/schema/raw/master/csl-citation.json"} </w:instrText>
      </w:r>
      <w:r>
        <w:rPr>
          <w:rFonts w:ascii="Arial" w:hAnsi="Arial" w:cs="Arial"/>
          <w:sz w:val="24"/>
          <w:szCs w:val="24"/>
          <w:lang w:val="es-ES"/>
        </w:rPr>
        <w:fldChar w:fldCharType="separate"/>
      </w:r>
      <w:r w:rsidR="008F362B" w:rsidRPr="008F362B">
        <w:rPr>
          <w:rFonts w:ascii="Arial" w:hAnsi="Arial" w:cs="Arial"/>
          <w:sz w:val="24"/>
          <w:szCs w:val="24"/>
          <w:lang w:val="es-ES"/>
        </w:rPr>
        <w:t xml:space="preserve">(Gary </w:t>
      </w:r>
      <w:r w:rsidR="008F362B" w:rsidRPr="008F362B">
        <w:rPr>
          <w:rFonts w:ascii="Arial" w:hAnsi="Arial" w:cs="Arial"/>
          <w:i/>
          <w:iCs/>
          <w:sz w:val="24"/>
          <w:szCs w:val="24"/>
          <w:lang w:val="es-ES"/>
        </w:rPr>
        <w:t>et al</w:t>
      </w:r>
      <w:r w:rsidR="008F362B" w:rsidRPr="008F362B">
        <w:rPr>
          <w:rFonts w:ascii="Arial" w:hAnsi="Arial" w:cs="Arial"/>
          <w:sz w:val="24"/>
          <w:szCs w:val="24"/>
          <w:lang w:val="es-ES"/>
        </w:rPr>
        <w:t xml:space="preserve">., 1996; Abreu </w:t>
      </w:r>
      <w:r w:rsidR="008F362B" w:rsidRPr="008F362B">
        <w:rPr>
          <w:rFonts w:ascii="Arial" w:hAnsi="Arial" w:cs="Arial"/>
          <w:i/>
          <w:iCs/>
          <w:sz w:val="24"/>
          <w:szCs w:val="24"/>
          <w:lang w:val="es-ES"/>
        </w:rPr>
        <w:t>et al</w:t>
      </w:r>
      <w:r w:rsidR="008F362B" w:rsidRPr="008F362B">
        <w:rPr>
          <w:rFonts w:ascii="Arial" w:hAnsi="Arial" w:cs="Arial"/>
          <w:sz w:val="24"/>
          <w:szCs w:val="24"/>
          <w:lang w:val="es-ES"/>
        </w:rPr>
        <w:t>., 2000)</w:t>
      </w:r>
      <w:r>
        <w:rPr>
          <w:rFonts w:ascii="Arial" w:hAnsi="Arial" w:cs="Arial"/>
          <w:sz w:val="24"/>
          <w:szCs w:val="24"/>
          <w:lang w:val="es-ES"/>
        </w:rPr>
        <w:fldChar w:fldCharType="end"/>
      </w:r>
      <w:r>
        <w:rPr>
          <w:rFonts w:ascii="Arial" w:hAnsi="Arial" w:cs="Arial"/>
          <w:sz w:val="24"/>
          <w:szCs w:val="24"/>
          <w:lang w:val="es-ES"/>
        </w:rPr>
        <w:t xml:space="preserve">, TOMSIM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{"citationID":"TobigqpX","properties":{"custom":"(Kuijpers {\\i{}et al}., 2019; Xiuyuan, 2023)","formattedCitation":"(Kuijpers {\\i{}et al}., 2019; Xiuyuan, 2023)","plainCitation":"(Kuijpers et al., 2019; Xiuyuan, 2023)","noteIndex":0},"citationItems":[{"id":596,"uris":["http://zotero.org/users/12642312/items/I8A524CZ"],"itemData":{"id":596,"type":"article-journal","container-title":"Biosystems Engineering","DOI":"10.1016/j.biosystemseng.2019.09.010","ISSN":"15375110","journalAbbreviation":"Biosystems Engineering","language":"en","page":"247-257","source":"DOI.org (Crossref)","title":"Model selection with a common structure: Tomato crop growth models","title-short":"Model selection with a common structure","URL":"https://linkinghub.elsevier.com/retrieve/pii/S1537511019308323","volume":"187","author":[{"family":"Kuijpers","given":"Wouter J.P."},{"family":"Van De Molengraft","given":"Marinus J.G."},{"family":"Van Mourik","given":"Simon"},{"family":"Van ’T Ooster","given":"Albertus"},{"family":"Hemming","given":"Silke"},{"family":"Van Henten","given":"Eldert J."}],"accessed":{"date-parts":[["2025",3,12]]},"issued":{"date-parts":[["2019",11]]}},"label":"page"},{"id":981,"uris":["http://zotero.org/users/12642312/items/B89JHE5J"],"itemData":{"id":981,"type":"article-journal","abstract":"Methods </w:instrText>
      </w:r>
      <w:r>
        <w:rPr>
          <w:rFonts w:ascii="Arial" w:hAnsi="Arial" w:cs="Arial" w:hint="eastAsia"/>
          <w:sz w:val="24"/>
          <w:szCs w:val="24"/>
          <w:lang w:val="es-ES"/>
        </w:rPr>
        <w:instrText></w:instrText>
      </w:r>
      <w:r>
        <w:rPr>
          <w:rFonts w:ascii="Arial" w:hAnsi="Arial" w:cs="Arial"/>
          <w:sz w:val="24"/>
          <w:szCs w:val="24"/>
          <w:lang w:val="es-ES"/>
        </w:rPr>
        <w:instrText xml:space="preserve">\nResults and Analysis </w:instrText>
      </w:r>
      <w:r>
        <w:rPr>
          <w:rFonts w:ascii="Arial" w:hAnsi="Arial" w:cs="Arial" w:hint="eastAsia"/>
          <w:sz w:val="24"/>
          <w:szCs w:val="24"/>
          <w:lang w:val="es-ES"/>
        </w:rPr>
        <w:instrText></w:instrText>
      </w:r>
      <w:r>
        <w:rPr>
          <w:rFonts w:ascii="Arial" w:hAnsi="Arial" w:cs="Arial"/>
          <w:sz w:val="24"/>
          <w:szCs w:val="24"/>
          <w:lang w:val="es-ES"/>
        </w:rPr>
        <w:instrText xml:space="preserve"> Discussion </w:instrText>
      </w:r>
      <w:r>
        <w:rPr>
          <w:rFonts w:ascii="Arial" w:hAnsi="Arial" w:cs="Arial" w:hint="eastAsia"/>
          <w:sz w:val="24"/>
          <w:szCs w:val="24"/>
          <w:lang w:val="es-ES"/>
        </w:rPr>
        <w:instrText></w:instrText>
      </w:r>
      <w:r>
        <w:rPr>
          <w:rFonts w:ascii="Arial" w:hAnsi="Arial" w:cs="Arial"/>
          <w:sz w:val="24"/>
          <w:szCs w:val="24"/>
          <w:lang w:val="es-ES"/>
        </w:rPr>
        <w:instrText xml:space="preserve">\nConclusions </w:instrText>
      </w:r>
      <w:r>
        <w:rPr>
          <w:rFonts w:ascii="Arial" w:hAnsi="Arial" w:cs="Arial" w:hint="eastAsia"/>
          <w:sz w:val="24"/>
          <w:szCs w:val="24"/>
          <w:lang w:val="es-ES"/>
        </w:rPr>
        <w:instrText></w:instrText>
      </w:r>
      <w:r>
        <w:rPr>
          <w:rFonts w:ascii="Arial" w:hAnsi="Arial" w:cs="Arial"/>
          <w:sz w:val="24"/>
          <w:szCs w:val="24"/>
          <w:lang w:val="es-ES"/>
        </w:rPr>
        <w:instrText xml:space="preserve">","language":"en","source":"Zotero","title":"Modelo de predicción del rendimiento del tomate en invernadero utilizando datos basados ​​en diferentes condiciones de fertilidad del suelo","author":[{"family":"Xiuyuan","given":"Peng"}],"issued":{"date-parts":[["2023"]]}},"label":"page"}],"schema":"https://github.com/citation-style-language/schema/raw/master/csl-citation.json"}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(Kuijpers </w:t>
      </w:r>
      <w:r>
        <w:rPr>
          <w:rFonts w:ascii="Arial" w:hAnsi="Arial" w:cs="Arial"/>
          <w:i/>
          <w:iCs/>
          <w:sz w:val="24"/>
          <w:szCs w:val="24"/>
          <w:lang w:val="es-ES"/>
        </w:rPr>
        <w:t>et al</w:t>
      </w:r>
      <w:r>
        <w:rPr>
          <w:rFonts w:ascii="Arial" w:hAnsi="Arial" w:cs="Arial"/>
          <w:sz w:val="24"/>
          <w:szCs w:val="24"/>
          <w:lang w:val="es-ES"/>
        </w:rPr>
        <w:t>., 2019; Xiuyuan, 2023)</w:t>
      </w:r>
      <w:r>
        <w:rPr>
          <w:rFonts w:ascii="Arial" w:hAnsi="Arial" w:cs="Arial"/>
          <w:sz w:val="24"/>
          <w:szCs w:val="24"/>
          <w:lang w:val="es-ES"/>
        </w:rPr>
        <w:fldChar w:fldCharType="end"/>
      </w:r>
      <w:r>
        <w:rPr>
          <w:rFonts w:ascii="Arial" w:hAnsi="Arial" w:cs="Arial"/>
          <w:sz w:val="24"/>
          <w:szCs w:val="24"/>
          <w:lang w:val="es-ES"/>
        </w:rPr>
        <w:t>,</w:t>
      </w:r>
      <w:r>
        <w:rPr>
          <w:rFonts w:ascii="Arial" w:eastAsia="Calibri" w:hAnsi="Arial" w:cs="Arial"/>
          <w:sz w:val="24"/>
          <w:szCs w:val="24"/>
          <w:lang w:val="es-ES" w:eastAsia="es-ES"/>
        </w:rPr>
        <w:t xml:space="preserve"> </w:t>
      </w:r>
      <w:proofErr w:type="spellStart"/>
      <w:r>
        <w:rPr>
          <w:rFonts w:ascii="Arial" w:hAnsi="Arial" w:cs="Arial"/>
          <w:sz w:val="24"/>
          <w:szCs w:val="24"/>
          <w:lang w:val="es-ES"/>
        </w:rPr>
        <w:t>VegSyst</w:t>
      </w:r>
      <w:proofErr w:type="spellEnd"/>
      <w:r>
        <w:rPr>
          <w:rFonts w:ascii="Arial" w:hAnsi="Arial" w:cs="Arial"/>
          <w:sz w:val="24"/>
          <w:szCs w:val="24"/>
          <w:lang w:val="es-ES"/>
        </w:rPr>
        <w:t xml:space="preserve"> </w:t>
      </w:r>
      <w:r>
        <w:rPr>
          <w:rFonts w:ascii="Arial" w:hAnsi="Arial" w:cs="Arial"/>
          <w:sz w:val="24"/>
          <w:szCs w:val="24"/>
          <w:lang w:val="es-ES"/>
        </w:rPr>
        <w:fldChar w:fldCharType="begin"/>
      </w:r>
      <w:r w:rsidR="00517400">
        <w:rPr>
          <w:rFonts w:ascii="Arial" w:hAnsi="Arial" w:cs="Arial"/>
          <w:sz w:val="24"/>
          <w:szCs w:val="24"/>
          <w:lang w:val="es-ES"/>
        </w:rPr>
        <w:instrText xml:space="preserve"> ADDIN ZOTERO_ITEM CSL_CITATION {"citationID":"ZFcA3N2Y","properties":{"custom":"(Mancilla {\\i{}et al}., 2019)","formattedCitation":"(Mancilla {\\i{}et al}., 2019)","plainCitation":"(Mancilla et al., 2019)","noteIndex":0},"citationItems":[{"id":635,"uris":["http://zotero.org/users/12642312/items/RVPFKA3U"],"itemData":{"id":635,"type":"article-journal","abstract":"Introduction: Mathematical crop modeling allows selecting different simulation environments and analyze the response of different variables over time to estimate, predict and potentiate the growth of a crop.\nObjective: To simulate and evaluate a dynamic mathematical model to predict tomato growth and nitrogen content in the plant under greenhouse conditions.\nMethodology: The simulation was performed with the VegSyst model, for which climate variables and greenhouse tomato crop variables were recorded during two cycles, for the evaluation a local sensitivity analysis and non-linear parametric identification were applied.\nResults: The sensitivity analysis allowed identifying the most sensitive parameters of the model and with the parametric identification the values of the parameters were found, which allowed fitting the simulations to the measurements made in the greenhouse. Limitations of the study: The VegSyst model only allows simulating nitrogen in the plant. In addition, it is necessary to calibrate the model to the climatic conditions of the site for experiments in other areas. Originality: Based on the VegSyst model, equations were proposed and calibrated to estimate height, number of fruits, nodes, dry matter of fruits and dry weight of fruits.\nConclusions: The model predicts the growth of the tomato crop and the nitrogen content in the plant under greenhouse conditions.","container-title":"Ingeniería Agrícola y Biosistemas","DOI":"10.5154/r.inagbi.2018.06.013","ISSN":"20073925, 20074026","issue":"2","journalAbbreviation":"inagbi","language":"en","page":"111-125","source":"DOI.org (Crossref)","title":"Evaluation of a mathematical model to predict growth and nitrogen content in tomatoes (Solanum lycopersicum L.) under greenhouse conditions","URL":"https://revistas.chapingo.mx/inagbi/?section=articles&amp;subsec=issues&amp;numero=274&amp;articulo=2630","volume":"11","author":[{"family":"Mancilla","given":"José A."},{"family":"Tornero-Campante","given":"Mario A."},{"literal":"Colegio de Postgraduados"},{"family":"López-Cruz","given":"Irineo L."},{"literal":"Universidad Autónoma de Chapingo"}],"accessed":{"date-parts":[["2025",3,12]]},"issued":{"date-parts":[["2019"]]}}}],"schema":"https://github.com/citation-style-language/schema/raw/master/csl-citation.json"} </w:instrText>
      </w:r>
      <w:r>
        <w:rPr>
          <w:rFonts w:ascii="Arial" w:hAnsi="Arial" w:cs="Arial"/>
          <w:sz w:val="24"/>
          <w:szCs w:val="24"/>
          <w:lang w:val="es-ES"/>
        </w:rPr>
        <w:fldChar w:fldCharType="separate"/>
      </w:r>
      <w:r w:rsidR="00517400" w:rsidRPr="00105C02">
        <w:rPr>
          <w:rFonts w:ascii="Arial" w:hAnsi="Arial" w:cs="Arial"/>
          <w:sz w:val="24"/>
          <w:szCs w:val="24"/>
          <w:lang w:val="es-ES"/>
        </w:rPr>
        <w:t xml:space="preserve">(Mancilla </w:t>
      </w:r>
      <w:r w:rsidR="00517400" w:rsidRPr="00105C02">
        <w:rPr>
          <w:rFonts w:ascii="Arial" w:hAnsi="Arial" w:cs="Arial"/>
          <w:i/>
          <w:iCs/>
          <w:sz w:val="24"/>
          <w:szCs w:val="24"/>
          <w:lang w:val="es-ES"/>
        </w:rPr>
        <w:t>et al</w:t>
      </w:r>
      <w:r w:rsidR="00517400" w:rsidRPr="00105C02">
        <w:rPr>
          <w:rFonts w:ascii="Arial" w:hAnsi="Arial" w:cs="Arial"/>
          <w:sz w:val="24"/>
          <w:szCs w:val="24"/>
          <w:lang w:val="es-ES"/>
        </w:rPr>
        <w:t>., 2019)</w:t>
      </w:r>
      <w:r>
        <w:rPr>
          <w:rFonts w:ascii="Arial" w:hAnsi="Arial" w:cs="Arial"/>
          <w:sz w:val="24"/>
          <w:szCs w:val="24"/>
          <w:lang w:val="es-ES"/>
        </w:rPr>
        <w:fldChar w:fldCharType="end"/>
      </w:r>
      <w:r>
        <w:rPr>
          <w:rStyle w:val="author-name"/>
          <w:rFonts w:ascii="Arial" w:hAnsi="Arial" w:cs="Arial"/>
          <w:sz w:val="24"/>
          <w:szCs w:val="24"/>
          <w:lang w:val="es-ES"/>
        </w:rPr>
        <w:t xml:space="preserve">. </w:t>
      </w:r>
      <w:r>
        <w:rPr>
          <w:rFonts w:ascii="Arial" w:eastAsia="Calibri" w:hAnsi="Arial" w:cs="Arial"/>
          <w:sz w:val="24"/>
          <w:szCs w:val="24"/>
          <w:lang w:val="es-ES" w:eastAsia="es-ES"/>
        </w:rPr>
        <w:t xml:space="preserve">La finalidad es que el modelo que se representa sea lo más parecido a la realidad en la interacción suelo-planta-atmosfera </w:t>
      </w:r>
      <w:r>
        <w:rPr>
          <w:rFonts w:ascii="Arial" w:eastAsia="Calibri" w:hAnsi="Arial" w:cs="Arial"/>
          <w:sz w:val="24"/>
          <w:szCs w:val="24"/>
          <w:lang w:val="es-ES" w:eastAsia="es-ES"/>
        </w:rPr>
        <w:fldChar w:fldCharType="begin"/>
      </w:r>
      <w:r w:rsidR="00105C02">
        <w:rPr>
          <w:rFonts w:ascii="Arial" w:eastAsia="Calibri" w:hAnsi="Arial" w:cs="Arial"/>
          <w:sz w:val="24"/>
          <w:szCs w:val="24"/>
          <w:lang w:val="es-ES" w:eastAsia="es-ES"/>
        </w:rPr>
        <w:instrText xml:space="preserve"> ADDIN ZOTERO_ITEM CSL_CITATION {"citationID":"WsAA0yUz","properties":{"custom":"(Greaves &amp; Wang, 2016; Soto &amp; Gonz\\uc0\\u225{}lez, 2019; Tsakmakis {\\i{}et al}., 2019)","formattedCitation":"(Greaves &amp; Wang, 2016; Soto &amp; Gonz\\uc0\\u225{}lez, 2019; Tsakmakis {\\i{}et al}., 2019)","plainCitation":"(Greaves &amp; Wang, 2016; Soto &amp; González, 2019; Tsakmakis et al., 2019)","noteIndex":0},"citationItems":[{"id":911,"uris":["http://zotero.org/users/12642312/items/34CV4BX4"],"itemData":{"id":911,"type":"article-journal","abstract":"Crop simulation models have a pivotal role to play in evaluating irrigation management strategies for improving agricultural water use. The objective of this study was to test and validate the AquaCrop model for maize under deficit irrigation management. Field observations from three experiments consisting of four treatments were used to evaluate model performance in simulating canopy cover (CC), biomass (B), yield (Y), crop evapotranspiration (ETc), and water use efficiency (WUE). Statistics for root mean square error, model efficiency (E), and index of agreement for B and CC suggest that the model prediction is good under non-stressed and moderate stress environments. Prediction of final B and Y under these conditions was acceptable, as indicated by the high coefficient of determination and deviations &lt;10%. In severely stressed conditions, low E and deviations &gt;11% for B and 9% for Y indicate a reduction in the model reliability. Simulated ETc and WUE deviation from observed values were within the range of 9.5% to 22.2% and 6.0% to 32.2%, respectively, suggesting that AquaCrop prediction of these variables is fair, becoming unsatisfactory as plant water stress intensifies. AquaCrop can be reliably used for evaluating the effectiveness of proposed irrigation management strategies for maize; however, the limitations should be kept in mind when interpreting the results in severely stressed conditions.","container-title":"Water","DOI":"10.3390/w8120557","ISSN":"2073-4441","issue":"12","language":"en","license":"http://creativecommons.org/licenses/by/3.0/","note":"number: 12\npublisher: Multidisciplinary Digital Publishing Institute","page":"557","source":"www.mdpi.com","title":"Assessment of FAO AquaCrop Model for Simulating Maize Growth and Productivity under Deficit Irrigation in a Tropical Environment","URL":"https://www.mdpi.com/2073-4441/8/12/557","volume":"8","author":[{"family":"Greaves","given":"Geneille E."},{"family":"Wang","given":"Yu-Min"}],"accessed":{"date-parts":[["2025",3,26]]},"issued":{"date-parts":[["2016",12]]}},"label":"page"},{"id":1007,"uris":["http://zotero.org/users/12642312/items/Y9898IIZ"],"itemData":{"id":1007,"type":"article-journal","abstract":"Introduction. Every simulation model must be calibrated and validated, in order to avoid speculative and inaccurate conclusions. The methods to evaluate simulation models are usually applied “by habit”, without specifying basic methodological details which leads to the use of terminology and symbology that could cause confusion Objective. The objective in the present study was to analyze the different statistical methods employed to evaluate the performance of simulation models in agriculture, and thus propose which is the most suitable from the practical point of view. Materials and Methods. Statistical methods based on difference and regression analysis, between measured and simulated values were analyzed. Regarding the difference analysis group, the used methods were root mean square error (RMSE), mean absolute error (MAE), relative error (RE), adjustment index (d), me bianas error (MBE) and the model efficiency (E). In the case of the regression analysis the intercept, linear regression (b) and determination (R2) coefficients, and the estimation confidence limits were scrutinize. Results. The ER, d and E, are measures which objective is the comparison between different models to simulate a given variable, instead of evaluating the performance of the model as such. The root square mean error usually used to evaluate differences between observed and simulated values is different from the RMSE regression. The different cases illustrated with the “Eurotate_N” model demonstrated the apropriate practical application of the regression analysis as statistical tool to evaluate its capacity to simulate fruit yield, volumetric soil moisture, evapotranspiration and dry matter in tomato crop under greenhouse. Conclusion. The most appropriate statistical method proposed to evaluate a simulation model in tomato was the regression analysis.\nIntroducción.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Mesoamericana","ISSN":"2215-3608, 1021-7444","issue":"2","language":"spa","note":"publisher: Universidad de Costa Rica\nsection: Agronomía Mesoamericana","page":"517-534","source":"dialnet.unirioja.es","title":"Análisis de métodos estadísticos para evaluar el desempeño de modelos de simulación en cultivos hortícolas","URL":"https://dialnet.unirioja.es/servlet/articulo?codigo=6963219","volume":"30","author":[{"family":"Soto","given":"Freddy"},{"family":"González","given":"María Isabel"}],"accessed":{"date-parts":[["2025",3,27]]},"issued":{"date-parts":[["2019"]]}},"label":"page"},{"id":904,"uris":["http://zotero.org/users/12642312/items/YN64MPT3"],"itemData":{"id":904,"type":"article-journal","abstract":"One of the most vital parameters for the robust crop growth models’ performance is the crops’ root growth pattern. However, its reference measurement methods are laborious, destructive and costly. In this paper we determined the root growth pattern of cotton (Gossypium hirsutum) in the 50 to 100 cm top-soil layer using soil water content measurements from the cotton cultivating seasons of 2015 and 2016 in Northern Greece. The estimated root growth pattern along with canopy cover, biomass, soil water content and final seed cotton yield measurements were then used to evaluate the capability of the FAO AquaCrop model to simulate a deficit irrigated cotton, cultivated under real farming conditions. To do so, a number of existing cotton crop files from the literature were tested. The results showed that the estimated root growth patterns were almost the same in 2015 and 2016 exhibiting root growing rates equal to 1.7 and 2 cm/d, respectively. When the model was run in growing degree days mode, it simulated root growth pattern, canopy cover, biomass and soil water content with fair accuracy for all the proposed crop files (R2 ≥ 0.93, modeling efficiency ≥ 0.91), but the seed cotton yield was simulated adequately only when the AquaCrop’s library file was used. In calendar days mode the model failed to simulate root growth pattern satisfactorily, but the simulation of canopy cover, biomass and soil water content was fair (R2 ≥ 0.75, model efficiency ≥ 0.72). Lastly, the seed cotton yield in the calendar days mode was once again simulated accurately only when the model’s default crop file was used.","container-title":"Agricultural Water Management","DOI":"10.1016/j.agwat.2018.10.029","ISSN":"0378-3774","journalAbbreviation":"Agricultural Water Management","page":"419-432","source":"ScienceDirect","title":"Evaluation of AquaCrop model simulations of cotton growth under deficit irrigation with an emphasis on root growth and water extraction patterns","URL":"https://www.sciencedirect.com/science/article/pii/S037837741830547X","volume":"213","author":[{"family":"Tsakmakis","given":"I. D."},{"family":"Kokkos","given":"N. P."},{"family":"Gikas","given":"G. D."},{"family":"Pisinaras","given":"V."},{"family":"Hatzigiannakis","given":"E."},{"family":"Arampatzis","given":"G."},{"family":"Sylaios","given":"G. K."}],"accessed":{"date-parts":[["2025",3,26]]},"issued":{"date-parts":[["2019",3,1]]}},"label":"page"}],"schema":"https://github.com/citation-style-language/schema/raw/master/csl-citation.json"} </w:instrText>
      </w:r>
      <w:r>
        <w:rPr>
          <w:rFonts w:ascii="Arial" w:eastAsia="Calibri" w:hAnsi="Arial" w:cs="Arial"/>
          <w:sz w:val="24"/>
          <w:szCs w:val="24"/>
          <w:lang w:val="es-ES" w:eastAsia="es-ES"/>
        </w:rPr>
        <w:fldChar w:fldCharType="separate"/>
      </w:r>
      <w:r w:rsidR="00105C02" w:rsidRPr="00224BF0">
        <w:rPr>
          <w:rFonts w:ascii="Arial" w:hAnsi="Arial" w:cs="Arial"/>
          <w:sz w:val="24"/>
          <w:szCs w:val="24"/>
          <w:lang w:val="es-ES"/>
        </w:rPr>
        <w:t xml:space="preserve">(Greaves &amp; Wang, 2016; Soto &amp; González, 2019; Tsakmakis </w:t>
      </w:r>
      <w:r w:rsidR="00105C02" w:rsidRPr="00224BF0">
        <w:rPr>
          <w:rFonts w:ascii="Arial" w:hAnsi="Arial" w:cs="Arial"/>
          <w:i/>
          <w:iCs/>
          <w:sz w:val="24"/>
          <w:szCs w:val="24"/>
          <w:lang w:val="es-ES"/>
        </w:rPr>
        <w:t>et al</w:t>
      </w:r>
      <w:r w:rsidR="00105C02" w:rsidRPr="00224BF0">
        <w:rPr>
          <w:rFonts w:ascii="Arial" w:hAnsi="Arial" w:cs="Arial"/>
          <w:sz w:val="24"/>
          <w:szCs w:val="24"/>
          <w:lang w:val="es-ES"/>
        </w:rPr>
        <w:t>., 2019)</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p>
    <w:p w14:paraId="6BB39BA8" w14:textId="77777777"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eastAsia="Calibri" w:hAnsi="Arial" w:cs="Arial"/>
          <w:sz w:val="24"/>
          <w:szCs w:val="24"/>
          <w:lang w:val="es-ES" w:eastAsia="es-ES"/>
        </w:rPr>
      </w:pPr>
      <w:r>
        <w:rPr>
          <w:rFonts w:ascii="Arial" w:eastAsia="Calibri" w:hAnsi="Arial" w:cs="Arial"/>
          <w:sz w:val="24"/>
          <w:szCs w:val="24"/>
          <w:lang w:val="es-ES" w:eastAsia="es-ES"/>
        </w:rPr>
        <w:t xml:space="preserve">La utilización de modelos de simulación permite en forma práctica y flexible analizar las actividades agropecuarias en una zona o región especifica. Además, facilita el análisis de antes y después de nuevas estrategias tecnológicas para determinar su viabilidad, tanto biológica como económica, y determinar las condiciones necesarias para promover su difusión y fomento en determinada región </w:t>
      </w:r>
      <w:r>
        <w:rPr>
          <w:rFonts w:ascii="Arial" w:eastAsia="Calibri" w:hAnsi="Arial" w:cs="Arial"/>
          <w:sz w:val="24"/>
          <w:szCs w:val="24"/>
          <w:lang w:val="es-ES" w:eastAsia="es-ES"/>
        </w:rPr>
        <w:fldChar w:fldCharType="begin"/>
      </w:r>
      <w:r w:rsidR="00105C02">
        <w:rPr>
          <w:rFonts w:ascii="Arial" w:eastAsia="Calibri" w:hAnsi="Arial" w:cs="Arial"/>
          <w:sz w:val="24"/>
          <w:szCs w:val="24"/>
          <w:lang w:val="es-ES" w:eastAsia="es-ES"/>
        </w:rPr>
        <w:instrText xml:space="preserve"> ADDIN ZOTERO_ITEM CSL_CITATION {"citationID":"ODJYtZes","properties":{"custom":"(Holmann, 2000; Soto &amp; Gonz\\uc0\\u225{}lez, 2019)","formattedCitation":"(Holmann, 2000; Soto &amp; Gonz\\uc0\\u225{}lez, 2019)","plainCitation":"(Holmann, 2000; Soto &amp; González, 2019)","noteIndex":0},"citationItems":[{"id":186,"uris":["http://zotero.org/users/12642312/items/K37GYN9E"],"itemData":{"id":186,"type":"paper-conference","language":"es","note":"Accepted: 2010-05-09T20:26:44Z","source":"cgspace.cgiar.org","title":"El Uso de modelos de simulación como herramienta para la toma de decisiones en la promoción de nuevas alternativas forrajeras: el caso de Costa Rica y Perú","title-short":"El Uso de modelos de simulación como herramienta para la toma de decisiones en la promoción de nuevas alternativas forrajeras","URL":"https://cgspace.cgiar.org/handle/10568/1452","author":[{"family":"Holmann","given":"Federico J."}],"accessed":{"date-parts":[["2021",1,19]]},"issued":{"date-parts":[["2000"]]}},"label":"page"},{"id":1007,"uris":["http://zotero.org/users/12642312/items/Y9898IIZ"],"itemData":{"id":1007,"type":"article-journal","abstract":"Introduction. Every simulation model must be calibrated and validated, in order to avoid speculative and inaccurate conclusions. The methods to evaluate simulation models are usually applied “by habit”, without specifying basic methodological details which leads to the use of terminology and symbology that could cause confusion Objective. The objective in the present study was to analyze the different statistical methods employed to evaluate the performance of simulation models in agriculture, and thus propose which is the most suitable from the practical point of view. Materials and Methods. Statistical methods based on difference and regression analysis, between measured and simulated values were analyzed. Regarding the difference analysis group, the used methods were root mean square error (RMSE), mean absolute error (MAE), relative error (RE), adjustment index (d), me bianas error (MBE) and the model efficiency (E). In the case of the regression analysis the intercept, linear regression (b) and determination (R2) coefficients, and the estimation confidence limits were scrutinize. Results. The ER, d and E, are measures which objective is the comparison between different models to simulate a given variable, instead of evaluating the performance of the model as such. The root square mean error usually used to evaluate differences between observed and simulated values is different from the RMSE regression. The different cases illustrated with the “Eurotate_N” model demonstrated the apropriate practical application of the regression analysis as statistical tool to evaluate its capacity to simulate fruit yield, volumetric soil moisture, evapotranspiration and dry matter in tomato crop under greenhouse. Conclusion. The most appropriate statistical method proposed to evaluate a simulation model in tomato was the regression analysis.\nIntroducción.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Mesoamericana","ISSN":"2215-3608, 1021-7444","issue":"2","language":"spa","note":"publisher: Universidad de Costa Rica\nsection: Agronomía Mesoamericana","page":"517-534","source":"dialnet.unirioja.es","title":"Análisis de métodos estadísticos para evaluar el desempeño de modelos de simulación en cultivos hortícolas","URL":"https://dialnet.unirioja.es/servlet/articulo?codigo=6963219","volume":"30","author":[{"family":"Soto","given":"Freddy"},{"family":"González","given":"María Isabel"}],"accessed":{"date-parts":[["2025",3,27]]},"issued":{"date-parts":[["2019"]]}},"label":"page"}],"schema":"https://github.com/citation-style-language/schema/raw/master/csl-citation.json"} </w:instrText>
      </w:r>
      <w:r>
        <w:rPr>
          <w:rFonts w:ascii="Arial" w:eastAsia="Calibri" w:hAnsi="Arial" w:cs="Arial"/>
          <w:sz w:val="24"/>
          <w:szCs w:val="24"/>
          <w:lang w:val="es-ES" w:eastAsia="es-ES"/>
        </w:rPr>
        <w:fldChar w:fldCharType="separate"/>
      </w:r>
      <w:r w:rsidR="00105C02" w:rsidRPr="00224BF0">
        <w:rPr>
          <w:rFonts w:ascii="Arial" w:hAnsi="Arial" w:cs="Arial"/>
          <w:sz w:val="24"/>
          <w:szCs w:val="24"/>
          <w:lang w:val="es-ES"/>
        </w:rPr>
        <w:t>(Holmann, 2000; Soto &amp; González, 2019)</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w:t>
      </w:r>
    </w:p>
    <w:p w14:paraId="64677051" w14:textId="77777777" w:rsidR="008403BD" w:rsidRDefault="007D49D9">
      <w:pPr>
        <w:pStyle w:val="Ttulo3"/>
        <w:rPr>
          <w:rFonts w:ascii="Arial" w:eastAsia="Calibri" w:hAnsi="Arial" w:cs="Arial"/>
          <w:b/>
          <w:color w:val="000000"/>
          <w:lang w:val="es-ES" w:eastAsia="es-ES"/>
        </w:rPr>
      </w:pPr>
      <w:bookmarkStart w:id="14" w:name="_Toc195014952"/>
      <w:r>
        <w:rPr>
          <w:rFonts w:ascii="Arial" w:eastAsia="Calibri" w:hAnsi="Arial" w:cs="Arial"/>
          <w:b/>
          <w:color w:val="000000"/>
          <w:lang w:val="es-ES" w:eastAsia="es-ES"/>
        </w:rPr>
        <w:t xml:space="preserve">1.2.2 Calibración, validación y simulación de modelos de </w:t>
      </w:r>
      <w:r w:rsidRPr="006824E6">
        <w:rPr>
          <w:rFonts w:ascii="Arial" w:eastAsia="Calibri" w:hAnsi="Arial" w:cs="Arial"/>
          <w:b/>
          <w:color w:val="000000"/>
          <w:lang w:val="es-ES" w:eastAsia="es-ES"/>
        </w:rPr>
        <w:t>simulación</w:t>
      </w:r>
      <w:bookmarkEnd w:id="14"/>
      <w:r>
        <w:rPr>
          <w:rFonts w:ascii="Arial" w:eastAsia="Calibri" w:hAnsi="Arial" w:cs="Arial"/>
          <w:b/>
          <w:color w:val="000000"/>
          <w:lang w:val="es-ES" w:eastAsia="es-ES"/>
        </w:rPr>
        <w:t xml:space="preserve"> </w:t>
      </w:r>
    </w:p>
    <w:p w14:paraId="6F4CD007" w14:textId="73782833"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eastAsia="Calibri" w:hAnsi="Arial" w:cs="Arial"/>
          <w:sz w:val="24"/>
          <w:szCs w:val="24"/>
          <w:lang w:val="es-ES" w:eastAsia="es-ES"/>
        </w:rPr>
      </w:pPr>
      <w:r>
        <w:rPr>
          <w:rFonts w:ascii="Arial" w:eastAsia="Calibri" w:hAnsi="Arial" w:cs="Arial"/>
          <w:sz w:val="24"/>
          <w:szCs w:val="24"/>
          <w:lang w:val="es-ES" w:eastAsia="es-ES"/>
        </w:rPr>
        <w:t xml:space="preserve">Para su utilización como herramientas de predicción, los modelos deben calibrarse y parametrizarse con las condiciones locales del cultivo. Con este fin se utilizan datos del cultivo, manejo del riego y de los nutrientes y las variables climáticas como </w:t>
      </w:r>
      <w:r>
        <w:rPr>
          <w:rFonts w:ascii="Arial" w:eastAsia="Calibri" w:hAnsi="Arial" w:cs="Arial"/>
          <w:sz w:val="24"/>
          <w:szCs w:val="24"/>
          <w:lang w:val="es-ES" w:eastAsia="es-ES"/>
        </w:rPr>
        <w:lastRenderedPageBreak/>
        <w:t>radiación solar, CO</w:t>
      </w:r>
      <w:r>
        <w:rPr>
          <w:rFonts w:ascii="Arial" w:eastAsia="Calibri" w:hAnsi="Arial" w:cs="Arial"/>
          <w:sz w:val="24"/>
          <w:szCs w:val="24"/>
          <w:vertAlign w:val="subscript"/>
          <w:lang w:val="es-ES" w:eastAsia="es-ES"/>
        </w:rPr>
        <w:t>2</w:t>
      </w:r>
      <w:r>
        <w:rPr>
          <w:rFonts w:ascii="Arial" w:eastAsia="Calibri" w:hAnsi="Arial" w:cs="Arial"/>
          <w:sz w:val="24"/>
          <w:szCs w:val="24"/>
          <w:lang w:val="es-ES" w:eastAsia="es-ES"/>
        </w:rPr>
        <w:t xml:space="preserve">, temperaturas, precipitaciones, estimando la producción de biomasa </w:t>
      </w:r>
      <w:r>
        <w:rPr>
          <w:rFonts w:ascii="Arial" w:eastAsia="Calibri" w:hAnsi="Arial" w:cs="Arial"/>
          <w:sz w:val="24"/>
          <w:szCs w:val="24"/>
          <w:lang w:val="es-ES" w:eastAsia="es-ES"/>
        </w:rPr>
        <w:fldChar w:fldCharType="begin"/>
      </w:r>
      <w:r>
        <w:rPr>
          <w:rFonts w:ascii="Arial" w:eastAsia="Calibri" w:hAnsi="Arial" w:cs="Arial"/>
          <w:sz w:val="24"/>
          <w:szCs w:val="24"/>
          <w:lang w:val="es-ES" w:eastAsia="es-ES"/>
        </w:rPr>
        <w:instrText xml:space="preserve"> ADDIN ZOTERO_ITEM CSL_CITATION {"citationID":"GHhRkcaF","properties":{"formattedCitation":"(Pirmoradian &amp; Davatgar, 2019)","plainCitation":"(Pirmoradian &amp; Davatgar, 2019)","noteIndex":0},"citationItems":[{"id":908,"uris":["http://zotero.org/users/12642312/items/6PR48HG9"],"itemData":{"id":908,"type":"article-journal","abstract":"Irrigation water requirement is influenced by climatic fluctuations which can be simulated using agro-meteorological models. This study investigates fluctuating irrigation water requirements for rice as affected by drought occurrences. Irrigation requirements were simulated by the AquaCrop model in paddy fields of Guilan in northern Iran. Model validation was done based on field measurements during two consecutive years of 2012 and 2013 in the study area. The reconnaissance drought index (RDI), based on cumulative values of precipitation and potential evapotranspiration, was used for drought monitoring for 1982–2014, in two time scales of 3- and 6-month. Also, irrigation water requirements (IWR) were calculated for this period. The normalized root mean square error (NRMSE) for simulating canopy cover, biomass, rice evapotranspiration and deep percolation by AquaCrop were obtained 7.0, 8.8, 18.45 and 26.6%, respectively. The contributions of crop evapotranspiration and deep percolation in IWR were 70.5% and 22.9%, respectively. There are more drought occurrences after 1994. A good correlation was obtained between simulated rice IWR and RDI of July (calculated with 3-month time scale) (R = -0.89). Maximum amounts of required irrigation water in wet, normal and dry years, were 6750, 8050 and 8760 m³ ha−1, respectively. Obtained relationship between rice IWR and RDI of July with a 3-month time scale can be used to allocate paddies irrigation water of the studied area at transplanting time based on seasonal forecasts of drought.","container-title":"Agricultural Water Management","DOI":"10.1016/j.agwat.2018.10.003","ISSN":"0378-3774","journalAbbreviation":"Agricultural Water Management","page":"97-106","source":"ScienceDirect","title":"Simulating the effects of climatic fluctuations on rice irrigation water requirement using AquaCrop","URL":"https://www.sciencedirect.com/science/article/pii/S037837741830756X","volume":"213","author":[{"family":"Pirmoradian","given":"Nader"},{"family":"Davatgar","given":"Naser"}],"accessed":{"date-parts":[["2025",3,26]]},"issued":{"date-parts":[["2019",3,1]]}}}],"schema":"https://github.com/citation-style-language/schema/raw/master/csl-citation.json"} </w:instrText>
      </w:r>
      <w:r>
        <w:rPr>
          <w:rFonts w:ascii="Arial" w:eastAsia="Calibri" w:hAnsi="Arial" w:cs="Arial"/>
          <w:sz w:val="24"/>
          <w:szCs w:val="24"/>
          <w:lang w:val="es-ES" w:eastAsia="es-ES"/>
        </w:rPr>
        <w:fldChar w:fldCharType="separate"/>
      </w:r>
      <w:r>
        <w:rPr>
          <w:rFonts w:ascii="Arial" w:hAnsi="Arial" w:cs="Arial"/>
          <w:sz w:val="24"/>
          <w:lang w:val="es-ES"/>
        </w:rPr>
        <w:t>(Pirmoradian &amp; Davatgar, 2019)</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r>
        <w:rPr>
          <w:rFonts w:ascii="Arial" w:hAnsi="Arial" w:cs="Arial"/>
          <w:color w:val="000000"/>
          <w:sz w:val="24"/>
          <w:szCs w:val="24"/>
          <w:lang w:val="es-ES"/>
        </w:rPr>
        <w:t xml:space="preserve">En la calibración, los parámetros en la base de datos del modelo son ajustados a través de una serie de escenarios de simulación hasta obtener un ajuste aceptable entre valores simulados y observados en experimentos de campo, </w:t>
      </w:r>
      <w:r w:rsidRPr="001D3A26">
        <w:rPr>
          <w:rFonts w:ascii="Arial" w:hAnsi="Arial" w:cs="Arial"/>
          <w:color w:val="000000"/>
          <w:sz w:val="24"/>
          <w:szCs w:val="24"/>
          <w:lang w:val="es-ES"/>
        </w:rPr>
        <w:t>y/o a partir de datos experimentales de la literatura para la región donde se va a validar</w:t>
      </w:r>
      <w:r>
        <w:rPr>
          <w:rFonts w:ascii="Arial" w:hAnsi="Arial" w:cs="Arial"/>
          <w:color w:val="000000"/>
          <w:sz w:val="24"/>
          <w:szCs w:val="24"/>
          <w:lang w:val="es-ES"/>
        </w:rPr>
        <w:t xml:space="preserve">. La validación es el procedimiento mediante el cual se evalúa el desempeño del modelo, contrastando los valores simulados de una determinada variable con datos reales obtenidos en experimentos de campo </w:t>
      </w:r>
      <w:r>
        <w:rPr>
          <w:rFonts w:ascii="Arial" w:hAnsi="Arial" w:cs="Arial"/>
          <w:color w:val="000000"/>
          <w:sz w:val="24"/>
          <w:szCs w:val="24"/>
          <w:lang w:val="es-ES"/>
        </w:rPr>
        <w:fldChar w:fldCharType="begin"/>
      </w:r>
      <w:r w:rsidR="00835422">
        <w:rPr>
          <w:rFonts w:ascii="Arial" w:hAnsi="Arial" w:cs="Arial"/>
          <w:color w:val="000000"/>
          <w:sz w:val="24"/>
          <w:szCs w:val="24"/>
          <w:lang w:val="es-ES"/>
        </w:rPr>
        <w:instrText xml:space="preserve"> ADDIN ZOTERO_ITEM CSL_CITATION {"citationID":"ibQQyOk5","properties":{"custom":"(Soto &amp; Gonz\\uc0\\u225{}lez, 2019; Pasquel {\\i{}et al}., 2022)","unsorted":true,"formattedCitation":"(Soto &amp; Gonz\\uc0\\u225{}lez, 2019; Pasquel {\\i{}et al}., 2022)","plainCitation":"(Soto &amp; González, 2019; Pasquel et al., 2022)","noteIndex":0},"citationItems":[{"id":1007,"uris":["http://zotero.org/users/12642312/items/Y9898IIZ"],"itemData":{"id":1007,"type":"article-journal","abstract":"Introduction. Every simulation model must be calibrated and validated, in order to avoid speculative and inaccurate conclusions. The methods to evaluate simulation models are usually applied “by habit”, without specifying basic methodological details which leads to the use of terminology and symbology that could cause confusion Objective. The objective in the present study was to analyze the different statistical methods employed to evaluate the performance of simulation models in agriculture, and thus propose which is the most suitable from the practical point of view. Materials and Methods. Statistical methods based on difference and regression analysis, between measured and simulated values were analyzed. Regarding the difference analysis group, the used methods were root mean square error (RMSE), mean absolute error (MAE), relative error (RE), adjustment index (d), me bianas error (MBE) and the model efficiency (E). In the case of the regression analysis the intercept, linear regression (b) and determination (R2) coefficients, and the estimation confidence limits were scrutinize. Results. The ER, d and E, are measures which objective is the comparison between different models to simulate a given variable, instead of evaluating the performance of the model as such. The root square mean error usually used to evaluate differences between observed and simulated values is different from the RMSE regression. The different cases illustrated with the “Eurotate_N” model demonstrated the apropriate practical application of the regression analysis as statistical tool to evaluate its capacity to simulate fruit yield, volumetric soil moisture, evapotranspiration and dry matter in tomato crop under greenhouse. Conclusion. The most appropriate statistical method proposed to evaluate a simulation model in tomato was the regression analysis.\nIntroducción.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Mesoamericana","ISSN":"2215-3608, 1021-7444","issue":"2","language":"spa","note":"publisher: Universidad de Costa Rica\nsection: Agronomía Mesoamericana","page":"517-534","source":"dialnet.unirioja.es","title":"Análisis de métodos estadísticos para evaluar el desempeño de modelos de simulación en cultivos hortícolas","URL":"https://dialnet.unirioja.es/servlet/articulo?codigo=6963219","volume":"30","author":[{"family":"Soto","given":"Freddy"},{"family":"González","given":"María Isabel"}],"accessed":{"date-parts":[["2025",3,27]]},"issued":{"date-parts":[["2019"]]}},"label":"page"},{"id":1046,"uris":["http://zotero.org/users/12642312/items/AMZV3R2M"],"itemData":{"id":1046,"type":"article-journal","abstract":"Crop models are useful tools because they can help understand many complex processes by simulating them. They are mainly designed at a specific spatial scale, the field. But with the new spatial data being made available in modern agriculture, they are being more and more applied at multiple and changing scales. These applications range from typically at broader scales, to perform regional or national studies, or at finer scales to develop modern site-specific management approaches. These new approaches to the application of crop models raise new questions concerning the evaluation of their performance, particularly for downscaled applications. This article first reviews the reasons why practitioners decide to spatialize crop models and the main methods they have used to do this, which questions the best place of the spatialization process in the modelling framework. A strong focus is then given to the evaluation of these spatialized crop models. Evaluation metrics, including the consideration of dedicated sensitivity indices are reviewed from the published studies. Using a simple example of a spatialized crop model being used to define management zones in precision viticulture, it is shown that classical model evaluation involving aspatial indices (e.g. the RMSE) is not sufficient to characterize the model performance in this context. A focus is made at the end of the review on potentialities that a complementary evaluation could bring in a precision agriculture context.","container-title":"Precision Agriculture","DOI":"10.1007/s11119-022-09885-4","ISSN":"1573-1618","issue":"4","journalAbbreviation":"Precision Agric","language":"en","page":"1489-1513","source":"Springer Link","title":"A review of methods to evaluate crop model performance at multiple and changing spatial scales","URL":"https://doi.org/10.1007/s11119-022-09885-4","volume":"23","author":[{"family":"Pasquel","given":"Daniel"},{"family":"Roux","given":"Sébastien"},{"family":"Richetti","given":"Jonathan"},{"family":"Cammarano","given":"Davide"},{"family":"Tisseyre","given":"Bruno"},{"family":"Taylor","given":"James A."}],"accessed":{"date-parts":[["2025",3,31]]},"issued":{"date-parts":[["2022",8,1]]}},"label":"page"}],"schema":"https://github.com/citation-style-language/schema/raw/master/csl-citation.json"} </w:instrText>
      </w:r>
      <w:r>
        <w:rPr>
          <w:rFonts w:ascii="Arial" w:hAnsi="Arial" w:cs="Arial"/>
          <w:color w:val="000000"/>
          <w:sz w:val="24"/>
          <w:szCs w:val="24"/>
          <w:lang w:val="es-ES"/>
        </w:rPr>
        <w:fldChar w:fldCharType="separate"/>
      </w:r>
      <w:r w:rsidR="00835422" w:rsidRPr="00716AA5">
        <w:rPr>
          <w:rFonts w:ascii="Arial" w:hAnsi="Arial" w:cs="Arial"/>
          <w:sz w:val="24"/>
          <w:szCs w:val="24"/>
          <w:lang w:val="es-ES"/>
        </w:rPr>
        <w:t xml:space="preserve">(Soto &amp; González, 2019; </w:t>
      </w:r>
      <w:proofErr w:type="spellStart"/>
      <w:r w:rsidR="00835422" w:rsidRPr="00716AA5">
        <w:rPr>
          <w:rFonts w:ascii="Arial" w:hAnsi="Arial" w:cs="Arial"/>
          <w:sz w:val="24"/>
          <w:szCs w:val="24"/>
          <w:lang w:val="es-ES"/>
        </w:rPr>
        <w:t>Pasquel</w:t>
      </w:r>
      <w:proofErr w:type="spellEnd"/>
      <w:r w:rsidR="00835422" w:rsidRPr="00716AA5">
        <w:rPr>
          <w:rFonts w:ascii="Arial" w:hAnsi="Arial" w:cs="Arial"/>
          <w:sz w:val="24"/>
          <w:szCs w:val="24"/>
          <w:lang w:val="es-ES"/>
        </w:rPr>
        <w:t xml:space="preserve"> </w:t>
      </w:r>
      <w:r w:rsidR="00835422" w:rsidRPr="00716AA5">
        <w:rPr>
          <w:rFonts w:ascii="Arial" w:hAnsi="Arial" w:cs="Arial"/>
          <w:i/>
          <w:iCs/>
          <w:sz w:val="24"/>
          <w:szCs w:val="24"/>
          <w:lang w:val="es-ES"/>
        </w:rPr>
        <w:t>et al</w:t>
      </w:r>
      <w:r w:rsidR="00835422" w:rsidRPr="00716AA5">
        <w:rPr>
          <w:rFonts w:ascii="Arial" w:hAnsi="Arial" w:cs="Arial"/>
          <w:sz w:val="24"/>
          <w:szCs w:val="24"/>
          <w:lang w:val="es-ES"/>
        </w:rPr>
        <w:t>., 2022)</w:t>
      </w:r>
      <w:r>
        <w:rPr>
          <w:rFonts w:ascii="Arial" w:hAnsi="Arial" w:cs="Arial"/>
          <w:color w:val="000000"/>
          <w:sz w:val="24"/>
          <w:szCs w:val="24"/>
          <w:lang w:val="es-ES"/>
        </w:rPr>
        <w:fldChar w:fldCharType="end"/>
      </w:r>
      <w:r>
        <w:rPr>
          <w:rFonts w:ascii="Arial" w:hAnsi="Arial" w:cs="Arial"/>
          <w:color w:val="000000"/>
          <w:sz w:val="24"/>
          <w:szCs w:val="24"/>
          <w:lang w:val="es-ES"/>
        </w:rPr>
        <w:t>.</w:t>
      </w:r>
    </w:p>
    <w:p w14:paraId="70D59F5D" w14:textId="77777777" w:rsidR="008403BD" w:rsidRDefault="007D49D9">
      <w:pPr>
        <w:pStyle w:val="Ttulo4"/>
        <w:rPr>
          <w:rFonts w:ascii="Arial" w:hAnsi="Arial" w:cs="Arial"/>
          <w:b/>
          <w:i w:val="0"/>
          <w:color w:val="000000"/>
          <w:sz w:val="24"/>
          <w:szCs w:val="24"/>
          <w:lang w:val="es-US"/>
        </w:rPr>
      </w:pPr>
      <w:r>
        <w:rPr>
          <w:rFonts w:ascii="Arial" w:eastAsia="Calibri" w:hAnsi="Arial" w:cs="Arial"/>
          <w:b/>
          <w:i w:val="0"/>
          <w:color w:val="000000"/>
          <w:sz w:val="24"/>
          <w:szCs w:val="24"/>
          <w:lang w:val="es-ES" w:eastAsia="es-ES"/>
        </w:rPr>
        <w:t xml:space="preserve">1.2.2.1 </w:t>
      </w:r>
      <w:r>
        <w:rPr>
          <w:rFonts w:ascii="Arial" w:hAnsi="Arial" w:cs="Arial"/>
          <w:b/>
          <w:i w:val="0"/>
          <w:color w:val="000000"/>
          <w:sz w:val="24"/>
          <w:szCs w:val="24"/>
          <w:lang w:val="es-US"/>
        </w:rPr>
        <w:t xml:space="preserve">Calibración </w:t>
      </w:r>
    </w:p>
    <w:p w14:paraId="4E4FB8AE" w14:textId="7FEA2348" w:rsidR="008403BD" w:rsidRDefault="007D49D9">
      <w:pPr>
        <w:spacing w:before="120" w:after="0" w:line="360" w:lineRule="auto"/>
        <w:jc w:val="both"/>
        <w:rPr>
          <w:rFonts w:ascii="Arial" w:hAnsi="Arial" w:cs="Arial"/>
          <w:sz w:val="24"/>
          <w:szCs w:val="24"/>
          <w:lang w:val="es-US"/>
        </w:rPr>
      </w:pPr>
      <w:r>
        <w:rPr>
          <w:rFonts w:ascii="Arial" w:hAnsi="Arial" w:cs="Arial"/>
          <w:color w:val="000000"/>
          <w:sz w:val="24"/>
          <w:szCs w:val="24"/>
          <w:lang w:val="es-ES"/>
        </w:rPr>
        <w:t xml:space="preserve">En la calibración, los parámetros en la base de datos del modelo son ajustados a través de una serie de escenarios de simulación hasta obtener un ajuste aceptable entre valores simulados y observados en experimentos de campo, </w:t>
      </w:r>
      <w:r w:rsidR="001D3A26" w:rsidRPr="001D3A26">
        <w:rPr>
          <w:rFonts w:ascii="Arial" w:hAnsi="Arial" w:cs="Arial"/>
          <w:color w:val="000000"/>
          <w:sz w:val="24"/>
          <w:szCs w:val="24"/>
          <w:lang w:val="es-ES"/>
        </w:rPr>
        <w:t xml:space="preserve">o utilizando información experimental previamente reportada en la literatura específica de la región que será validada </w:t>
      </w:r>
      <w:r>
        <w:rPr>
          <w:rFonts w:ascii="Arial" w:hAnsi="Arial" w:cs="Arial"/>
          <w:color w:val="000000"/>
          <w:sz w:val="24"/>
          <w:szCs w:val="24"/>
          <w:lang w:val="es-ES"/>
        </w:rPr>
        <w:fldChar w:fldCharType="begin"/>
      </w:r>
      <w:r w:rsidR="00E54E33">
        <w:rPr>
          <w:rFonts w:ascii="Arial" w:hAnsi="Arial" w:cs="Arial"/>
          <w:color w:val="000000"/>
          <w:sz w:val="24"/>
          <w:szCs w:val="24"/>
          <w:lang w:val="es-ES"/>
        </w:rPr>
        <w:instrText xml:space="preserve"> ADDIN ZOTERO_ITEM CSL_CITATION {"citationID":"PuIxycGN","properties":{"custom":"(Soto &amp; Gonz\\uc0\\u225{}lez, 2019; Pasquel {\\i{}et al}., 2022; Shekar {\\i{}et al}., 2023)","unsorted":true,"formattedCitation":"(Soto &amp; Gonz\\uc0\\u225{}lez, 2019; Pasquel {\\i{}et al}., 2022; Shekar {\\i{}et al}., 2023)","plainCitation":"(Soto &amp; González, 2019; Pasquel et al., 2022; Shekar et al., 2023)","noteIndex":0},"citationItems":[{"id":1007,"uris":["http://zotero.org/users/12642312/items/Y9898IIZ"],"itemData":{"id":1007,"type":"article-journal","abstract":"Introduction. Every simulation model must be calibrated and validated, in order to avoid speculative and inaccurate conclusions. The methods to evaluate simulation models are usually applied “by habit”, without specifying basic methodological details which leads to the use of terminology and symbology that could cause confusion Objective. The objective in the present study was to analyze the different statistical methods employed to evaluate the performance of simulation models in agriculture, and thus propose which is the most suitable from the practical point of view. Materials and Methods. Statistical methods based on difference and regression analysis, between measured and simulated values were analyzed. Regarding the difference analysis group, the used methods were root mean square error (RMSE), mean absolute error (MAE), relative error (RE), adjustment index (d), me bianas error (MBE) and the model efficiency (E). In the case of the regression analysis the intercept, linear regression (b) and determination (R2) coefficients, and the estimation confidence limits were scrutinize. Results. The ER, d and E, are measures which objective is the comparison between different models to simulate a given variable, instead of evaluating the performance of the model as such. The root square mean error usually used to evaluate differences between observed and simulated values is different from the RMSE regression. The different cases illustrated with the “Eurotate_N” model demonstrated the apropriate practical application of the regression analysis as statistical tool to evaluate its capacity to simulate fruit yield, volumetric soil moisture, evapotranspiration and dry matter in tomato crop under greenhouse. Conclusion. The most appropriate statistical method proposed to evaluate a simulation model in tomato was the regression analysis.\nIntroducción.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Mesoamericana","ISSN":"2215-3608, 1021-7444","issue":"2","language":"spa","note":"publisher: Universidad de Costa Rica\nsection: Agronomía Mesoamericana","page":"517-534","source":"dialnet.unirioja.es","title":"Análisis de métodos estadísticos para evaluar el desempeño de modelos de simulación en cultivos hortícolas","URL":"https://dialnet.unirioja.es/servlet/articulo?codigo=6963219","volume":"30","author":[{"family":"Soto","given":"Freddy"},{"family":"González","given":"María Isabel"}],"accessed":{"date-parts":[["2025",3,27]]},"issued":{"date-parts":[["2019"]]}},"label":"page"},{"id":1046,"uris":["http://zotero.org/users/12642312/items/AMZV3R2M"],"itemData":{"id":1046,"type":"article-journal","abstract":"Crop models are useful tools because they can help understand many complex processes by simulating them. They are mainly designed at a specific spatial scale, the field. But with the new spatial data being made available in modern agriculture, they are being more and more applied at multiple and changing scales. These applications range from typically at broader scales, to perform regional or national studies, or at finer scales to develop modern site-specific management approaches. These new approaches to the application of crop models raise new questions concerning the evaluation of their performance, particularly for downscaled applications. This article first reviews the reasons why practitioners decide to spatialize crop models and the main methods they have used to do this, which questions the best place of the spatialization process in the modelling framework. A strong focus is then given to the evaluation of these spatialized crop models. Evaluation metrics, including the consideration of dedicated sensitivity indices are reviewed from the published studies. Using a simple example of a spatialized crop model being used to define management zones in precision viticulture, it is shown that classical model evaluation involving aspatial indices (e.g. the RMSE) is not sufficient to characterize the model performance in this context. A focus is made at the end of the review on potentialities that a complementary evaluation could bring in a precision agriculture context.","container-title":"Precision Agriculture","DOI":"10.1007/s11119-022-09885-4","ISSN":"1573-1618","issue":"4","journalAbbreviation":"Precision Agric","language":"en","page":"1489-1513","source":"Springer Link","title":"A review of methods to evaluate crop model performance at multiple and changing spatial scales","URL":"https://doi.org/10.1007/s11119-022-09885-4","volume":"23","author":[{"family":"Pasquel","given":"Daniel"},{"family":"Roux","given":"Sébastien"},{"family":"Richetti","given":"Jonathan"},{"family":"Cammarano","given":"Davide"},{"family":"Tisseyre","given":"Bruno"},{"family":"Taylor","given":"James A."}],"accessed":{"date-parts":[["2025",3,31]]},"issued":{"date-parts":[["2022",8,1]]}},"label":"page"},{"id":1048,"uris":["http://zotero.org/users/12642312/items/RXSTN4C6"],"itemData":{"id":1048,"type":"article-journal","abstract":"The growing concerns surrounding water supply, driven by factors such as population growth and industrialization, have highlighted the need for accurate estimation of streamflow at the river basin level. To achieve this, rainfall-runoff models are widely employed as valuable tools in watershed management. For this specific study, two modelling approaches were employed: the Soil and Water Assessment Tool (SWAT) model and a set of eight artificial intelligence (AI) models. The AI models consisted of seven data-driven approaches, namely k-nearest neighbour regression, support vector regression, linear regression, artificial neural networks, random forest regression, XGBoost, and Histogram-based Gradient Boost regression. Additionally, a deep learning model known as Long Short-Term Memory (LSTM) was also utilized. The study focused on monthly streamflow modelling in the Murredu River basin, with a calibration period from 1999 to 2003 and a validation period from 2004 to 2005, spanning a total of 7 years from 1999 to 2005. The results indicated that all nine models were generally suitable for simulating the rainfall-runoff process, with the LSTM model demonstrating exceptional performance in both the calibration (R2 is 0.97 and NSE is 0.96) and validation (R2 is 0.97 and NSE is 0.92) periods. Its high coefficient of determination (R2) and Nash–Sutcliffe efficiency (NSE) values indicated its superior ability to accurately model the rainfall-runoff relationship. While the other models also produced satisfactory results, the findings suggest that selecting the most efficient model, such as the LSTM model, could significantly contribute to the effective management and planning of sustainable water resources in the Murredu watershed.","container-title":"Environmental Monitoring and Assessment","DOI":"10.1007/s10661-023-11649-0","ISSN":"1573-2959","issue":"9","journalAbbreviation":"Environ Monit Assess","language":"en","page":"1041","source":"Springer Link","title":"Rainfall-Runoff modelling using SWAT and eight artificial intelligence models in the Murredu Watershed, India","URL":"https://doi.org/10.1007/s10661-023-11649-0","volume":"195","author":[{"family":"Shekar","given":"Padala Raja"},{"family":"Mathew","given":"Aneesh"},{"family":"S.","given":"Arun P."},{"family":"Gopi","given":"Varun P."}],"accessed":{"date-parts":[["2025",3,31]]},"issued":{"date-parts":[["2023",8,17]]}},"label":"page"}],"schema":"https://github.com/citation-style-language/schema/raw/master/csl-citation.json"} </w:instrText>
      </w:r>
      <w:r>
        <w:rPr>
          <w:rFonts w:ascii="Arial" w:hAnsi="Arial" w:cs="Arial"/>
          <w:color w:val="000000"/>
          <w:sz w:val="24"/>
          <w:szCs w:val="24"/>
          <w:lang w:val="es-ES"/>
        </w:rPr>
        <w:fldChar w:fldCharType="separate"/>
      </w:r>
      <w:r w:rsidR="00E54E33" w:rsidRPr="00716AA5">
        <w:rPr>
          <w:rFonts w:ascii="Arial" w:hAnsi="Arial" w:cs="Arial"/>
          <w:sz w:val="24"/>
          <w:szCs w:val="24"/>
          <w:lang w:val="es-ES"/>
        </w:rPr>
        <w:t xml:space="preserve">(Soto &amp; González, 2019; </w:t>
      </w:r>
      <w:proofErr w:type="spellStart"/>
      <w:r w:rsidR="00E54E33" w:rsidRPr="00716AA5">
        <w:rPr>
          <w:rFonts w:ascii="Arial" w:hAnsi="Arial" w:cs="Arial"/>
          <w:sz w:val="24"/>
          <w:szCs w:val="24"/>
          <w:lang w:val="es-ES"/>
        </w:rPr>
        <w:t>Pasquel</w:t>
      </w:r>
      <w:proofErr w:type="spellEnd"/>
      <w:r w:rsidR="00E54E33" w:rsidRPr="00716AA5">
        <w:rPr>
          <w:rFonts w:ascii="Arial" w:hAnsi="Arial" w:cs="Arial"/>
          <w:sz w:val="24"/>
          <w:szCs w:val="24"/>
          <w:lang w:val="es-ES"/>
        </w:rPr>
        <w:t xml:space="preserve"> </w:t>
      </w:r>
      <w:r w:rsidR="00E54E33" w:rsidRPr="00716AA5">
        <w:rPr>
          <w:rFonts w:ascii="Arial" w:hAnsi="Arial" w:cs="Arial"/>
          <w:i/>
          <w:iCs/>
          <w:sz w:val="24"/>
          <w:szCs w:val="24"/>
          <w:lang w:val="es-ES"/>
        </w:rPr>
        <w:t>et al</w:t>
      </w:r>
      <w:r w:rsidR="00E54E33" w:rsidRPr="00716AA5">
        <w:rPr>
          <w:rFonts w:ascii="Arial" w:hAnsi="Arial" w:cs="Arial"/>
          <w:sz w:val="24"/>
          <w:szCs w:val="24"/>
          <w:lang w:val="es-ES"/>
        </w:rPr>
        <w:t xml:space="preserve">., 2022; </w:t>
      </w:r>
      <w:proofErr w:type="spellStart"/>
      <w:r w:rsidR="00E54E33" w:rsidRPr="00716AA5">
        <w:rPr>
          <w:rFonts w:ascii="Arial" w:hAnsi="Arial" w:cs="Arial"/>
          <w:sz w:val="24"/>
          <w:szCs w:val="24"/>
          <w:lang w:val="es-ES"/>
        </w:rPr>
        <w:t>Shekar</w:t>
      </w:r>
      <w:proofErr w:type="spellEnd"/>
      <w:r w:rsidR="00E54E33" w:rsidRPr="00716AA5">
        <w:rPr>
          <w:rFonts w:ascii="Arial" w:hAnsi="Arial" w:cs="Arial"/>
          <w:sz w:val="24"/>
          <w:szCs w:val="24"/>
          <w:lang w:val="es-ES"/>
        </w:rPr>
        <w:t xml:space="preserve"> </w:t>
      </w:r>
      <w:r w:rsidR="00E54E33" w:rsidRPr="00716AA5">
        <w:rPr>
          <w:rFonts w:ascii="Arial" w:hAnsi="Arial" w:cs="Arial"/>
          <w:i/>
          <w:iCs/>
          <w:sz w:val="24"/>
          <w:szCs w:val="24"/>
          <w:lang w:val="es-ES"/>
        </w:rPr>
        <w:t>et al</w:t>
      </w:r>
      <w:r w:rsidR="00E54E33" w:rsidRPr="00716AA5">
        <w:rPr>
          <w:rFonts w:ascii="Arial" w:hAnsi="Arial" w:cs="Arial"/>
          <w:sz w:val="24"/>
          <w:szCs w:val="24"/>
          <w:lang w:val="es-ES"/>
        </w:rPr>
        <w:t>., 2023)</w:t>
      </w:r>
      <w:r>
        <w:rPr>
          <w:rFonts w:ascii="Arial" w:hAnsi="Arial" w:cs="Arial"/>
          <w:color w:val="000000"/>
          <w:sz w:val="24"/>
          <w:szCs w:val="24"/>
          <w:lang w:val="es-ES"/>
        </w:rPr>
        <w:fldChar w:fldCharType="end"/>
      </w:r>
      <w:r>
        <w:rPr>
          <w:rFonts w:ascii="Arial" w:hAnsi="Arial" w:cs="Arial"/>
          <w:color w:val="000000"/>
          <w:sz w:val="24"/>
          <w:szCs w:val="24"/>
          <w:lang w:val="es-ES"/>
        </w:rPr>
        <w:t xml:space="preserve">. </w:t>
      </w:r>
      <w:r>
        <w:rPr>
          <w:rFonts w:ascii="Arial" w:hAnsi="Arial" w:cs="Arial"/>
          <w:sz w:val="24"/>
          <w:szCs w:val="24"/>
          <w:lang w:val="es-US"/>
        </w:rPr>
        <w:t xml:space="preserve">La calibración de un modelo de clasificación consiste en reajustar las probabilidades predichas para que correspondan con la proporción de casos reales observados. El proceso de calibración es importante cuando se quieren emplear las probabilidades asociadas a las predicciones. Si únicamente son de interés las clasificaciones finales, la calibración no aporta valor. Esto último es importante tenerlo en cuenta ya que, calibrar un modelo, puede implicar reducir su porcentaje de clasificaciones correctas </w:t>
      </w:r>
      <w:r>
        <w:rPr>
          <w:rFonts w:ascii="Arial" w:hAnsi="Arial" w:cs="Arial"/>
          <w:sz w:val="24"/>
          <w:szCs w:val="24"/>
          <w:lang w:val="es-US"/>
        </w:rPr>
        <w:fldChar w:fldCharType="begin"/>
      </w:r>
      <w:r w:rsidR="00155DD7">
        <w:rPr>
          <w:rFonts w:ascii="Arial" w:hAnsi="Arial" w:cs="Arial"/>
          <w:sz w:val="24"/>
          <w:szCs w:val="24"/>
          <w:lang w:val="es-US"/>
        </w:rPr>
        <w:instrText xml:space="preserve"> ADDIN ZOTERO_ITEM CSL_CITATION {"citationID":"xweCPyIp","properties":{"formattedCitation":"(Amat, 2021)","plainCitation":"(Amat, 2021)","noteIndex":0},"citationItems":[{"id":507,"uris":["http://zotero.org/users/12642312/items/9RTGB4LQ"],"itemData":{"id":507,"type":"article-journal","abstract":"Web de divulgación con material formativo sobre estadística, algoritmos de machine learning, ciencia de datos y programación en R y Python.","DOI":"10.5281/ZENODO.10006330","language":"es","license":"Creative Commons Attribution 4.0 International","note":"publisher: Zenodo\nversion: 1.0.0","source":"DOI.org (Datacite)","title":"Calibrar modelos de machine learning","URL":"https://cienciadedatos.net/documentos/py11-calibrar-modelos-machine-learning","author":[{"family":"Amat","given":"Joaquín"}],"accessed":{"date-parts":[["2024",10,14]]},"issued":{"date-parts":[["2021",1,1]]}}}],"schema":"https://github.com/citation-style-language/schema/raw/master/csl-citation.json"} </w:instrText>
      </w:r>
      <w:r>
        <w:rPr>
          <w:rFonts w:ascii="Arial" w:hAnsi="Arial" w:cs="Arial"/>
          <w:sz w:val="24"/>
          <w:szCs w:val="24"/>
          <w:lang w:val="es-US"/>
        </w:rPr>
        <w:fldChar w:fldCharType="separate"/>
      </w:r>
      <w:r w:rsidR="00155DD7" w:rsidRPr="00155DD7">
        <w:rPr>
          <w:rFonts w:ascii="Arial" w:hAnsi="Arial" w:cs="Arial"/>
          <w:sz w:val="24"/>
          <w:lang w:val="es-ES"/>
        </w:rPr>
        <w:t>(Amat, 2021)</w:t>
      </w:r>
      <w:r>
        <w:rPr>
          <w:rFonts w:ascii="Arial" w:hAnsi="Arial" w:cs="Arial"/>
          <w:sz w:val="24"/>
          <w:szCs w:val="24"/>
          <w:lang w:val="es-US"/>
        </w:rPr>
        <w:fldChar w:fldCharType="end"/>
      </w:r>
      <w:r>
        <w:rPr>
          <w:rFonts w:ascii="Arial" w:hAnsi="Arial" w:cs="Arial"/>
          <w:sz w:val="24"/>
          <w:szCs w:val="24"/>
          <w:lang w:val="es-US"/>
        </w:rPr>
        <w:t>.</w:t>
      </w:r>
    </w:p>
    <w:p w14:paraId="636CDBD4" w14:textId="77777777" w:rsidR="008403BD" w:rsidRDefault="007D49D9">
      <w:pPr>
        <w:pStyle w:val="NormalWeb"/>
        <w:spacing w:before="120" w:beforeAutospacing="0" w:after="0" w:afterAutospacing="0" w:line="360" w:lineRule="auto"/>
        <w:jc w:val="both"/>
        <w:rPr>
          <w:rFonts w:ascii="Arial" w:hAnsi="Arial" w:cs="Arial"/>
          <w:bCs/>
        </w:rPr>
      </w:pPr>
      <w:r>
        <w:rPr>
          <w:rFonts w:ascii="Arial" w:hAnsi="Arial" w:cs="Arial"/>
        </w:rPr>
        <w:t xml:space="preserve">En general, los resultados de los modelos de cultivos son sensibles a la calibración, es decir, la estimación de los parámetros de crecimiento de los cultivos a la luz de los datos empíricos es engorrosa </w:t>
      </w:r>
      <w:r>
        <w:rPr>
          <w:rFonts w:ascii="Arial" w:hAnsi="Arial" w:cs="Arial"/>
        </w:rPr>
        <w:fldChar w:fldCharType="begin"/>
      </w:r>
      <w:r>
        <w:rPr>
          <w:rFonts w:ascii="Arial" w:hAnsi="Arial" w:cs="Arial"/>
        </w:rPr>
        <w:instrText xml:space="preserve"> ADDIN ZOTERO_ITEM CSL_CITATION {"citationID":"P2jQx7lI","properties":{"custom":"(Grassini {\\i{}et al}., 2015)","formattedCitation":"(Grassini {\\i{}et al}., 2015)","plainCitation":"(Grassini et al., 2015)","noteIndex":0},"citationItems":[{"id":1050,"uris":["http://zotero.org/users/12642312/items/5TJJJ667"],"itemData":{"id":1050,"type":"article-journal","abstract":"Numerous studies have been published during the past two decades that use simulation models to assess crop yield gaps (quantified as the difference between potential and actual farm yields), impact of climate change on future crop yields, and land-use change. However, there is a wide range in quality and spatial and temporal scale and resolution of climate and soil data underpinning these studies, as well as widely differing assumptions about cropping-system context and crop model calibration. Here we present an explicit rationale and methodology for selecting data sources for simulating crop yields and estimating yield gaps at specific locations that can be applied across widely different levels of data availability and quality. The method consists of a tiered approach that identifies the most scientifically robust requirements for data availability and quality, as well as other, less rigorous options when data are not available or are of poor quality. Examples are given using this approach to estimate maize yield gaps in the state of Nebraska (USA), and at a national scale for Argentina and Kenya. These examples were selected to represent contrasting scenarios of data availability and quality for the variables used to estimate yield gaps. The goal of the proposed methods is to provide transparent, reproducible, and scientifically robust guidelines for estimating yield gaps; guidelines which are also relevant for simulating the impact of climate change and land-use change at local to global spatial scales. Likewise, the improved understanding of data requirements and alternatives for simulating crop yields and estimating yield gaps as described here can help identify the most critical “data gaps” and focus global efforts to fill them. A related paper (Van Bussel et al., 2015) examines issues of site selection to minimize data requirements and up-scaling from location-specific estimates to regional and national spatial scales.","container-title":"Field Crops Research","DOI":"10.1016/j.fcr.2015.03.004","ISSN":"0378-4290","journalAbbreviation":"Field Crops Research","page":"49-63","source":"ScienceDirect","title":"How good is good enough? Data requirements for reliable crop yield simulations and yield-gap analysis","title-short":"How good is good enough?","URL":"https://www.sciencedirect.com/science/article/pii/S0378429015000866","volume":"177","author":[{"family":"Grassini","given":"Patricio"},{"family":"Bussel","given":"Lenny G. J.","non-dropping-particle":"van"},{"family":"Van Wart","given":"Justin"},{"family":"Wolf","given":"Joost"},{"family":"Claessens","given":"Lieven"},{"family":"Yang","given":"Haishun"},{"family":"Boogaard","given":"Hendrik"},{"family":"Groot","given":"Hugo","non-dropping-particle":"de"},{"family":"Ittersum","given":"Martin K.","non-dropping-particle":"van"},{"family":"Cassman","given":"Kenneth G."}],"accessed":{"date-parts":[["2025",3,31]]},"issued":{"date-parts":[["2015",6,1]]}}}],"schema":"https://github.com/citation-style-language/schema/raw/master/csl-citation.json"} </w:instrText>
      </w:r>
      <w:r>
        <w:rPr>
          <w:rFonts w:ascii="Arial" w:hAnsi="Arial" w:cs="Arial"/>
        </w:rPr>
        <w:fldChar w:fldCharType="separate"/>
      </w:r>
      <w:r>
        <w:rPr>
          <w:rFonts w:ascii="Arial" w:hAnsi="Arial" w:cs="Arial"/>
        </w:rPr>
        <w:t xml:space="preserve">(Grassini </w:t>
      </w:r>
      <w:r>
        <w:rPr>
          <w:rFonts w:ascii="Arial" w:hAnsi="Arial" w:cs="Arial"/>
          <w:i/>
          <w:iCs/>
        </w:rPr>
        <w:t>et al</w:t>
      </w:r>
      <w:r>
        <w:rPr>
          <w:rFonts w:ascii="Arial" w:hAnsi="Arial" w:cs="Arial"/>
        </w:rPr>
        <w:t>., 2015)</w:t>
      </w:r>
      <w:r>
        <w:rPr>
          <w:rFonts w:ascii="Arial" w:hAnsi="Arial" w:cs="Arial"/>
        </w:rPr>
        <w:fldChar w:fldCharType="end"/>
      </w:r>
      <w:r>
        <w:rPr>
          <w:rFonts w:ascii="Arial" w:hAnsi="Arial" w:cs="Arial"/>
        </w:rPr>
        <w:t xml:space="preserve">. El número de parámetros de un modelo puede superar rápidamente la capacidad de identificar plenamente y/o estimar bien todos los parámetros a partir de los datos disponibles cuando se considera un único objetivo de calibración </w:t>
      </w:r>
      <w:r>
        <w:rPr>
          <w:rFonts w:ascii="Arial" w:hAnsi="Arial" w:cs="Arial"/>
        </w:rPr>
        <w:fldChar w:fldCharType="begin"/>
      </w:r>
      <w:r>
        <w:rPr>
          <w:rFonts w:ascii="Arial" w:hAnsi="Arial" w:cs="Arial"/>
        </w:rPr>
        <w:instrText xml:space="preserve"> ADDIN ZOTERO_ITEM CSL_CITATION {"citationID":"fwit1jxp","properties":{"custom":"(Wagener {\\i{}et al}., 2003)","formattedCitation":"(Wagener {\\i{}et al}., 2003)","plainCitation":"(Wagener et al., 2003)","noteIndex":0},"citationItems":[{"id":1053,"uris":["http://zotero.org/users/12642312/items/U7ZQLMSX"],"itemData":{"id":1053,"type":"article-journal","abstract":"Conceptual modelling requires the identification of a suitable model structure and the estimation of parameter values through calibration against observed data. A lack of objective approaches to evaluate model structures and the inability of calibration procedures to distinguish between the suitability of different parameter sets are major sources of uncertainty in current modelling procedures. This paper presents an approach analysing the performance of the model in a dynamic fashion resulting in an improved use of available information. Model structures can be evaluated with respect to the failure of individual components, and periods of high information content for specific parameters can be identified. The procedure is termed dynamic identifiability analysis (DYNIA) and is applied to a model structure built from typical conceptual components. Copyright © 2003 John Wiley &amp; Sons, Ltd.","container-title":"Hydrological Processes","DOI":"10.1002/hyp.1135","ISSN":"1099-1085","issue":"2","language":"en","license":"Derechos de Autor . 2003 John Wiley &amp; Sons, Ltd.","note":"_eprint: https://onlinelibrary.wiley.com/doi/pdf/10.1002/hyp.1135","page":"455-476","source":"Wiley Online Library","title":"Towards reduced uncertainty in conceptual rainfall-runoff modelling: dynamic identifiability analysis","title-short":"Towards reduced uncertainty in conceptual rainfall-runoff modelling","URL":"https://onlinelibrary.wiley.com/doi/abs/10.1002/hyp.1135","volume":"17","author":[{"family":"Wagener","given":"T."},{"family":"McIntyre","given":"N."},{"family":"Lees","given":"M. J."},{"family":"Wheater","given":"H. S."},{"family":"Gupta","given":"H. V."}],"accessed":{"date-parts":[["2025",3,31]]},"issued":{"date-parts":[["2003"]]}}}],"schema":"https://github.com/citation-style-language/schema/raw/master/csl-citation.json"} </w:instrText>
      </w:r>
      <w:r>
        <w:rPr>
          <w:rFonts w:ascii="Arial" w:hAnsi="Arial" w:cs="Arial"/>
        </w:rPr>
        <w:fldChar w:fldCharType="separate"/>
      </w:r>
      <w:r>
        <w:rPr>
          <w:rFonts w:ascii="Arial" w:hAnsi="Arial" w:cs="Arial"/>
        </w:rPr>
        <w:t xml:space="preserve">(Wagener </w:t>
      </w:r>
      <w:r>
        <w:rPr>
          <w:rFonts w:ascii="Arial" w:hAnsi="Arial" w:cs="Arial"/>
          <w:i/>
          <w:iCs/>
        </w:rPr>
        <w:t>et al</w:t>
      </w:r>
      <w:r>
        <w:rPr>
          <w:rFonts w:ascii="Arial" w:hAnsi="Arial" w:cs="Arial"/>
        </w:rPr>
        <w:t>., 2003)</w:t>
      </w:r>
      <w:r>
        <w:rPr>
          <w:rFonts w:ascii="Arial" w:hAnsi="Arial" w:cs="Arial"/>
        </w:rPr>
        <w:fldChar w:fldCharType="end"/>
      </w:r>
      <w:r>
        <w:rPr>
          <w:rFonts w:ascii="Arial" w:hAnsi="Arial" w:cs="Arial"/>
        </w:rPr>
        <w:t xml:space="preserve">. En la actualidad, los modelos de cultivos pueden ser demasiado complejos para una calibración adecuada, por lo que siguen existiendo muchas incertidumbres en cuanto a su parametrización </w:t>
      </w:r>
      <w:r>
        <w:rPr>
          <w:rFonts w:ascii="Arial" w:hAnsi="Arial" w:cs="Arial"/>
        </w:rPr>
        <w:fldChar w:fldCharType="begin"/>
      </w:r>
      <w:r>
        <w:rPr>
          <w:rFonts w:ascii="Arial" w:hAnsi="Arial" w:cs="Arial"/>
        </w:rPr>
        <w:instrText xml:space="preserve"> ADDIN ZOTERO_ITEM CSL_CITATION {"citationID":"q0pc5cel","properties":{"custom":"(Dokoohaki {\\i{}et al}., 2021)","formattedCitation":"(Dokoohaki {\\i{}et al}., 2021)","plainCitation":"(Dokoohaki et al., 2021)","noteIndex":0},"citationItems":[{"id":1055,"uris":["http://zotero.org/users/12642312/items/4KW946RI"],"itemData":{"id":1055,"type":"article-journal","abstract":"Regional and global impact assessment tools are increasingly used to explore and evaluate the impact of climate change and extreme events on crop yield and environmental externalities. However, the large uncertainties associated with the inputs or the parameters in crop models within these tools, limits their predictive ability, exceeding the spatiotemporal variability of observed yields. The objective of this study is to explore and quantify different sources of uncertainties and assumptions made behind initial conditions (IC), soil input, meteorological forcing, management practices and model cultivar parameters by running regional simulations for the time period between 2009 and 2019. Simulations were performed for maize and soybean using the pSIMS platform across the U.S Midwest by incrementally accounting for five sources of uncertainty with a resolution using the APSIM and DSSAT crop growth models. First, the relative contribution of different sources of uncertainty was estimated over time and space. Then, a series of nitrate leaching hotpots were identified and a regional maize yield productivity index was estimated by decomposing the uncertainty in the same scenario using a hierarchical Bayesian random-effect model. All factors showed a strong spatial pattern in their contribution to the total uncertainty and their contribution was found to be partially dependent on location. However, across the whole region, it was found that the uncertainty around management is larger than IC, soil and meteorological forcing while showing a strong correlation with each of these factors. Given the high spatial correlation, we hypothesize that constraining soil inputs and management uncertainty could allow for the largest reduction in predictive uncertainty for crop yield. Our results showed vast areas over northern IA, IL and IN with high potential for NO3 leaching and southern IA, IL and east NE with lower maize productivity index compared to the regional average.","container-title":"Environmental Research Letters","DOI":"10.1088/1748-9326/ac0f26","ISSN":"1748-9326","issue":"8","journalAbbreviation":"Environ. Res. Lett.","language":"en","note":"publisher: IOP Publishing","page":"084010","source":"Institute of Physics","title":"A comprehensive uncertainty quantification of large-scale process-based crop modeling frameworks","URL":"https://dx.doi.org/10.1088/1748-9326/ac0f26","volume":"16","author":[{"family":"Dokoohaki","given":"Hamze"},{"family":"Kivi","given":"Marissa S"},{"family":"Martinez-Feria","given":"Rafael"},{"family":"Miguez","given":"Fernando E"},{"family":"Hoogenboom","given":"Gerrit"}],"accessed":{"date-parts":[["2025",3,31]]},"issued":{"date-parts":[["2021",7]]}}}],"schema":"https://github.com/citation-style-language/schema/raw/master/csl-citation.json"} </w:instrText>
      </w:r>
      <w:r>
        <w:rPr>
          <w:rFonts w:ascii="Arial" w:hAnsi="Arial" w:cs="Arial"/>
        </w:rPr>
        <w:fldChar w:fldCharType="separate"/>
      </w:r>
      <w:r>
        <w:rPr>
          <w:rFonts w:ascii="Arial" w:hAnsi="Arial" w:cs="Arial"/>
        </w:rPr>
        <w:t xml:space="preserve">(Dokoohaki </w:t>
      </w:r>
      <w:r>
        <w:rPr>
          <w:rFonts w:ascii="Arial" w:hAnsi="Arial" w:cs="Arial"/>
          <w:i/>
          <w:iCs/>
        </w:rPr>
        <w:t>et al</w:t>
      </w:r>
      <w:r>
        <w:rPr>
          <w:rFonts w:ascii="Arial" w:hAnsi="Arial" w:cs="Arial"/>
        </w:rPr>
        <w:t>., 2021)</w:t>
      </w:r>
      <w:r>
        <w:rPr>
          <w:rFonts w:ascii="Arial" w:hAnsi="Arial" w:cs="Arial"/>
        </w:rPr>
        <w:fldChar w:fldCharType="end"/>
      </w:r>
      <w:r>
        <w:rPr>
          <w:rFonts w:ascii="Arial" w:hAnsi="Arial" w:cs="Arial"/>
        </w:rPr>
        <w:t xml:space="preserve">. </w:t>
      </w:r>
    </w:p>
    <w:p w14:paraId="623A2E14" w14:textId="77777777" w:rsidR="008403BD" w:rsidRDefault="007D49D9">
      <w:pPr>
        <w:pStyle w:val="Ttulo4"/>
        <w:rPr>
          <w:rFonts w:ascii="Arial" w:hAnsi="Arial" w:cs="Arial"/>
          <w:b/>
          <w:i w:val="0"/>
          <w:color w:val="000000"/>
          <w:sz w:val="24"/>
          <w:szCs w:val="24"/>
          <w:lang w:val="es-US"/>
        </w:rPr>
      </w:pPr>
      <w:r>
        <w:rPr>
          <w:rFonts w:ascii="Arial" w:eastAsia="Calibri" w:hAnsi="Arial" w:cs="Arial"/>
          <w:b/>
          <w:i w:val="0"/>
          <w:color w:val="000000"/>
          <w:sz w:val="24"/>
          <w:szCs w:val="24"/>
          <w:lang w:val="es-ES" w:eastAsia="es-ES"/>
        </w:rPr>
        <w:lastRenderedPageBreak/>
        <w:t xml:space="preserve">1.2.2.2 </w:t>
      </w:r>
      <w:r>
        <w:rPr>
          <w:rFonts w:ascii="Arial" w:hAnsi="Arial" w:cs="Arial"/>
          <w:b/>
          <w:i w:val="0"/>
          <w:color w:val="000000"/>
          <w:sz w:val="24"/>
          <w:szCs w:val="24"/>
          <w:lang w:val="es-US"/>
        </w:rPr>
        <w:t xml:space="preserve">Validación </w:t>
      </w:r>
    </w:p>
    <w:p w14:paraId="6D069BD7" w14:textId="3750B1BC" w:rsidR="008403BD" w:rsidRDefault="007D49D9">
      <w:pPr>
        <w:spacing w:before="120" w:after="0" w:line="360" w:lineRule="auto"/>
        <w:jc w:val="both"/>
        <w:rPr>
          <w:rFonts w:ascii="Arial" w:hAnsi="Arial" w:cs="Arial"/>
          <w:sz w:val="24"/>
          <w:szCs w:val="24"/>
          <w:lang w:val="es-US"/>
        </w:rPr>
      </w:pPr>
      <w:r>
        <w:rPr>
          <w:rFonts w:ascii="Arial" w:hAnsi="Arial" w:cs="Arial"/>
          <w:sz w:val="24"/>
          <w:szCs w:val="24"/>
          <w:lang w:val="es-US"/>
        </w:rPr>
        <w:t xml:space="preserve">Se entiende por validación de una simulación al procedimiento que asegura que las ecuaciones del modelo subyacente a la simulación, representan correctamente al sistema-objetivo </w:t>
      </w:r>
      <w:r>
        <w:rPr>
          <w:rFonts w:ascii="Arial" w:hAnsi="Arial" w:cs="Arial"/>
          <w:sz w:val="24"/>
          <w:szCs w:val="24"/>
          <w:lang w:val="es-US"/>
        </w:rPr>
        <w:fldChar w:fldCharType="begin"/>
      </w:r>
      <w:r>
        <w:rPr>
          <w:rFonts w:ascii="Arial" w:hAnsi="Arial" w:cs="Arial"/>
          <w:sz w:val="24"/>
          <w:szCs w:val="24"/>
          <w:lang w:val="es-US"/>
        </w:rPr>
        <w:instrText xml:space="preserve"> ADDIN ZOTERO_ITEM CSL_CITATION {"citationID":"gCTWHsQS","properties":{"formattedCitation":"(Cova, 2016)","plainCitation":"(Cova, 2016)","noteIndex":0},"citationItems":[{"id":519,"uris":["http://zotero.org/users/12642312/items/D6N65DSJ"],"itemData":{"id":519,"type":"article-journal","abstract":"En el ámbito de las ciencias exactas y de las ingenierías, los métodos de modelado y simulación han revestido una importancia progresivamente creciente a partir de la publicación de Die Prinzipien der Mechanik  de Hertz en 1894. En el campo de las ciencias sociales y en especial de la economía, el concepto de matriz de producto-insumo presentado por  Quesnay en 1758 se considera la primera modelización de una actividad social. Estos y otros antecedentes históricos son tratados a modo de introducción en la primera sección de este trabajo de difusión.  La presentación y discusión de algunas definiciones de los conceptos de sistema, experimento, modelo y simulación, constituyen el contenido de la segunda sección.  La tercera se ocupa de los modelos desde los enfoques semántico, ontológico, epistemológico, y hace hincapié en los aspectos axiológicos y la incertidumbre asociada a los resultados que los modelos permiten obtener. En la sección cuarta se analizan las simulaciones analógicas y computacionales, como asimismo el uso de la simulación en ciencias sociales. La quinta sección expone algunos problemas epistémicos relativos a la simulación, mientras que la sexta se ocupa de las aplicaciones e influencia de la simulación en la vida social, destacando su utilidad para el diseño de políticas públicas.  Unas breves observaciones finales cierran el trabajo.","language":"spa","license":"http://creativecommons.org/licenses/by-nc-sa/4.0/","note":"publisher: Editorial de la Universidad Tecnológica Nacional- edutecne","source":"ria.utn.edu.ar","title":"Sistemas, modelos, simulación y un toque de epistemología.","URL":"http://ria.utn.edu.ar/xmlui/handle/20.500.12272/2827","author":[{"family":"Cova","given":"Walter J. D."}],"accessed":{"date-parts":[["2024",10,14]]},"issued":{"date-parts":[["2016",8,1]]}}}],"schema":"https://github.com/citation-style-language/schema/raw/master/csl-citation.json"} </w:instrText>
      </w:r>
      <w:r>
        <w:rPr>
          <w:rFonts w:ascii="Arial" w:hAnsi="Arial" w:cs="Arial"/>
          <w:sz w:val="24"/>
          <w:szCs w:val="24"/>
          <w:lang w:val="es-US"/>
        </w:rPr>
        <w:fldChar w:fldCharType="separate"/>
      </w:r>
      <w:r>
        <w:rPr>
          <w:rFonts w:ascii="Arial" w:hAnsi="Arial" w:cs="Arial"/>
          <w:sz w:val="24"/>
          <w:lang w:val="es-ES"/>
        </w:rPr>
        <w:t>(Cova, 2016)</w:t>
      </w:r>
      <w:r>
        <w:rPr>
          <w:rFonts w:ascii="Arial" w:hAnsi="Arial" w:cs="Arial"/>
          <w:sz w:val="24"/>
          <w:szCs w:val="24"/>
          <w:lang w:val="es-US"/>
        </w:rPr>
        <w:fldChar w:fldCharType="end"/>
      </w:r>
      <w:r>
        <w:rPr>
          <w:rFonts w:ascii="Arial" w:hAnsi="Arial" w:cs="Arial"/>
          <w:sz w:val="24"/>
          <w:szCs w:val="24"/>
          <w:lang w:val="es-US"/>
        </w:rPr>
        <w:t xml:space="preserve">. </w:t>
      </w:r>
      <w:r>
        <w:rPr>
          <w:rFonts w:ascii="Arial" w:hAnsi="Arial" w:cs="Arial"/>
          <w:color w:val="000000"/>
          <w:sz w:val="24"/>
          <w:szCs w:val="24"/>
          <w:lang w:val="es-ES"/>
        </w:rPr>
        <w:t xml:space="preserve">La validación es el procedimiento mediante el cual se evalúa el desempeño del modelo, contrastando los valores simulados de una determinada variable con datos reales obtenidos en experimentos de campo </w:t>
      </w:r>
      <w:r>
        <w:rPr>
          <w:rFonts w:ascii="Arial" w:hAnsi="Arial" w:cs="Arial"/>
          <w:color w:val="000000"/>
          <w:sz w:val="24"/>
          <w:szCs w:val="24"/>
          <w:lang w:val="es-ES"/>
        </w:rPr>
        <w:fldChar w:fldCharType="begin"/>
      </w:r>
      <w:r w:rsidR="008108FA">
        <w:rPr>
          <w:rFonts w:ascii="Arial" w:hAnsi="Arial" w:cs="Arial"/>
          <w:color w:val="000000"/>
          <w:sz w:val="24"/>
          <w:szCs w:val="24"/>
          <w:lang w:val="es-ES"/>
        </w:rPr>
        <w:instrText xml:space="preserve"> ADDIN ZOTERO_ITEM CSL_CITATION {"citationID":"dHY7qNJw","properties":{"custom":"(Soto &amp; Gonz\\uc0\\u225{}lez, 2019; Pasquel {\\i{}et al}., 2022)","unsorted":true,"formattedCitation":"(Soto &amp; Gonz\\uc0\\u225{}lez, 2019; Pasquel {\\i{}et al}., 2022)","plainCitation":"(Soto &amp; González, 2019; Pasquel et al., 2022)","noteIndex":0},"citationItems":[{"id":1007,"uris":["http://zotero.org/users/12642312/items/Y9898IIZ"],"itemData":{"id":1007,"type":"article-journal","abstract":"Introduction. Every simulation model must be calibrated and validated, in order to avoid speculative and inaccurate conclusions. The methods to evaluate simulation models are usually applied “by habit”, without specifying basic methodological details which leads to the use of terminology and symbology that could cause confusion Objective. The objective in the present study was to analyze the different statistical methods employed to evaluate the performance of simulation models in agriculture, and thus propose which is the most suitable from the practical point of view. Materials and Methods. Statistical methods based on difference and regression analysis, between measured and simulated values were analyzed. Regarding the difference analysis group, the used methods were root mean square error (RMSE), mean absolute error (MAE), relative error (RE), adjustment index (d), me bianas error (MBE) and the model efficiency (E). In the case of the regression analysis the intercept, linear regression (b) and determination (R2) coefficients, and the estimation confidence limits were scrutinize. Results. The ER, d and E, are measures which objective is the comparison between different models to simulate a given variable, instead of evaluating the performance of the model as such. The root square mean error usually used to evaluate differences between observed and simulated values is different from the RMSE regression. The different cases illustrated with the “Eurotate_N” model demonstrated the apropriate practical application of the regression analysis as statistical tool to evaluate its capacity to simulate fruit yield, volumetric soil moisture, evapotranspiration and dry matter in tomato crop under greenhouse. Conclusion. The most appropriate statistical method proposed to evaluate a simulation model in tomato was the regression analysis.\nIntroducción.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Mesoamericana","ISSN":"2215-3608, 1021-7444","issue":"2","language":"spa","note":"publisher: Universidad de Costa Rica\nsection: Agronomía Mesoamericana","page":"517-534","source":"dialnet.unirioja.es","title":"Análisis de métodos estadísticos para evaluar el desempeño de modelos de simulación en cultivos hortícolas","URL":"https://dialnet.unirioja.es/servlet/articulo?codigo=6963219","volume":"30","author":[{"family":"Soto","given":"Freddy"},{"family":"González","given":"María Isabel"}],"accessed":{"date-parts":[["2025",3,27]]},"issued":{"date-parts":[["2019"]]}},"label":"page"},{"id":1046,"uris":["http://zotero.org/users/12642312/items/AMZV3R2M"],"itemData":{"id":1046,"type":"article-journal","abstract":"Crop models are useful tools because they can help understand many complex processes by simulating them. They are mainly designed at a specific spatial scale, the field. But with the new spatial data being made available in modern agriculture, they are being more and more applied at multiple and changing scales. These applications range from typically at broader scales, to perform regional or national studies, or at finer scales to develop modern site-specific management approaches. These new approaches to the application of crop models raise new questions concerning the evaluation of their performance, particularly for downscaled applications. This article first reviews the reasons why practitioners decide to spatialize crop models and the main methods they have used to do this, which questions the best place of the spatialization process in the modelling framework. A strong focus is then given to the evaluation of these spatialized crop models. Evaluation metrics, including the consideration of dedicated sensitivity indices are reviewed from the published studies. Using a simple example of a spatialized crop model being used to define management zones in precision viticulture, it is shown that classical model evaluation involving aspatial indices (e.g. the RMSE) is not sufficient to characterize the model performance in this context. A focus is made at the end of the review on potentialities that a complementary evaluation could bring in a precision agriculture context.","container-title":"Precision Agriculture","DOI":"10.1007/s11119-022-09885-4","ISSN":"1573-1618","issue":"4","journalAbbreviation":"Precision Agric","language":"en","page":"1489-1513","source":"Springer Link","title":"A review of methods to evaluate crop model performance at multiple and changing spatial scales","URL":"https://doi.org/10.1007/s11119-022-09885-4","volume":"23","author":[{"family":"Pasquel","given":"Daniel"},{"family":"Roux","given":"Sébastien"},{"family":"Richetti","given":"Jonathan"},{"family":"Cammarano","given":"Davide"},{"family":"Tisseyre","given":"Bruno"},{"family":"Taylor","given":"James A."}],"accessed":{"date-parts":[["2025",3,31]]},"issued":{"date-parts":[["2022",8,1]]}},"label":"page"}],"schema":"https://github.com/citation-style-language/schema/raw/master/csl-citation.json"} </w:instrText>
      </w:r>
      <w:r>
        <w:rPr>
          <w:rFonts w:ascii="Arial" w:hAnsi="Arial" w:cs="Arial"/>
          <w:color w:val="000000"/>
          <w:sz w:val="24"/>
          <w:szCs w:val="24"/>
          <w:lang w:val="es-ES"/>
        </w:rPr>
        <w:fldChar w:fldCharType="separate"/>
      </w:r>
      <w:r w:rsidR="008108FA" w:rsidRPr="00716AA5">
        <w:rPr>
          <w:rFonts w:ascii="Arial" w:hAnsi="Arial" w:cs="Arial"/>
          <w:sz w:val="24"/>
          <w:szCs w:val="24"/>
          <w:lang w:val="es-ES"/>
        </w:rPr>
        <w:t xml:space="preserve">(Soto &amp; González, 2019; </w:t>
      </w:r>
      <w:proofErr w:type="spellStart"/>
      <w:r w:rsidR="008108FA" w:rsidRPr="00716AA5">
        <w:rPr>
          <w:rFonts w:ascii="Arial" w:hAnsi="Arial" w:cs="Arial"/>
          <w:sz w:val="24"/>
          <w:szCs w:val="24"/>
          <w:lang w:val="es-ES"/>
        </w:rPr>
        <w:t>Pasquel</w:t>
      </w:r>
      <w:proofErr w:type="spellEnd"/>
      <w:r w:rsidR="008108FA" w:rsidRPr="00716AA5">
        <w:rPr>
          <w:rFonts w:ascii="Arial" w:hAnsi="Arial" w:cs="Arial"/>
          <w:sz w:val="24"/>
          <w:szCs w:val="24"/>
          <w:lang w:val="es-ES"/>
        </w:rPr>
        <w:t xml:space="preserve"> </w:t>
      </w:r>
      <w:r w:rsidR="008108FA" w:rsidRPr="00716AA5">
        <w:rPr>
          <w:rFonts w:ascii="Arial" w:hAnsi="Arial" w:cs="Arial"/>
          <w:i/>
          <w:iCs/>
          <w:sz w:val="24"/>
          <w:szCs w:val="24"/>
          <w:lang w:val="es-ES"/>
        </w:rPr>
        <w:t>et al</w:t>
      </w:r>
      <w:r w:rsidR="008108FA" w:rsidRPr="00716AA5">
        <w:rPr>
          <w:rFonts w:ascii="Arial" w:hAnsi="Arial" w:cs="Arial"/>
          <w:sz w:val="24"/>
          <w:szCs w:val="24"/>
          <w:lang w:val="es-ES"/>
        </w:rPr>
        <w:t>., 2022)</w:t>
      </w:r>
      <w:r>
        <w:rPr>
          <w:rFonts w:ascii="Arial" w:hAnsi="Arial" w:cs="Arial"/>
          <w:color w:val="000000"/>
          <w:sz w:val="24"/>
          <w:szCs w:val="24"/>
          <w:lang w:val="es-ES"/>
        </w:rPr>
        <w:fldChar w:fldCharType="end"/>
      </w:r>
      <w:r>
        <w:rPr>
          <w:rFonts w:ascii="Arial" w:hAnsi="Arial" w:cs="Arial"/>
          <w:color w:val="000000"/>
          <w:sz w:val="24"/>
          <w:szCs w:val="24"/>
          <w:lang w:val="es-ES"/>
        </w:rPr>
        <w:t xml:space="preserve">. Por lo tanto, </w:t>
      </w:r>
      <w:r>
        <w:rPr>
          <w:rFonts w:ascii="Arial" w:hAnsi="Arial" w:cs="Arial"/>
          <w:sz w:val="24"/>
          <w:szCs w:val="24"/>
          <w:lang w:val="es-US"/>
        </w:rPr>
        <w:t xml:space="preserve">es un proceso para formular y documentar la aplicabilidad de los resultados del modelo en relación con el sistema natural que se quiere representar. Su propósito es confirmar que el modelo corresponda con la realidad física que se quiere modelar, es decir, que las predicciones realizadas sean lo suficientemente confiables para ser usadas en la toma de decisiones </w:t>
      </w:r>
      <w:r>
        <w:rPr>
          <w:rFonts w:ascii="Arial" w:hAnsi="Arial" w:cs="Arial"/>
          <w:sz w:val="24"/>
          <w:szCs w:val="24"/>
          <w:lang w:val="es-US"/>
        </w:rPr>
        <w:fldChar w:fldCharType="begin"/>
      </w:r>
      <w:r w:rsidR="001C32A5">
        <w:rPr>
          <w:rFonts w:ascii="Arial" w:hAnsi="Arial" w:cs="Arial"/>
          <w:sz w:val="24"/>
          <w:szCs w:val="24"/>
          <w:lang w:val="es-US"/>
        </w:rPr>
        <w:instrText xml:space="preserve"> ADDIN ZOTERO_ITEM CSL_CITATION {"citationID":"mNhC9sOp","properties":{"custom":"(Ditmars {\\i{}et al}., 1987)","formattedCitation":"(Ditmars {\\i{}et al}., 1987)","plainCitation":"(Ditmars et al., 1987)","noteIndex":0},"citationItems":[{"id":522,"uris":["http://zotero.org/users/12642312/items/624NQUWU"],"itemData":{"id":522,"type":"article-journal","abstract":"The objective of this paper is to identify, collate, and define the procedures required\nto evaluate the performance of an analytical or numerical surface water model. The\nessential elements are: Identification of the problem; relationship of the model to\n...","container-title":"Journal of Hydraulic Engineering","DOI":"10.1061/(ASCE)0733-9429(1987)113:8(961)","ISSN":"0733-9429","issue":"8","language":"EN","license":"Copyright © 1987 ASCE","note":"number: 8\npublisher: American Society of Civil Engineers","page":"961-980","source":"ASCE","title":"Performance Evaluation of Surface Water Transport and Dispersion Models","URL":"https://ascelibrary.org/doi/10.1061/%28ASCE%290733-9429%281987%29113%3A8%28961%29","volume":"113","author":[{"family":"Ditmars","given":"John D."},{"family":"Adams","given":"E. Eric"},{"family":"Bedford","given":"Keith W."},{"family":"Ford","given":"Dennis E."}],"accessed":{"date-parts":[["2024",10,14]]},"issued":{"date-parts":[["1987",8,1]]}}}],"schema":"https://github.com/citation-style-language/schema/raw/master/csl-citation.json"} </w:instrText>
      </w:r>
      <w:r>
        <w:rPr>
          <w:rFonts w:ascii="Arial" w:hAnsi="Arial" w:cs="Arial"/>
          <w:sz w:val="24"/>
          <w:szCs w:val="24"/>
          <w:lang w:val="es-US"/>
        </w:rPr>
        <w:fldChar w:fldCharType="separate"/>
      </w:r>
      <w:r w:rsidR="001C32A5" w:rsidRPr="001C32A5">
        <w:rPr>
          <w:rFonts w:ascii="Arial" w:hAnsi="Arial" w:cs="Arial"/>
          <w:sz w:val="24"/>
          <w:szCs w:val="24"/>
          <w:lang w:val="es-ES"/>
        </w:rPr>
        <w:t xml:space="preserve">(Ditmars </w:t>
      </w:r>
      <w:r w:rsidR="001C32A5" w:rsidRPr="001C32A5">
        <w:rPr>
          <w:rFonts w:ascii="Arial" w:hAnsi="Arial" w:cs="Arial"/>
          <w:i/>
          <w:iCs/>
          <w:sz w:val="24"/>
          <w:szCs w:val="24"/>
          <w:lang w:val="es-ES"/>
        </w:rPr>
        <w:t>et al</w:t>
      </w:r>
      <w:r w:rsidR="001C32A5" w:rsidRPr="001C32A5">
        <w:rPr>
          <w:rFonts w:ascii="Arial" w:hAnsi="Arial" w:cs="Arial"/>
          <w:sz w:val="24"/>
          <w:szCs w:val="24"/>
          <w:lang w:val="es-ES"/>
        </w:rPr>
        <w:t>., 1987)</w:t>
      </w:r>
      <w:r>
        <w:rPr>
          <w:rFonts w:ascii="Arial" w:hAnsi="Arial" w:cs="Arial"/>
          <w:sz w:val="24"/>
          <w:szCs w:val="24"/>
          <w:lang w:val="es-US"/>
        </w:rPr>
        <w:fldChar w:fldCharType="end"/>
      </w:r>
      <w:r>
        <w:rPr>
          <w:rFonts w:ascii="Arial" w:hAnsi="Arial" w:cs="Arial"/>
          <w:sz w:val="24"/>
          <w:szCs w:val="24"/>
          <w:lang w:val="es-US"/>
        </w:rPr>
        <w:t xml:space="preserve">. </w:t>
      </w:r>
    </w:p>
    <w:p w14:paraId="31957A7F" w14:textId="77777777" w:rsidR="008403BD" w:rsidRDefault="007D49D9">
      <w:pPr>
        <w:pStyle w:val="Ttulo4"/>
        <w:rPr>
          <w:rFonts w:ascii="Arial" w:hAnsi="Arial" w:cs="Arial"/>
          <w:b/>
          <w:i w:val="0"/>
          <w:color w:val="000000"/>
          <w:sz w:val="24"/>
          <w:szCs w:val="24"/>
          <w:lang w:val="es-US"/>
        </w:rPr>
      </w:pPr>
      <w:r>
        <w:rPr>
          <w:rFonts w:ascii="Arial" w:eastAsia="Calibri" w:hAnsi="Arial" w:cs="Arial"/>
          <w:b/>
          <w:i w:val="0"/>
          <w:color w:val="000000"/>
          <w:sz w:val="24"/>
          <w:szCs w:val="24"/>
          <w:lang w:val="es-ES" w:eastAsia="es-ES"/>
        </w:rPr>
        <w:t xml:space="preserve">1.2.2.3 </w:t>
      </w:r>
      <w:r>
        <w:rPr>
          <w:rFonts w:ascii="Arial" w:hAnsi="Arial" w:cs="Arial"/>
          <w:b/>
          <w:i w:val="0"/>
          <w:color w:val="000000"/>
          <w:sz w:val="24"/>
          <w:szCs w:val="24"/>
          <w:lang w:val="es-US"/>
        </w:rPr>
        <w:t>Simulación</w:t>
      </w:r>
    </w:p>
    <w:p w14:paraId="4E89297C" w14:textId="77777777" w:rsidR="008403BD" w:rsidRDefault="007D49D9">
      <w:pPr>
        <w:spacing w:before="120" w:after="0" w:line="360" w:lineRule="auto"/>
        <w:jc w:val="both"/>
        <w:rPr>
          <w:rFonts w:ascii="Arial" w:hAnsi="Arial" w:cs="Arial"/>
          <w:sz w:val="24"/>
          <w:szCs w:val="24"/>
          <w:lang w:val="es-US"/>
        </w:rPr>
      </w:pPr>
      <w:r>
        <w:rPr>
          <w:rFonts w:ascii="Arial" w:hAnsi="Arial" w:cs="Arial"/>
          <w:sz w:val="24"/>
          <w:szCs w:val="24"/>
          <w:lang w:val="es-US"/>
        </w:rPr>
        <w:t xml:space="preserve">La simulación constituye técnicas para imitar el funcionamiento de sistemas o procesos reales mediante programas de ordenador. Para estudiar el sistema suele ser necesario hacer algunas suposiciones sobre su forma de operar. Estas hipótesis constituyen un modelo que no es más que una representación simplificada de un sistema que se construye para estudiar su comportamiento </w:t>
      </w:r>
      <w:r>
        <w:rPr>
          <w:rFonts w:ascii="Arial" w:hAnsi="Arial" w:cs="Arial"/>
          <w:sz w:val="24"/>
          <w:szCs w:val="24"/>
          <w:lang w:val="es-US"/>
        </w:rPr>
        <w:fldChar w:fldCharType="begin"/>
      </w:r>
      <w:r w:rsidR="00616F31">
        <w:rPr>
          <w:rFonts w:ascii="Arial" w:hAnsi="Arial" w:cs="Arial"/>
          <w:sz w:val="24"/>
          <w:szCs w:val="24"/>
          <w:lang w:val="es-US"/>
        </w:rPr>
        <w:instrText xml:space="preserve"> ADDIN ZOTERO_ITEM CSL_CITATION {"citationID":"ilUfqaPi","properties":{"custom":"(Dorado, 2007)","formattedCitation":"(Dorado, 2007)","plainCitation":"(Dorado, 2007)","noteIndex":0},"citationItems":[{"id":213,"uris":["http://zotero.org/users/12642312/items/AMLKHVL3"],"itemData":{"id":213,"type":"webpage","title":"Simulación de sistemas.","URL":"&lt;http://www.monografias.com/trabajos20/simulacion-sistemas/simulacion-sistemas.shtml&gt;","author":[{"literal":"Dorado, C"}],"accessed":{"date-parts":[["2021",1,18]]},"issued":{"date-parts":[["2007"]]}}}],"schema":"https://github.com/citation-style-language/schema/raw/master/csl-citation.json"} </w:instrText>
      </w:r>
      <w:r>
        <w:rPr>
          <w:rFonts w:ascii="Arial" w:hAnsi="Arial" w:cs="Arial"/>
          <w:sz w:val="24"/>
          <w:szCs w:val="24"/>
          <w:lang w:val="es-US"/>
        </w:rPr>
        <w:fldChar w:fldCharType="separate"/>
      </w:r>
      <w:r w:rsidR="00616F31" w:rsidRPr="00616F31">
        <w:rPr>
          <w:rFonts w:ascii="Arial" w:hAnsi="Arial" w:cs="Arial"/>
          <w:sz w:val="24"/>
          <w:lang w:val="es-ES"/>
        </w:rPr>
        <w:t>(Dorado, 2007)</w:t>
      </w:r>
      <w:r>
        <w:rPr>
          <w:rFonts w:ascii="Arial" w:hAnsi="Arial" w:cs="Arial"/>
          <w:sz w:val="24"/>
          <w:szCs w:val="24"/>
          <w:lang w:val="es-US"/>
        </w:rPr>
        <w:fldChar w:fldCharType="end"/>
      </w:r>
      <w:r>
        <w:rPr>
          <w:rFonts w:ascii="Arial" w:hAnsi="Arial" w:cs="Arial"/>
          <w:sz w:val="24"/>
          <w:szCs w:val="24"/>
          <w:lang w:val="es-US"/>
        </w:rPr>
        <w:t xml:space="preserve">. La simulación es el acto de ejecutar un modelo y obtener resultados sobre las variables de interés. La simulación es la aplicación del modelo al tema de interés </w:t>
      </w:r>
      <w:r>
        <w:rPr>
          <w:rFonts w:ascii="Arial" w:hAnsi="Arial" w:cs="Arial"/>
          <w:sz w:val="24"/>
          <w:szCs w:val="24"/>
          <w:lang w:val="es-US"/>
        </w:rPr>
        <w:fldChar w:fldCharType="begin"/>
      </w:r>
      <w:r w:rsidR="00616F31">
        <w:rPr>
          <w:rFonts w:ascii="Arial" w:hAnsi="Arial" w:cs="Arial"/>
          <w:sz w:val="24"/>
          <w:szCs w:val="24"/>
          <w:lang w:val="es-US"/>
        </w:rPr>
        <w:instrText xml:space="preserve"> ADDIN ZOTERO_ITEM CSL_CITATION {"citationID":"aMp4Uelv","properties":{"formattedCitation":"(Ruiz, 2020)","plainCitation":"(Ruiz, 2020)","noteIndex":0},"citationItems":[{"id":578,"uris":["http://zotero.org/users/12642312/items/33I64WTB"],"itemData":{"id":578,"type":"document","title":"La modelación del crecimiento de cultivos: conceptos, aplicaciones y retos","URL":"https://docplayer.es/196614857-La-modelacion-del-crecimiento-de-cultivos-conceptos-aplicaciones-y-retos.html","author":[{"family":"Ruiz","given":"A"}],"issued":{"date-parts":[["2020"]]}}}],"schema":"https://github.com/citation-style-language/schema/raw/master/csl-citation.json"} </w:instrText>
      </w:r>
      <w:r>
        <w:rPr>
          <w:rFonts w:ascii="Arial" w:hAnsi="Arial" w:cs="Arial"/>
          <w:sz w:val="24"/>
          <w:szCs w:val="24"/>
          <w:lang w:val="es-US"/>
        </w:rPr>
        <w:fldChar w:fldCharType="separate"/>
      </w:r>
      <w:r w:rsidR="00616F31" w:rsidRPr="00616F31">
        <w:rPr>
          <w:rFonts w:ascii="Arial" w:hAnsi="Arial" w:cs="Arial"/>
          <w:sz w:val="24"/>
          <w:lang w:val="es-ES"/>
        </w:rPr>
        <w:t>(Ruiz, 2020)</w:t>
      </w:r>
      <w:r>
        <w:rPr>
          <w:rFonts w:ascii="Arial" w:hAnsi="Arial" w:cs="Arial"/>
          <w:sz w:val="24"/>
          <w:szCs w:val="24"/>
          <w:lang w:val="es-US"/>
        </w:rPr>
        <w:fldChar w:fldCharType="end"/>
      </w:r>
      <w:r>
        <w:rPr>
          <w:rFonts w:ascii="Arial" w:hAnsi="Arial" w:cs="Arial"/>
          <w:sz w:val="24"/>
          <w:szCs w:val="24"/>
          <w:lang w:val="es-US"/>
        </w:rPr>
        <w:t xml:space="preserve">. La modelación puede realizarse sin necesidad de la simulación, no así este último, el cual involucra el desarrollo de un modelo y su uso para caracterizar el sistema y sus interacciones con un mayor grado de detalle </w:t>
      </w:r>
      <w:r>
        <w:rPr>
          <w:rFonts w:ascii="Arial" w:hAnsi="Arial" w:cs="Arial"/>
          <w:sz w:val="24"/>
          <w:szCs w:val="24"/>
          <w:lang w:val="es-US"/>
        </w:rPr>
        <w:fldChar w:fldCharType="begin"/>
      </w:r>
      <w:r w:rsidR="00643625">
        <w:rPr>
          <w:rFonts w:ascii="Arial" w:hAnsi="Arial" w:cs="Arial"/>
          <w:sz w:val="24"/>
          <w:szCs w:val="24"/>
          <w:lang w:val="es-US"/>
        </w:rPr>
        <w:instrText xml:space="preserve"> ADDIN ZOTERO_ITEM CSL_CITATION {"citationID":"qiZauaKU","properties":{"custom":"(G\\uc0\\u225{}lvez &amp; Sigarroa, 2010; Rodr\\uc0\\u237{}guez, {\\i{}et al}., 2018)","formattedCitation":"(G\\uc0\\u225{}lvez &amp; Sigarroa, 2010; Rodr\\uc0\\u237{}guez, {\\i{}et al}., 2018)","plainCitation":"(Gálvez &amp; Sigarroa, 2010; Rodríguez, et al., 2018)","noteIndex":0},"citationItems":[{"id":188,"uris":["http://zotero.org/users/12642312/items/D3YX8Z59"],"itemData":{"id":188,"type":"article-journal","abstract":"A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EJEMPLOS","author":[{"family":"Gálvez","given":"G"},{"family":"Sigarroa","given":"A"}],"issued":{"date-parts":[["2010"]]}},"label":"page"},{"id":575,"uris":["http://zotero.org/users/12642312/items/Z8Z9FWSX"],"itemData":{"id":575,"type":"article-journal","abstract":"Se realizó una revisión bibliográfica sobre las aplicaciones de la modelación y simulación en cultivos agrícolas en Cuba con el objetivo de dar a conocer las características e importancia del uso de los mismos, como herramientas para la estimación de los rendimientos de los cultivos agrícolas. Se presenta un resumen de algunos conceptos relacionados con la modelación de cultivos y los tipos principales de modelos que se pueden utilizar desde el punto de vista de su uso en la agricultura.","page":"121-126","source":"ResearchGate","title":"APLICACIONES DE LA MODELACIÓN MATEMÁTICA Y LA SIMULACIÓN DE CULTIVOS AGRÍCOLAS EN CUBA","URL":"https://www.researchgate.net/publication/325270991_APLICACIONES_DE_LA_MODELACION_MATEMATICA_Y_LA_SIMULACION_DE_CULTIVOS_AGRICOLAS_EN_CUBA","volume":"39","author":[{"family":"Rodríguez","given":"Osmel"},{"family":"Florido","given":"René"},{"family":"Nualles","given":"Mario"}],"issued":{"date-parts":[["2018",5,21]]}},"label":"page"}],"schema":"https://github.com/citation-style-language/schema/raw/master/csl-citation.json"} </w:instrText>
      </w:r>
      <w:r>
        <w:rPr>
          <w:rFonts w:ascii="Arial" w:hAnsi="Arial" w:cs="Arial"/>
          <w:sz w:val="24"/>
          <w:szCs w:val="24"/>
          <w:lang w:val="es-US"/>
        </w:rPr>
        <w:fldChar w:fldCharType="separate"/>
      </w:r>
      <w:r w:rsidR="00643625" w:rsidRPr="00224BF0">
        <w:rPr>
          <w:rFonts w:ascii="Arial" w:hAnsi="Arial" w:cs="Arial"/>
          <w:sz w:val="24"/>
          <w:szCs w:val="24"/>
          <w:lang w:val="es-ES"/>
        </w:rPr>
        <w:t xml:space="preserve">(Gálvez &amp; Sigarroa, 2010; Rodríguez, </w:t>
      </w:r>
      <w:r w:rsidR="00643625" w:rsidRPr="00224BF0">
        <w:rPr>
          <w:rFonts w:ascii="Arial" w:hAnsi="Arial" w:cs="Arial"/>
          <w:i/>
          <w:iCs/>
          <w:sz w:val="24"/>
          <w:szCs w:val="24"/>
          <w:lang w:val="es-ES"/>
        </w:rPr>
        <w:t>et al</w:t>
      </w:r>
      <w:r w:rsidR="00643625" w:rsidRPr="00224BF0">
        <w:rPr>
          <w:rFonts w:ascii="Arial" w:hAnsi="Arial" w:cs="Arial"/>
          <w:sz w:val="24"/>
          <w:szCs w:val="24"/>
          <w:lang w:val="es-ES"/>
        </w:rPr>
        <w:t>., 2018)</w:t>
      </w:r>
      <w:r>
        <w:rPr>
          <w:rFonts w:ascii="Arial" w:hAnsi="Arial" w:cs="Arial"/>
          <w:sz w:val="24"/>
          <w:szCs w:val="24"/>
          <w:lang w:val="es-US"/>
        </w:rPr>
        <w:fldChar w:fldCharType="end"/>
      </w:r>
      <w:r>
        <w:rPr>
          <w:rFonts w:ascii="Arial" w:hAnsi="Arial" w:cs="Arial"/>
          <w:sz w:val="24"/>
          <w:szCs w:val="24"/>
          <w:lang w:val="es-US"/>
        </w:rPr>
        <w:t xml:space="preserve">. </w:t>
      </w:r>
    </w:p>
    <w:p w14:paraId="7F096198" w14:textId="77777777"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hAnsi="Arial" w:cs="Arial"/>
          <w:sz w:val="24"/>
          <w:szCs w:val="24"/>
          <w:lang w:val="es-ES"/>
        </w:rPr>
      </w:pPr>
      <w:r>
        <w:rPr>
          <w:rFonts w:ascii="Arial" w:hAnsi="Arial" w:cs="Arial"/>
          <w:sz w:val="24"/>
          <w:szCs w:val="24"/>
          <w:lang w:val="es-ES"/>
        </w:rPr>
        <w:t xml:space="preserve">Hasta ahora, cada modelo tiene sus ventajas e inconvenientes, pero en general se basa en la fisiología del crecimiento y desarrollo de los cultivos en relación con el suelo, el clima, la energía de la radiación solar y los factores limitantes del crecimiento de las plantas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{"citationID":"UEwqqeYD","properties":{"custom":"(Phuoc {\\i{}et al}., 2023)","formattedCitation":"(Phuoc {\\i{}et al}., 2023)","plainCitation":"(Phuoc et al., 2023)","noteIndex":0},"citationItems":[{"id":631,"uris":["http://zotero.org/users/12642312/items/I77XCMEQ"],"itemData":{"id":631,"type":"article-journal","abstract":"Modeling science has been applied by many advanced countries in many fields, such as geology, meteorology, climate change, crop productivity, environment, erosion, and landslide. The crop model simulates the processes of agriculture. The writing of this article is descriptive qualitative using the Systematic Literature Review (SLR) method. So far, each model has its advantages and disadvantages but generally is based on the physiology of the growth and development of crops in relationship with soil, climate, solar radiation energy, and limiting factors to plant growth. There have been many models for rice that can forecast yield and biomass or predict future climate change dynamics. Meanwhile, many models such as DSSAT, AquaCrop, Oryza, APSIM, EPIC need more data to operate their modeling, which in many cases, data is not readily available. In this review, we would like to introduce the model “SIMPLE” which includes only thirteen parameters and four of which describe cultivar characteristics. Another advantage of “SIMPLE” is that it can be adapted for many crop species and added variable modules such as nutrient dynamics, water stress, temperature stress, or pests. It is entirely open source based on R programming, but limitations still exist that have been mentioned in the review.","container-title":"Journal of Applied Agricultural Science and Technology","DOI":"10.55043/jaast.v7i3.123","ISSN":"2621-2528, 2621-4709","issue":"3","journalAbbreviation":"J. appl. agricultural sci. technol.","language":"en","license":"https://creativecommons.org/licenses/by-sa/4.0","page":"197-216","source":"DOI.org (Crossref)","title":"Literature Review Crop Modeling and Introduction a Simple Crop Model","URL":"https://www.jaast.org/index.php/jaast/article/view/123","volume":"7","author":[{"family":"Phuoc","given":"Le Huu"},{"family":"Suliansyah","given":"Irfan"},{"family":"Arlius","given":"Feri"},{"family":"Chaniago","given":"Irawati"},{"family":"Xuan","given":"Nguyen Thi Thanh"},{"family":"Quang","given":"Pham Van"}],"accessed":{"date-parts":[["2025",3,12]]},"issued":{"date-parts":[["2023",8,25]]}}}],"schema":"https://github.com/citation-style-language/schema/raw/master/csl-citation.json"}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(Phuoc </w:t>
      </w:r>
      <w:r>
        <w:rPr>
          <w:rFonts w:ascii="Arial" w:hAnsi="Arial" w:cs="Arial"/>
          <w:i/>
          <w:iCs/>
          <w:sz w:val="24"/>
          <w:szCs w:val="24"/>
          <w:lang w:val="es-ES"/>
        </w:rPr>
        <w:t>et al</w:t>
      </w:r>
      <w:r>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 xml:space="preserve">. </w:t>
      </w:r>
    </w:p>
    <w:p w14:paraId="25F20579" w14:textId="77777777" w:rsidR="008403BD" w:rsidRDefault="007D49D9">
      <w:pPr>
        <w:pStyle w:val="Ttulo3"/>
        <w:rPr>
          <w:rFonts w:ascii="Arial" w:hAnsi="Arial" w:cs="Arial"/>
          <w:b/>
          <w:color w:val="000000"/>
          <w:lang w:val="es-ES"/>
        </w:rPr>
      </w:pPr>
      <w:bookmarkStart w:id="15" w:name="_Toc195014953"/>
      <w:r>
        <w:rPr>
          <w:rFonts w:ascii="Arial" w:hAnsi="Arial" w:cs="Arial"/>
          <w:b/>
          <w:color w:val="000000"/>
          <w:lang w:val="es-ES"/>
        </w:rPr>
        <w:lastRenderedPageBreak/>
        <w:t>1.2.3 Modelo DSSAT y su empleo en tomate</w:t>
      </w:r>
      <w:bookmarkEnd w:id="15"/>
    </w:p>
    <w:p w14:paraId="50C8B32B" w14:textId="77777777" w:rsidR="003116B1"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eastAsia="Calibri" w:hAnsi="Arial" w:cs="Arial"/>
          <w:sz w:val="24"/>
          <w:szCs w:val="24"/>
          <w:lang w:val="es-ES" w:eastAsia="es-ES"/>
        </w:rPr>
      </w:pPr>
      <w:r>
        <w:rPr>
          <w:rFonts w:ascii="Arial" w:eastAsia="Calibri" w:hAnsi="Arial" w:cs="Arial"/>
          <w:sz w:val="24"/>
          <w:szCs w:val="24"/>
          <w:lang w:val="es-ES" w:eastAsia="es-ES"/>
        </w:rPr>
        <w:t xml:space="preserve">La plataforma de simulación de cultivos de DSSAT </w:t>
      </w:r>
      <w:r>
        <w:rPr>
          <w:rFonts w:ascii="Arial" w:hAnsi="Arial" w:cs="Arial"/>
          <w:sz w:val="24"/>
          <w:szCs w:val="24"/>
          <w:lang w:val="es-ES"/>
        </w:rPr>
        <w:t xml:space="preserve">(Sistema de Apoyo para la Toma de Decisiones y Transferencia de </w:t>
      </w:r>
      <w:proofErr w:type="spellStart"/>
      <w:r>
        <w:rPr>
          <w:rFonts w:ascii="Arial" w:hAnsi="Arial" w:cs="Arial"/>
          <w:sz w:val="24"/>
          <w:szCs w:val="24"/>
          <w:lang w:val="es-ES"/>
        </w:rPr>
        <w:t>Agrotecnología</w:t>
      </w:r>
      <w:proofErr w:type="spellEnd"/>
      <w:r>
        <w:rPr>
          <w:rFonts w:ascii="Arial" w:hAnsi="Arial" w:cs="Arial"/>
          <w:sz w:val="24"/>
          <w:szCs w:val="24"/>
          <w:lang w:val="es-ES"/>
        </w:rPr>
        <w:t xml:space="preserve">, del inglés </w:t>
      </w:r>
      <w:proofErr w:type="spellStart"/>
      <w:r>
        <w:rPr>
          <w:rStyle w:val="A5"/>
          <w:rFonts w:ascii="Arial" w:hAnsi="Arial" w:cs="Arial"/>
          <w:i/>
          <w:sz w:val="24"/>
          <w:szCs w:val="24"/>
          <w:lang w:val="es-ES"/>
        </w:rPr>
        <w:t>Decision</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Support</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System</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for</w:t>
      </w:r>
      <w:proofErr w:type="spellEnd"/>
      <w:r>
        <w:rPr>
          <w:rStyle w:val="A5"/>
          <w:rFonts w:ascii="Arial" w:hAnsi="Arial" w:cs="Arial"/>
          <w:i/>
          <w:sz w:val="24"/>
          <w:szCs w:val="24"/>
          <w:lang w:val="es-ES"/>
        </w:rPr>
        <w:t xml:space="preserve"> </w:t>
      </w:r>
      <w:proofErr w:type="spellStart"/>
      <w:r>
        <w:rPr>
          <w:rStyle w:val="A5"/>
          <w:rFonts w:ascii="Arial" w:hAnsi="Arial" w:cs="Arial"/>
          <w:i/>
          <w:sz w:val="24"/>
          <w:szCs w:val="24"/>
          <w:lang w:val="es-ES"/>
        </w:rPr>
        <w:t>Agrotechnology</w:t>
      </w:r>
      <w:proofErr w:type="spellEnd"/>
      <w:r>
        <w:rPr>
          <w:rFonts w:ascii="Arial" w:hAnsi="Arial" w:cs="Arial"/>
          <w:sz w:val="24"/>
          <w:szCs w:val="24"/>
          <w:lang w:val="es-ES"/>
        </w:rPr>
        <w:t xml:space="preserve">) </w:t>
      </w:r>
      <w:r>
        <w:rPr>
          <w:rFonts w:ascii="Arial" w:eastAsia="Calibri" w:hAnsi="Arial" w:cs="Arial"/>
          <w:sz w:val="24"/>
          <w:szCs w:val="24"/>
          <w:lang w:val="es-ES" w:eastAsia="es-ES"/>
        </w:rPr>
        <w:t xml:space="preserve">es un producto obtenido de la Red Internacional de Sitios </w:t>
      </w:r>
      <w:proofErr w:type="spellStart"/>
      <w:r>
        <w:rPr>
          <w:rFonts w:ascii="Arial" w:eastAsia="Calibri" w:hAnsi="Arial" w:cs="Arial"/>
          <w:sz w:val="24"/>
          <w:szCs w:val="24"/>
          <w:lang w:val="es-ES" w:eastAsia="es-ES"/>
        </w:rPr>
        <w:t>Benchmark</w:t>
      </w:r>
      <w:proofErr w:type="spellEnd"/>
      <w:r>
        <w:rPr>
          <w:rFonts w:ascii="Arial" w:eastAsia="Calibri" w:hAnsi="Arial" w:cs="Arial"/>
          <w:sz w:val="24"/>
          <w:szCs w:val="24"/>
          <w:lang w:val="es-ES" w:eastAsia="es-ES"/>
        </w:rPr>
        <w:t xml:space="preserve"> para la Transferencia de </w:t>
      </w:r>
      <w:proofErr w:type="spellStart"/>
      <w:r>
        <w:rPr>
          <w:rFonts w:ascii="Arial" w:eastAsia="Calibri" w:hAnsi="Arial" w:cs="Arial"/>
          <w:sz w:val="24"/>
          <w:szCs w:val="24"/>
          <w:lang w:val="es-ES" w:eastAsia="es-ES"/>
        </w:rPr>
        <w:t>Agrotecnología</w:t>
      </w:r>
      <w:proofErr w:type="spellEnd"/>
      <w:r>
        <w:rPr>
          <w:rFonts w:ascii="Arial" w:eastAsia="Calibri" w:hAnsi="Arial" w:cs="Arial"/>
          <w:sz w:val="24"/>
          <w:szCs w:val="24"/>
          <w:lang w:val="es-ES" w:eastAsia="es-ES"/>
        </w:rPr>
        <w:t xml:space="preserve"> (IBSNAT), iniciado en 1982 para facilitar la aplicación de un conjunto de </w:t>
      </w:r>
      <w:r>
        <w:rPr>
          <w:rFonts w:ascii="Arial" w:eastAsia="Times New Roman" w:hAnsi="Arial" w:cs="Arial"/>
          <w:sz w:val="24"/>
          <w:szCs w:val="24"/>
          <w:lang w:val="es-ES" w:eastAsia="es-ES"/>
        </w:rPr>
        <w:t xml:space="preserve">programas informáticos para simular crecimiento de cultivo agrícola </w:t>
      </w:r>
      <w:r>
        <w:rPr>
          <w:rFonts w:ascii="Arial" w:eastAsia="Times New Roman" w:hAnsi="Arial" w:cs="Arial"/>
          <w:sz w:val="24"/>
          <w:szCs w:val="24"/>
          <w:lang w:val="es-ES" w:eastAsia="es-ES"/>
        </w:rPr>
        <w:fldChar w:fldCharType="begin"/>
      </w:r>
      <w:r>
        <w:rPr>
          <w:rFonts w:ascii="Arial" w:eastAsia="Times New Roman" w:hAnsi="Arial" w:cs="Arial"/>
          <w:sz w:val="24"/>
          <w:szCs w:val="24"/>
          <w:lang w:val="es-ES" w:eastAsia="es-ES"/>
        </w:rPr>
        <w:instrText xml:space="preserve"> ADDIN ZOTERO_ITEM CSL_CITATION {"citationID":"nYTFb8kG","properties":{"custom":"(Jones {\\i{}et al}., 2003)","formattedCitation":"(Jones {\\i{}et al}., 2003)","plainCitation":"(Jones et al., 2003)","noteIndex":0},"citationItems":[{"id":297,"uris":["http://zotero.org/users/12642312/items/MCNDK7J9"],"itemData":{"id":297,"type":"article-journal","abstract":"The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model","URL":"https://www.sciencedirect.com/science/article/pii/S1161030102001077","volume":"18","author":[{"family":"Jones","given":"J. W"},{"family":"Hoogenboom","given":"G"},{"family":"Porter","given":"C. H"},{"family":"Boote","given":"K. J"},{"family":"Batchelor","given":"W. D"},{"family":"Hunt","given":"L. A"},{"family":"Wilkens","given":"P. W"},{"family":"Singh","given":"U"},{"family":"Gijsman","given":"A. J"},{"family":"Ritchie","given":"J. T"}],"accessed":{"date-parts":[["2023",12,18]]},"issued":{"date-parts":[["2003",1,1]]}}}],"schema":"https://github.com/citation-style-language/schema/raw/master/csl-citation.json"} </w:instrText>
      </w:r>
      <w:r>
        <w:rPr>
          <w:rFonts w:ascii="Arial" w:eastAsia="Times New Roman" w:hAnsi="Arial" w:cs="Arial"/>
          <w:sz w:val="24"/>
          <w:szCs w:val="24"/>
          <w:lang w:val="es-ES" w:eastAsia="es-ES"/>
        </w:rPr>
        <w:fldChar w:fldCharType="separate"/>
      </w:r>
      <w:r>
        <w:rPr>
          <w:rFonts w:ascii="Arial" w:hAnsi="Arial" w:cs="Arial"/>
          <w:sz w:val="24"/>
          <w:szCs w:val="24"/>
          <w:lang w:val="es-ES"/>
        </w:rPr>
        <w:t xml:space="preserve">(Jones </w:t>
      </w:r>
      <w:r>
        <w:rPr>
          <w:rFonts w:ascii="Arial" w:hAnsi="Arial" w:cs="Arial"/>
          <w:i/>
          <w:iCs/>
          <w:sz w:val="24"/>
          <w:szCs w:val="24"/>
          <w:lang w:val="es-ES"/>
        </w:rPr>
        <w:t>et al</w:t>
      </w:r>
      <w:r>
        <w:rPr>
          <w:rFonts w:ascii="Arial" w:hAnsi="Arial" w:cs="Arial"/>
          <w:sz w:val="24"/>
          <w:szCs w:val="24"/>
          <w:lang w:val="es-ES"/>
        </w:rPr>
        <w:t>., 2003)</w:t>
      </w:r>
      <w:r>
        <w:rPr>
          <w:rFonts w:ascii="Arial" w:eastAsia="Times New Roman" w:hAnsi="Arial" w:cs="Arial"/>
          <w:sz w:val="24"/>
          <w:szCs w:val="24"/>
          <w:lang w:val="es-ES" w:eastAsia="es-ES"/>
        </w:rPr>
        <w:fldChar w:fldCharType="end"/>
      </w:r>
      <w:r>
        <w:rPr>
          <w:rFonts w:ascii="Arial" w:eastAsia="Times New Roman" w:hAnsi="Arial" w:cs="Arial"/>
          <w:sz w:val="24"/>
          <w:szCs w:val="24"/>
          <w:lang w:val="es-ES" w:eastAsia="es-ES"/>
        </w:rPr>
        <w:t>.</w:t>
      </w:r>
      <w:r>
        <w:rPr>
          <w:rFonts w:ascii="Arial" w:eastAsia="Calibri" w:hAnsi="Arial" w:cs="Arial"/>
          <w:sz w:val="24"/>
          <w:szCs w:val="24"/>
          <w:lang w:val="es-ES" w:eastAsia="es-ES"/>
        </w:rPr>
        <w:t xml:space="preserve"> Este </w:t>
      </w:r>
      <w:r>
        <w:rPr>
          <w:rFonts w:ascii="Arial" w:hAnsi="Arial" w:cs="Arial"/>
          <w:sz w:val="24"/>
          <w:szCs w:val="24"/>
          <w:lang w:val="es-US"/>
        </w:rPr>
        <w:t xml:space="preserve">comprende modelos de simulación para más de 40 cultivos </w:t>
      </w:r>
      <w:r>
        <w:rPr>
          <w:rFonts w:ascii="Arial" w:hAnsi="Arial" w:cs="Arial"/>
          <w:sz w:val="24"/>
          <w:szCs w:val="24"/>
          <w:lang w:val="es-US"/>
        </w:rPr>
        <w:fldChar w:fldCharType="begin"/>
      </w:r>
      <w:r>
        <w:rPr>
          <w:rFonts w:ascii="Arial" w:hAnsi="Arial" w:cs="Arial"/>
          <w:sz w:val="24"/>
          <w:szCs w:val="24"/>
          <w:lang w:val="es-US"/>
        </w:rPr>
        <w:instrText xml:space="preserve"> ADDIN ZOTERO_ITEM CSL_CITATION {"citationID":"wgFP8BeA","properties":{"custom":"(Xiang {\\i{}et al}., 2020)","formattedCitation":"(Xiang {\\i{}et al}., 2020)","plainCitation":"(Xiang et al., 2020)","noteIndex":0},"citationItems":[{"id":589,"uris":["http://zotero.org/users/12642312/items/QI8BEFND"],"itemData":{"id":589,"type":"article-journal","abstract":"Groundwater models are often used to assess the impact of climate or management strategies on groundwater resources in arid and semiarid regions of the world. However, these models do not account for crop growth and crop yield, and thus cannot be used for evaluating long-term impacts of climate and management strategies on water use efficiency and farm profitability of agricultural systems while managing the aquifers sustainably. This study presented a linkage between DSSAT, an agronomic model, and MODFLOW, a groundwater flow model. The linkage between these two models occurred on an annual basis, with rates of irrigation and deep percolation from an ensemble of field-scale DSSAT simulations converted to pumping rates and recharge rates for the MODFLOW simulation. MODFLOW simulated groundwater head, which can be used to update saturated thickness and thereby well capacities for each pumping well in the model domain. Simulated well capacities were then used to constrain irrigation applications in the DSSAT simulations during the following growing season. Python scripts were used to convert output from one model to input files for the other model. The DSSAT-MODFLOW modeling system was applied to the Ogallala aquifer underlying Finney County, Kansas, a region experiencing significant groundwater depletion due to irrigation practices, and was tested against observed water table elevation and crop yield. Over a decadal period, well capacity decreased by &gt; 50 % for many pumping wells in the county. A no-irrigation scenario for this same time period resulted in average water table elevation increasing by 2 m, but also a 70 % decline in crop yield. Additional work is needed to balance groundwater conservation with crop yield. The DSSAT-MODFLOW modeling system can be used in regions worldwide to assess changes in irrigation technologies, crop selection, and climate change adaptation strategies.","container-title":"Agricultural Water Management","DOI":"10.1016/j.agwat.2020.106033","ISSN":"0378-3774","journalAbbreviation":"Agricultural Water Management","page":"106033","source":"ScienceDirect","title":"DSSAT-MODFLOW: A new modeling framework for exploring groundwater conservation strategies in irrigated areas","title-short":"DSSAT-MODFLOW","URL":"https://www.sciencedirect.com/science/article/pii/S0378377419316427","volume":"232","author":[{"family":"Xiang","given":"Zaichen"},{"family":"Bailey","given":"Ryan T."},{"family":"Nozari","given":"Soheil"},{"family":"Husain","given":"Zainab"},{"family":"Kisekka","given":"Isaya"},{"family":"Sharda","given":"Vaishali"},{"family":"Gowda","given":"Prasanna"}],"accessed":{"date-parts":[["2024",10,14]]},"issued":{"date-parts":[["2020",4,1]]}}}],"schema":"https://github.com/citation-style-language/schema/raw/master/csl-citation.json"} </w:instrText>
      </w:r>
      <w:r>
        <w:rPr>
          <w:rFonts w:ascii="Arial" w:hAnsi="Arial" w:cs="Arial"/>
          <w:sz w:val="24"/>
          <w:szCs w:val="24"/>
          <w:lang w:val="es-US"/>
        </w:rPr>
        <w:fldChar w:fldCharType="separate"/>
      </w:r>
      <w:r>
        <w:rPr>
          <w:rFonts w:ascii="Arial" w:hAnsi="Arial" w:cs="Arial"/>
          <w:sz w:val="24"/>
          <w:szCs w:val="24"/>
          <w:lang w:val="es-ES"/>
        </w:rPr>
        <w:t xml:space="preserve">(Xiang </w:t>
      </w:r>
      <w:r>
        <w:rPr>
          <w:rFonts w:ascii="Arial" w:hAnsi="Arial" w:cs="Arial"/>
          <w:i/>
          <w:iCs/>
          <w:sz w:val="24"/>
          <w:szCs w:val="24"/>
          <w:lang w:val="es-ES"/>
        </w:rPr>
        <w:t>et al</w:t>
      </w:r>
      <w:r>
        <w:rPr>
          <w:rFonts w:ascii="Arial" w:hAnsi="Arial" w:cs="Arial"/>
          <w:sz w:val="24"/>
          <w:szCs w:val="24"/>
          <w:lang w:val="es-ES"/>
        </w:rPr>
        <w:t>., 2020)</w:t>
      </w:r>
      <w:r>
        <w:rPr>
          <w:rFonts w:ascii="Arial" w:hAnsi="Arial" w:cs="Arial"/>
          <w:sz w:val="24"/>
          <w:szCs w:val="24"/>
          <w:lang w:val="es-US"/>
        </w:rPr>
        <w:fldChar w:fldCharType="end"/>
      </w:r>
      <w:r>
        <w:rPr>
          <w:rFonts w:ascii="Arial" w:hAnsi="Arial" w:cs="Arial"/>
          <w:sz w:val="24"/>
          <w:szCs w:val="24"/>
          <w:lang w:val="es-US"/>
        </w:rPr>
        <w:t xml:space="preserve">. </w:t>
      </w:r>
      <w:r>
        <w:rPr>
          <w:rFonts w:ascii="Arial" w:eastAsia="Calibri" w:hAnsi="Arial" w:cs="Arial"/>
          <w:sz w:val="24"/>
          <w:szCs w:val="24"/>
          <w:lang w:val="es-ES" w:eastAsia="es-ES"/>
        </w:rPr>
        <w:t xml:space="preserve">Según  </w:t>
      </w:r>
      <w:r>
        <w:rPr>
          <w:rFonts w:ascii="Arial" w:eastAsia="Calibri" w:hAnsi="Arial" w:cs="Arial"/>
          <w:sz w:val="24"/>
          <w:szCs w:val="24"/>
          <w:lang w:val="es-ES" w:eastAsia="es-ES"/>
        </w:rPr>
        <w:fldChar w:fldCharType="begin"/>
      </w:r>
      <w:r>
        <w:rPr>
          <w:rFonts w:ascii="Arial" w:eastAsia="Calibri" w:hAnsi="Arial" w:cs="Arial"/>
          <w:sz w:val="24"/>
          <w:szCs w:val="24"/>
          <w:lang w:val="es-ES" w:eastAsia="es-ES"/>
        </w:rPr>
        <w:instrText xml:space="preserve"> ADDIN ZOTERO_ITEM CSL_CITATION {"citationID":"ORXZ6gzL","properties":{"custom":"(DSSAT.Net - Official Home of the DSSAT Cropping Systems Model, 2023)","formattedCitation":"(DSSAT.Net - Official Home of the DSSAT Cropping Systems Model, 2023)","plainCitation":"(DSSAT.Net - Official Home of the DSSAT Cropping Systems Model, 2023)","noteIndex":0},"citationItems":[{"id":999,"uris":["http://zotero.org/users/12642312/items/HM7PECNK"],"itemData":{"id":999,"type":"webpage","abstract":"Official Home of the DSSAT Cropping Systems Model","container-title":"DSSAT.net","title":"DSSAT.net - Official Home of the DSSAT Cropping Systems Model","URL":"https://dssat.net/","accessed":{"date-parts":[["2025",3,26]]},"issued":{"date-parts":[["2023"]]}}}],"schema":"https://github.com/citation-style-language/schema/raw/master/csl-citation.json"} </w:instrText>
      </w:r>
      <w:r>
        <w:rPr>
          <w:rFonts w:ascii="Arial" w:eastAsia="Calibri" w:hAnsi="Arial" w:cs="Arial"/>
          <w:sz w:val="24"/>
          <w:szCs w:val="24"/>
          <w:lang w:val="es-ES" w:eastAsia="es-ES"/>
        </w:rPr>
        <w:fldChar w:fldCharType="separate"/>
      </w:r>
      <w:r>
        <w:rPr>
          <w:rFonts w:ascii="Arial" w:hAnsi="Arial" w:cs="Arial"/>
          <w:sz w:val="24"/>
          <w:lang w:val="es-ES"/>
        </w:rPr>
        <w:t>(DSSAT.Net - Official Home of the DSSAT Cropping Systems Model, 2023)</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se ha adoptado por más de 1500 investigadores en 91 países. </w:t>
      </w:r>
    </w:p>
    <w:p w14:paraId="3E8E6C03" w14:textId="7D17E0F0"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hAnsi="Arial" w:cs="Arial"/>
          <w:sz w:val="24"/>
          <w:szCs w:val="24"/>
          <w:lang w:val="es-ES"/>
        </w:rPr>
      </w:pPr>
      <w:r>
        <w:rPr>
          <w:rFonts w:ascii="Arial" w:hAnsi="Arial" w:cs="Arial"/>
          <w:sz w:val="24"/>
          <w:szCs w:val="24"/>
          <w:lang w:val="es-ES"/>
        </w:rPr>
        <w:t xml:space="preserve">DSSAT consta </w:t>
      </w:r>
      <w:r>
        <w:rPr>
          <w:rStyle w:val="A5"/>
          <w:rFonts w:ascii="Arial" w:hAnsi="Arial" w:cs="Arial"/>
          <w:sz w:val="24"/>
          <w:szCs w:val="24"/>
          <w:lang w:val="es-ES"/>
        </w:rPr>
        <w:t>de seis subprogramas</w:t>
      </w:r>
      <w:r>
        <w:rPr>
          <w:rFonts w:ascii="Arial" w:hAnsi="Arial" w:cs="Arial"/>
          <w:sz w:val="24"/>
          <w:szCs w:val="24"/>
          <w:lang w:val="es-ES"/>
        </w:rPr>
        <w:t xml:space="preserve"> y 28 modelos específicos de cultivos desarrollados individualmente bajo una plataforma que incluye cereales, legumbres, hortalizas, fibra, raíces, aceite, forrajes, entre otros </w:t>
      </w:r>
      <w:r>
        <w:rPr>
          <w:rFonts w:ascii="Arial" w:hAnsi="Arial" w:cs="Arial"/>
          <w:sz w:val="24"/>
          <w:szCs w:val="24"/>
          <w:lang w:val="es-ES"/>
        </w:rPr>
        <w:fldChar w:fldCharType="begin"/>
      </w:r>
      <w:r w:rsidR="00B1127C">
        <w:rPr>
          <w:rFonts w:ascii="Arial" w:hAnsi="Arial" w:cs="Arial"/>
          <w:sz w:val="24"/>
          <w:szCs w:val="24"/>
          <w:lang w:val="es-ES"/>
        </w:rPr>
        <w:instrText xml:space="preserve"> ADDIN ZOTERO_ITEM CSL_CITATION {"citationID":"m1mhlpJb","properties":{"custom":"(Jones {\\i{}et al}., 2003; Ayankojo &amp; Morgan, 2020)","unsorted":true,"formattedCitation":"(Jones {\\i{}et al}., 2003; Ayankojo &amp; Morgan, 2020)","plainCitation":"(Jones et al., 2003; Ayankojo &amp; Morgan, 2020)","noteIndex":0},"citationItems":[{"id":297,"uris":["http://zotero.org/users/12642312/items/MCNDK7J9"],"itemData":{"id":297,"type":"article-journal","abstract":"The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model","URL":"https://www.sciencedirect.com/science/article/pii/S1161030102001077","volume":"18","author":[{"family":"Jones","given":"J. W"},{"family":"Hoogenboom","given":"G"},{"family":"Porter","given":"C. H"},{"family":"Boote","given":"K. J"},{"family":"Batchelor","given":"W. D"},{"family":"Hunt","given":"L. A"},{"family":"Wilkens","given":"P. W"},{"family":"Singh","given":"U"},{"family":"Gijsman","given":"A. J"},{"family":"Ritchie","given":"J. T"}],"accessed":{"date-parts":[["2023",12,18]]},"issued":{"date-parts":[["2003",1,1]]}},"label":"page"},{"id":645,"uris":["http://zotero.org/users/12642312/items/YP76YLUU"],"itemData":{"id":645,"type":"article-journal","abstract":"Florida ranks ﬁrst among US states in fresh-market tomato production with annual production exceeding one-third of the total annual production in the country. Although tomato is a signature crop in Florida, current and future ambient temperatures could impose a major production challenge, especially during the fall growing season. This problem is increasingly becoming an important concern among tomato growers in south Florida, but studies addressing these concerns have not been conducted until now. Therefore, this study was conducted to determine the impacts of the present ambient temperature conditions and planting dates on tomato productivity in south Florida. The study was conducted using crop simulation model CROPGRO-Tomato of DSSAT (Decision Support System for Agricultural Transfer) version 4.7. Five treatments were evaluated, and included AT (simulated treatment using 14 years of actual daily weather conditions at the study location) while other treatments were conducted based on a percentage (−20%, −10%, +10%, +20%) of AT to simulate cooler and warmer temperature regimes. The results suggested that under the current temperature conditions during the fall growing season in south Florida, average tomato yield was up to 29% lower compared to the cooler temperature regimes. Tomato yield further decreased by 52% to 85% at air temperatures above the current condition. Yield reduction under high temperature was primarily due to lower fruit production. Contrary to yield, both tomato biomass accumulation and leaf area index increased with increase in temperature. Results also indicated that due to changes in air temperature pattern, tomato yield increased as planting date increased from July to December. Therefore, planting date modiﬁcation during the fall season from the current July–September to dates between November and December will reduce the impacts of heat stress and increase tomato productivity in south Florida.","container-title":"Plants","DOI":"10.3390/plants9091245","ISSN":"2223-7747","issue":"9","journalAbbreviation":"Plants","language":"en","license":"https://creativecommons.org/licenses/by/4.0/","page":"1245","source":"DOI.org (Crossref)","title":"Increasing Air Temperatures and Its Effects on Growth and Productivity of Tomato in South Florida","URL":"https://www.mdpi.com/2223-7747/9/9/1245","volume":"9","author":[{"family":"Ayankojo","given":"Ibukun T."},{"family":"Morgan","given":"Kelly T."}],"accessed":{"date-parts":[["2025",3,12]]},"issued":{"date-parts":[["2020",9,21]]}},"label":"page"}],"schema":"https://github.com/citation-style-language/schema/raw/master/csl-citation.json"} </w:instrText>
      </w:r>
      <w:r>
        <w:rPr>
          <w:rFonts w:ascii="Arial" w:hAnsi="Arial" w:cs="Arial"/>
          <w:sz w:val="24"/>
          <w:szCs w:val="24"/>
          <w:lang w:val="es-ES"/>
        </w:rPr>
        <w:fldChar w:fldCharType="separate"/>
      </w:r>
      <w:r w:rsidR="00B1127C" w:rsidRPr="007A5005">
        <w:rPr>
          <w:rFonts w:ascii="Arial" w:hAnsi="Arial" w:cs="Arial"/>
          <w:sz w:val="24"/>
          <w:szCs w:val="24"/>
          <w:lang w:val="es-ES"/>
        </w:rPr>
        <w:t xml:space="preserve">(Jones </w:t>
      </w:r>
      <w:r w:rsidR="00B1127C" w:rsidRPr="007A5005">
        <w:rPr>
          <w:rFonts w:ascii="Arial" w:hAnsi="Arial" w:cs="Arial"/>
          <w:i/>
          <w:iCs/>
          <w:sz w:val="24"/>
          <w:szCs w:val="24"/>
          <w:lang w:val="es-ES"/>
        </w:rPr>
        <w:t>et al</w:t>
      </w:r>
      <w:r w:rsidR="00B1127C" w:rsidRPr="007A5005">
        <w:rPr>
          <w:rFonts w:ascii="Arial" w:hAnsi="Arial" w:cs="Arial"/>
          <w:sz w:val="24"/>
          <w:szCs w:val="24"/>
          <w:lang w:val="es-ES"/>
        </w:rPr>
        <w:t>., 2003; Ayankojo &amp; Morgan, 2020)</w:t>
      </w:r>
      <w:r>
        <w:rPr>
          <w:rFonts w:ascii="Arial" w:hAnsi="Arial" w:cs="Arial"/>
          <w:sz w:val="24"/>
          <w:szCs w:val="24"/>
          <w:lang w:val="es-ES"/>
        </w:rPr>
        <w:fldChar w:fldCharType="end"/>
      </w:r>
      <w:r>
        <w:rPr>
          <w:rFonts w:ascii="Arial" w:hAnsi="Arial" w:cs="Arial"/>
          <w:sz w:val="24"/>
          <w:szCs w:val="24"/>
          <w:lang w:val="es-ES"/>
        </w:rPr>
        <w:t xml:space="preserve">. </w:t>
      </w:r>
      <w:r>
        <w:rPr>
          <w:rFonts w:ascii="Arial" w:hAnsi="Arial" w:cs="Arial"/>
          <w:sz w:val="24"/>
          <w:szCs w:val="24"/>
          <w:lang w:val="es-US"/>
        </w:rPr>
        <w:t xml:space="preserve">La estructura modular del </w:t>
      </w:r>
      <w:r w:rsidR="0017567D">
        <w:rPr>
          <w:rFonts w:ascii="Arial" w:hAnsi="Arial" w:cs="Arial"/>
          <w:sz w:val="24"/>
          <w:szCs w:val="24"/>
          <w:lang w:val="es-US"/>
        </w:rPr>
        <w:t>s</w:t>
      </w:r>
      <w:r>
        <w:rPr>
          <w:rFonts w:ascii="Arial" w:hAnsi="Arial" w:cs="Arial"/>
          <w:sz w:val="24"/>
          <w:szCs w:val="24"/>
          <w:lang w:val="es-US"/>
        </w:rPr>
        <w:t xml:space="preserve">istema incluye el clima, el suelo, la interfaz suelo-planta-atmósfera y módulos de gestión que impulsan el módulo de crecimiento de plantas modelo del sistema de cultivo </w:t>
      </w:r>
      <w:r>
        <w:rPr>
          <w:rFonts w:ascii="Arial" w:hAnsi="Arial" w:cs="Arial"/>
          <w:sz w:val="24"/>
          <w:szCs w:val="24"/>
          <w:lang w:val="es-US"/>
        </w:rPr>
        <w:fldChar w:fldCharType="begin"/>
      </w:r>
      <w:r>
        <w:rPr>
          <w:rFonts w:ascii="Arial" w:hAnsi="Arial" w:cs="Arial"/>
          <w:sz w:val="24"/>
          <w:szCs w:val="24"/>
          <w:lang w:val="es-US"/>
        </w:rPr>
        <w:instrText xml:space="preserve"> ADDIN ZOTERO_ITEM CSL_CITATION {"citationID":"NtNWUn4i","properties":{"custom":"(Mubeen {\\i{}et al}., 2019)","formattedCitation":"(Mubeen {\\i{}et al}., 2019)","plainCitation":"(Mubeen et al., 2019)","noteIndex":0},"citationItems":[{"id":559,"uris":["http://zotero.org/users/12642312/items/B7U74CE5"],"itemData":{"id":559,"type":"article-journal","abstract":"Water is the most important limiting factor of cotton (Gossypium hirsutum L.) and wheat (Triticum aestivum L.) cropping systems in semi-arid conditions of Southern Punjab. A two-year field experiment (comprising of cotton-wheat cropping) was conducted in Vehari (Southern Punjab) to calibrate and validate a DSSAT model in the climatic conditions of 1 × CO2 concentration (conc.) (current). The model simulation during calibration was good with errors up to 4.7, 4.4, 10.1, 6.4 and −5.4% for days to anthesis, days to maturity, total dry matter, yield and HI, respectively for the cotton-wheat cropping system. During model validation, the error percentages were also under reasonable limits. So, the model was run under 2 × CO2 conc. (future) conditions and it showed a difference of −7.3 to 19.7% anthesis days, maturity days, total dry matter, grain yield, crop ET and WUEGY with respect to current CO2 concentration. Simulation by DSSAT showed that the cotton cultivar MNH-886 and wheat cultivar Lassani-2008 were better utilizers of limited water resources under changed climatic conditions in semi-arid conditions of Vehari, which was due to their better water use efficiency. Wheat and cotton cultivars with high water use efficiency would enable crop growth to maintain high crop yields under increased CO2 and its associated consequences in future.","container-title":"Journal of Water and Climate Change","DOI":"10.2166/wcc.2019.179","ISSN":"2040-2244","issue":"4","journalAbbreviation":"Journal of Water and Climate Change","note":"number: 4","page":"1661-1675","source":"Silverchair","title":"Evaluating the climate change impact on water use efficiency of cotton-wheat in semi-arid conditions using DSSAT model","URL":"https://doi.org/10.2166/wcc.2019.179","volume":"11","author":[{"family":"Mubeen","given":"Muhammad"},{"family":"Ahmad","given":"Ashfaq"},{"family":"Hammad","given":"Hafiz Mohkum"},{"family":"Awais","given":"Muhammad"},{"family":"Farid","given":"Hafiz Umar"},{"family":"Saleem","given":"Mazhar"},{"family":"Din","given":"Muhammad Sami","dropping-particle":"ul"},{"family":"Amin","given":"Asad"},{"family":"Ali","given":"Amjed"},{"family":"Fahad","given":"Shah"},{"family":"Nasim","given":"Wajid"}],"accessed":{"date-parts":[["2024",10,14]]},"issued":{"date-parts":[["2019",10,24]]}}}],"schema":"https://github.com/citation-style-language/schema/raw/master/csl-citation.json"} </w:instrText>
      </w:r>
      <w:r>
        <w:rPr>
          <w:rFonts w:ascii="Arial" w:hAnsi="Arial" w:cs="Arial"/>
          <w:sz w:val="24"/>
          <w:szCs w:val="24"/>
          <w:lang w:val="es-US"/>
        </w:rPr>
        <w:fldChar w:fldCharType="separate"/>
      </w:r>
      <w:r>
        <w:rPr>
          <w:rFonts w:ascii="Arial" w:hAnsi="Arial" w:cs="Arial"/>
          <w:sz w:val="24"/>
          <w:szCs w:val="24"/>
          <w:lang w:val="es-ES"/>
        </w:rPr>
        <w:t xml:space="preserve">(Mubeen </w:t>
      </w:r>
      <w:r>
        <w:rPr>
          <w:rFonts w:ascii="Arial" w:hAnsi="Arial" w:cs="Arial"/>
          <w:i/>
          <w:iCs/>
          <w:sz w:val="24"/>
          <w:szCs w:val="24"/>
          <w:lang w:val="es-ES"/>
        </w:rPr>
        <w:t>et al</w:t>
      </w:r>
      <w:r>
        <w:rPr>
          <w:rFonts w:ascii="Arial" w:hAnsi="Arial" w:cs="Arial"/>
          <w:sz w:val="24"/>
          <w:szCs w:val="24"/>
          <w:lang w:val="es-ES"/>
        </w:rPr>
        <w:t>., 2019)</w:t>
      </w:r>
      <w:r>
        <w:rPr>
          <w:rFonts w:ascii="Arial" w:hAnsi="Arial" w:cs="Arial"/>
          <w:sz w:val="24"/>
          <w:szCs w:val="24"/>
          <w:lang w:val="es-US"/>
        </w:rPr>
        <w:fldChar w:fldCharType="end"/>
      </w:r>
      <w:r>
        <w:rPr>
          <w:rFonts w:ascii="Arial" w:hAnsi="Arial" w:cs="Arial"/>
          <w:sz w:val="24"/>
          <w:szCs w:val="24"/>
          <w:lang w:val="es-US"/>
        </w:rPr>
        <w:t>.</w:t>
      </w:r>
      <w:r>
        <w:rPr>
          <w:rFonts w:ascii="Arial" w:hAnsi="Arial" w:cs="Arial"/>
          <w:sz w:val="24"/>
          <w:szCs w:val="24"/>
          <w:lang w:val="es-ES"/>
        </w:rPr>
        <w:t xml:space="preserve"> El DSSAT se ha aplicado para equilibrar la asignación de agua para riego y en la minimización de la contaminación, al tiempo que añade valor a la eficiencia en el uso de nutrientes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{"citationID":"8nJCVfcl","properties":{"custom":"(Ara {\\i{}et al}., 2021)","formattedCitation":"(Ara {\\i{}et al}., 2021)","plainCitation":"(Ara et al., 2021)","noteIndex":0},"citationItems":[{"id":847,"uris":["http://zotero.org/users/12642312/items/26FL5V4C"],"itemData":{"id":847,"type":"article-journal","abstract":"Decision support systems (DSS) have long been used in research, service provision and extension. Despite the diversity of technological applications in which past agricultural DSS canvass, there has been relatively little information on either the functional aspects of DSS designed for economic decisions in irrigated cropping, or the human and social factors influencing the adoption of knowledge from such DSS. The objectives of the study were to (1) review the functionality and target end-users of economic DSS for irrigated cropping systems, (2) document the extent to which these DSS account for and visualise uncertainty in DSS outputs, (3) examine tactical or strategic decisions able to be explored in DSS (with irrigation infrastructure being a key strategic decision), and (4) explore the human and social factors influencing adoption of DSS heuristics. This study showed that development of previous DSS has often occurred as a result of a technology push instead of end-user pull, which has meant that previous DSS have been generated in a top-down fashion rather than being demand-driven by end-user needs. We found that few DSS enable analysis of both tactical and strategic decisions, and that few DSS account for uncertainty in their outputs. We uncover a surprising lack of documented end-user feedback on economic DSS for irrigated cropping, such as end-user satisfaction with DSS functionality or future intentions to use the technology, as well as a lack of DSS application outside regions in which they were originally developed. Declining adoption of DSS does not necessarily imply declining adoption of DSS heuristics; in fact, declining DSS uptake may indicate that knowledge and heuristics extended by the DSS has been successful, obviating the need for use of the DSS per se. Future DSS could be improved through the use of demand-driven participatory approaches more aligned with user needs, with more training to build human capacity including understanding uncertainty and ability to contrast tactical and strategic decisions using multiple economic, environmental and social metrics.","container-title":"Agricultural Water Management","DOI":"10.1016/j.agwat.2021.107161","ISSN":"0378-3774","journalAbbreviation":"Agricultural Water Management","page":"107161","source":"ScienceDirect","title":"Application, adoption and opportunities for improving decision support systems in irrigated agriculture: A review","title-short":"Application, adoption and opportunities for improving decision support systems in irrigated agriculture","URL":"https://www.sciencedirect.com/science/article/pii/S0378377421004388","volume":"257","author":[{"family":"Ara","given":"Iffat"},{"family":"Turner","given":"Lydia"},{"family":"Harrison","given":"Matthew Tom"},{"family":"Monjardino","given":"Marta"},{"family":"deVoil","given":"Peter"},{"family":"Rodriguez","given":"Daniel"}],"accessed":{"date-parts":[["2025",3,25]]},"issued":{"date-parts":[["2021",11,1]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(Ara </w:t>
      </w:r>
      <w:r>
        <w:rPr>
          <w:rFonts w:ascii="Arial" w:hAnsi="Arial" w:cs="Arial"/>
          <w:i/>
          <w:iCs/>
          <w:sz w:val="24"/>
          <w:szCs w:val="24"/>
          <w:lang w:val="es-ES"/>
        </w:rPr>
        <w:t>et al</w:t>
      </w:r>
      <w:r>
        <w:rPr>
          <w:rFonts w:ascii="Arial" w:hAnsi="Arial" w:cs="Arial"/>
          <w:sz w:val="24"/>
          <w:szCs w:val="24"/>
          <w:lang w:val="es-ES"/>
        </w:rPr>
        <w:t>., 2021)</w:t>
      </w:r>
      <w:r>
        <w:rPr>
          <w:rFonts w:ascii="Arial" w:hAnsi="Arial" w:cs="Arial"/>
          <w:sz w:val="24"/>
          <w:szCs w:val="24"/>
          <w:lang w:val="es-ES"/>
        </w:rPr>
        <w:fldChar w:fldCharType="end"/>
      </w:r>
      <w:r>
        <w:rPr>
          <w:rFonts w:ascii="Arial" w:hAnsi="Arial" w:cs="Arial"/>
          <w:sz w:val="24"/>
          <w:szCs w:val="24"/>
          <w:lang w:val="es-ES"/>
        </w:rPr>
        <w:t xml:space="preserve">. </w:t>
      </w:r>
    </w:p>
    <w:p w14:paraId="78D27E70" w14:textId="77777777"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hAnsi="Arial" w:cs="Arial"/>
          <w:sz w:val="24"/>
          <w:szCs w:val="24"/>
          <w:lang w:val="es-US"/>
        </w:rPr>
      </w:pPr>
      <w:r>
        <w:rPr>
          <w:rFonts w:ascii="Arial" w:eastAsia="Calibri" w:hAnsi="Arial" w:cs="Arial"/>
          <w:sz w:val="24"/>
          <w:szCs w:val="24"/>
          <w:lang w:val="es-ES" w:eastAsia="es-ES"/>
        </w:rPr>
        <w:t xml:space="preserve">Es un modelo comercial en el cual se integran modelos específicos desarrollados independientemente para cada uno de los cultivos disponibles. Además, incluye herramientas y programas de utilidad para el manejo de suelos, recursos hídricos, clima, coeficientes genéticos, datos de cultivos y plagas. Es posible abordar el análisis de monocultivos en los cuales se pueden simular condiciones de rotación, interacciones con factores bióticos y abióticos, entre otros </w:t>
      </w:r>
      <w:r>
        <w:rPr>
          <w:rFonts w:ascii="Arial" w:eastAsia="Calibri" w:hAnsi="Arial" w:cs="Arial"/>
          <w:sz w:val="24"/>
          <w:szCs w:val="24"/>
          <w:lang w:val="es-ES" w:eastAsia="es-ES"/>
        </w:rPr>
        <w:fldChar w:fldCharType="begin"/>
      </w:r>
      <w:r>
        <w:rPr>
          <w:rFonts w:ascii="Arial" w:eastAsia="Calibri" w:hAnsi="Arial" w:cs="Arial"/>
          <w:sz w:val="24"/>
          <w:szCs w:val="24"/>
          <w:lang w:val="es-ES" w:eastAsia="es-ES"/>
        </w:rPr>
        <w:instrText xml:space="preserve"> ADDIN ZOTERO_ITEM CSL_CITATION {"citationID":"KZxkc8xN","properties":{"custom":"(Jones {\\i{}et al}., 2003; Mubeen {\\i{}et al}., 2019; Pierre {\\i{}et al}., 2023)","formattedCitation":"(Jones {\\i{}et al}., 2003; Mubeen {\\i{}et al}., 2019; Pierre {\\i{}et al}., 2023)","plainCitation":"(Jones et al., 2003; Mubeen et al., 2019; Pierre et al., 2023)","noteIndex":0},"citationItems":[{"id":297,"uris":["http://zotero.org/users/12642312/items/MCNDK7J9"],"itemData":{"id":297,"type":"article-journal","abstract":"The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model","URL":"https://www.sciencedirect.com/science/article/pii/S1161030102001077","volume":"18","author":[{"family":"Jones","given":"J. W"},{"family":"Hoogenboom","given":"G"},{"family":"Porter","given":"C. H"},{"family":"Boote","given":"K. J"},{"family":"Batchelor","given":"W. D"},{"family":"Hunt","given":"L. A"},{"family":"Wilkens","given":"P. W"},{"family":"Singh","given":"U"},{"family":"Gijsman","given":"A. J"},{"family":"Ritchie","given":"J. T"}],"accessed":{"date-parts":[["2023",12,18]]},"issued":{"date-parts":[["2003",1,1]]}},"label":"page"},{"id":559,"uris":["http://zotero.org/users/12642312/items/B7U74CE5"],"itemData":{"id":559,"type":"article-journal","abstract":"Water is the most important limiting factor of cotton (Gossypium hirsutum L.) and wheat (Triticum aestivum L.) cropping systems in semi-arid conditions of Southern Punjab. A two-year field experiment (comprising of cotton-wheat cropping) was conducted in Vehari (Southern Punjab) to calibrate and validate a DSSAT model in the climatic conditions of 1 × CO2 concentration (conc.) (current). The model simulation during calibration was good with errors up to 4.7, 4.4, 10.1, 6.4 and −5.4% for days to anthesis, days to maturity, total dry matter, yield and HI, respectively for the cotton-wheat cropping system. During model validation, the error percentages were also under reasonable limits. So, the model was run under 2 × CO2 conc. (future) conditions and it showed a difference of −7.3 to 19.7% anthesis days, maturity days, total dry matter, grain yield, crop ET and WUEGY with respect to current CO2 concentration. Simulation by DSSAT showed that the cotton cultivar MNH-886 and wheat cultivar Lassani-2008 were better utilizers of limited water resources under changed climatic conditions in semi-arid conditions of Vehari, which was due to their better water use efficiency. Wheat and cotton cultivars with high water use efficiency would enable crop growth to maintain high crop yields under increased CO2 and its associated consequences in future.","container-title":"Journal of Water and Climate Change","DOI":"10.2166/wcc.2019.179","ISSN":"2040-2244","issue":"4","journalAbbreviation":"Journal of Water and Climate Change","note":"number: 4","page":"1661-1675","source":"Silverchair","title":"Evaluating the climate change impact on water use efficiency of cotton-wheat in semi-arid conditions using DSSAT model","URL":"https://doi.org/10.2166/wcc.2019.179","volume":"11","author":[{"family":"Mubeen","given":"Muhammad"},{"family":"Ahmad","given":"Ashfaq"},{"family":"Hammad","given":"Hafiz Mohkum"},{"family":"Awais","given":"Muhammad"},{"family":"Farid","given":"Hafiz Umar"},{"family":"Saleem","given":"Mazhar"},{"family":"Din","given":"Muhammad Sami","dropping-particle":"ul"},{"family":"Amin","given":"Asad"},{"family":"Ali","given":"Amjed"},{"family":"Fahad","given":"Shah"},{"family":"Nasim","given":"Wajid"}],"accessed":{"date-parts":[["2024",10,14]]},"issued":{"date-parts":[["2019",10,24]]}},"label":"page"},{"id":641,"uris":["http://zotero.org/users/12642312/items/HSN3UR9Y"],"itemData":{"id":641,"type":"article-journal","abstract":"Intercropping is extensively used to increase land productivity and agricultural beneﬁts. In developing countries, intercropping has historically been one of the most widely used cropping systems. Crop models have been used to assess risk productivity over time and space, particularly in monocropping systems. Crop models, such as the Decision Support System for Agrotechnology Transfer (DSSAT), have been widely used to improve crop growth, development, and yield predictions; however, this model has some limitations when assessing interspeciﬁc competition in intercropping systems (e.g., it does not have a subroutine capable of running two crops simultaneously). Therefore, in this study, we developed a new approach to allow DSSAT to run two crop species in intercropping systems. A light interception algorithm and modiﬁed source code were integrated into the DSSAT to simulate the relay-strip intercropping system. The intercrop model developed in this study is the ﬁrst intercrop model for DSSAT. This model is generic and can be employed to build other cereal–legume intercrop models for DSSAT Version 4.8. Regarding risk assessment of crop production, the model can evaluate long-term cereal–legume intercrop yields in low-input cropping systems. Therefore, before ofﬁcially launching the new model in DSSAT, more ﬁeld trials are recommended to rigorously evaluate and improve the model with data from different environments. The intercrop model developed in this study is simple, so this modeling approach can be employed to develop other cereal–noncereal intercrop models.","container-title":"Agriculture","DOI":"10.3390/agriculture13040845","ISSN":"2077-0472","issue":"4","journalAbbreviation":"Agriculture","language":"en","license":"https://creativecommons.org/licenses/by/4.0/","page":"845","source":"DOI.org (Crossref)","title":"Development of a Cereal–Legume Intercrop Model for DSSAT Version 4.8","URL":"https://www.mdpi.com/2077-0472/13/4/845","volume":"13","author":[{"family":"Pierre","given":"Jacques Fils"},{"family":"Singh","given":"Upendra"},{"family":"Ruiz-Sánchez","given":"Esaú"},{"family":"Pavan","given":"Willingthon"}],"accessed":{"date-parts":[["2025",3,12]]},"issued":{"date-parts":[["2023",4,10]]}},"label":"page"}],"schema":"https://github.com/citation-style-language/schema/raw/master/csl-citation.json"} </w:instrText>
      </w:r>
      <w:r>
        <w:rPr>
          <w:rFonts w:ascii="Arial" w:eastAsia="Calibri" w:hAnsi="Arial" w:cs="Arial"/>
          <w:sz w:val="24"/>
          <w:szCs w:val="24"/>
          <w:lang w:val="es-ES" w:eastAsia="es-ES"/>
        </w:rPr>
        <w:fldChar w:fldCharType="separate"/>
      </w:r>
      <w:r>
        <w:rPr>
          <w:rFonts w:ascii="Arial" w:hAnsi="Arial" w:cs="Arial"/>
          <w:sz w:val="24"/>
          <w:szCs w:val="24"/>
          <w:lang w:val="es-ES"/>
        </w:rPr>
        <w:t xml:space="preserve">(Jones </w:t>
      </w:r>
      <w:r>
        <w:rPr>
          <w:rFonts w:ascii="Arial" w:hAnsi="Arial" w:cs="Arial"/>
          <w:i/>
          <w:iCs/>
          <w:sz w:val="24"/>
          <w:szCs w:val="24"/>
          <w:lang w:val="es-ES"/>
        </w:rPr>
        <w:t>et al</w:t>
      </w:r>
      <w:r>
        <w:rPr>
          <w:rFonts w:ascii="Arial" w:hAnsi="Arial" w:cs="Arial"/>
          <w:sz w:val="24"/>
          <w:szCs w:val="24"/>
          <w:lang w:val="es-ES"/>
        </w:rPr>
        <w:t xml:space="preserve">., 2003; Mubeen </w:t>
      </w:r>
      <w:r>
        <w:rPr>
          <w:rFonts w:ascii="Arial" w:hAnsi="Arial" w:cs="Arial"/>
          <w:i/>
          <w:iCs/>
          <w:sz w:val="24"/>
          <w:szCs w:val="24"/>
          <w:lang w:val="es-ES"/>
        </w:rPr>
        <w:t>et al</w:t>
      </w:r>
      <w:r>
        <w:rPr>
          <w:rFonts w:ascii="Arial" w:hAnsi="Arial" w:cs="Arial"/>
          <w:sz w:val="24"/>
          <w:szCs w:val="24"/>
          <w:lang w:val="es-ES"/>
        </w:rPr>
        <w:t xml:space="preserve">., 2019; Pierre </w:t>
      </w:r>
      <w:r>
        <w:rPr>
          <w:rFonts w:ascii="Arial" w:hAnsi="Arial" w:cs="Arial"/>
          <w:i/>
          <w:iCs/>
          <w:sz w:val="24"/>
          <w:szCs w:val="24"/>
          <w:lang w:val="es-ES"/>
        </w:rPr>
        <w:t>et al</w:t>
      </w:r>
      <w:r>
        <w:rPr>
          <w:rFonts w:ascii="Arial" w:hAnsi="Arial" w:cs="Arial"/>
          <w:sz w:val="24"/>
          <w:szCs w:val="24"/>
          <w:lang w:val="es-ES"/>
        </w:rPr>
        <w:t>., 2023)</w:t>
      </w:r>
      <w:r>
        <w:rPr>
          <w:rFonts w:ascii="Arial" w:eastAsia="Calibri" w:hAnsi="Arial" w:cs="Arial"/>
          <w:sz w:val="24"/>
          <w:szCs w:val="24"/>
          <w:lang w:val="es-ES" w:eastAsia="es-ES"/>
        </w:rPr>
        <w:fldChar w:fldCharType="end"/>
      </w:r>
      <w:r>
        <w:rPr>
          <w:rFonts w:ascii="Arial" w:eastAsia="Calibri" w:hAnsi="Arial" w:cs="Arial"/>
          <w:sz w:val="24"/>
          <w:szCs w:val="24"/>
          <w:lang w:val="es-ES" w:eastAsia="es-ES"/>
        </w:rPr>
        <w:t xml:space="preserve">. </w:t>
      </w:r>
    </w:p>
    <w:p w14:paraId="3E49763D" w14:textId="5BFDC2B5" w:rsidR="008403BD" w:rsidRDefault="007D49D9">
      <w:p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ES"/>
        </w:rPr>
        <w:t xml:space="preserve">La capacidad de DSSAT para evaluar opciones de gestión y genéticas es una poderosa herramienta para estudiar los impactos del cambio climático y evaluar estrategias de adaptación útiles para reducir los efectos potencialmente negativos de la variabilidad climática, como la fecha de siembra, el espaciado entre hileras, la </w:t>
      </w:r>
      <w:r>
        <w:rPr>
          <w:rFonts w:ascii="Arial" w:hAnsi="Arial" w:cs="Arial"/>
          <w:sz w:val="24"/>
          <w:szCs w:val="24"/>
          <w:lang w:val="es-ES"/>
        </w:rPr>
        <w:lastRenderedPageBreak/>
        <w:t xml:space="preserve">densidad de </w:t>
      </w:r>
      <w:r w:rsidR="00B75AD9">
        <w:rPr>
          <w:rFonts w:ascii="Arial" w:hAnsi="Arial" w:cs="Arial"/>
          <w:sz w:val="24"/>
          <w:szCs w:val="24"/>
          <w:lang w:val="es-ES"/>
        </w:rPr>
        <w:t>siembra</w:t>
      </w:r>
      <w:r>
        <w:rPr>
          <w:rFonts w:ascii="Arial" w:hAnsi="Arial" w:cs="Arial"/>
          <w:sz w:val="24"/>
          <w:szCs w:val="24"/>
          <w:lang w:val="es-ES"/>
        </w:rPr>
        <w:t xml:space="preserve">, el riego y la fertilización. En los últimos años se ha utilizado con éxito en todo el mundo en numerosas aplicaciones, como el cambio climático, la agricultura de precisión y la gestión de cultivos, como la fertilización nitrogenada, el riego y la fecha de siembra </w:t>
      </w:r>
      <w:r>
        <w:rPr>
          <w:rFonts w:ascii="Arial" w:hAnsi="Arial" w:cs="Arial"/>
          <w:sz w:val="24"/>
          <w:szCs w:val="24"/>
          <w:lang w:val="es-ES"/>
        </w:rPr>
        <w:fldChar w:fldCharType="begin"/>
      </w:r>
      <w:r w:rsidR="0073674E">
        <w:rPr>
          <w:rFonts w:ascii="Arial" w:hAnsi="Arial" w:cs="Arial"/>
          <w:sz w:val="24"/>
          <w:szCs w:val="24"/>
          <w:lang w:val="es-ES"/>
        </w:rPr>
        <w:instrText xml:space="preserve"> ADDIN ZOTERO_ITEM CSL_CITATION {"citationID":"zSJdHlXt","properties":{"custom":"(Ventrella, {\\i{}et al}., 2012; Corbeels {\\i{}et al}., 2016; Ayankojo &amp; Morgan, 2020; Ge {\\i{}et al}., 2023)","unsorted":true,"formattedCitation":"(Ventrella, {\\i{}et al}., 2012; Corbeels {\\i{}et al}., 2016; Ayankojo &amp; Morgan, 2020; Ge {\\i{}et al}., 2023)","plainCitation":"(Ventrella, et al., 2012; Corbeels et al., 2016; Ayankojo &amp; Morgan, 2020; Ge et al., 2023)","noteIndex":0},"citationItems":[{"id":640,"uris":["http://zotero.org/users/12642312/items/VLD4ER7M"],"itemData":{"id":640,"type":"article-journal","abstract":"Many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id":517,"uris":["http://zotero.org/users/12642312/items/UMRGQEUB"],"itemData":{"id":517,"type":"article-journal","abstract":"With the practice of conservation agriculture (CA) soil water and nutrient dynamics are modified by the presence of a mulch of crop residues and by reduced or no-tillage. These alterations may have impacts on crop yields. The crop growth model DSSAT (Decision Support Systems for Agrotechnology Transfer) has recently been modified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first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influential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site-specific, factors that are not modeled by DSSAT, such as plough pan formation under CP or improved soil structure under CA, may need to be considered in the model parameterization to reproduce the observed crop yield effects of CA versus CP.","container-title":"European Journal of Agronomy","DOI":"10.1016/j.eja.2016.02.001","ISSN":"1161-0301","journalAbbreviation":"European Journal of Agronomy","page":"41-53","source":"ScienceDirect","title":"Performance and sensitivity of the DSSAT crop growth model in simulating maize yield under conservation agriculture","URL":"https://www.sciencedirect.com/science/article/pii/S1161030116300296","volume":"76","author":[{"family":"Corbeels","given":"Marc"},{"family":"Chirat","given":"Guillaume"},{"family":"Messad","given":"Samir"},{"family":"Thierfelder","given":"Christian"}],"accessed":{"date-parts":[["2024",10,14]]},"issued":{"date-parts":[["2016",5,1]]}},"label":"page"},{"id":645,"uris":["http://zotero.org/users/12642312/items/YP76YLUU"],"itemData":{"id":645,"type":"article-journal","abstract":"Florida ranks ﬁrst among US states in fresh-market tomato production with annual production exceeding one-third of the total annual production in the country. Although tomato is a signature crop in Florida, current and future ambient temperatures could impose a major production challenge, especially during the fall growing season. This problem is increasingly becoming an important concern among tomato growers in south Florida, but studies addressing these concerns have not been conducted until now. Therefore, this study was conducted to determine the impacts of the present ambient temperature conditions and planting dates on tomato productivity in south Florida. The study was conducted using crop simulation model CROPGRO-Tomato of DSSAT (Decision Support System for Agricultural Transfer) version 4.7. Five treatments were evaluated, and included AT (simulated treatment using 14 years of actual daily weather conditions at the study location) while other treatments were conducted based on a percentage (−20%, −10%, +10%, +20%) of AT to simulate cooler and warmer temperature regimes. The results suggested that under the current temperature conditions during the fall growing season in south Florida, average tomato yield was up to 29% lower compared to the cooler temperature regimes. Tomato yield further decreased by 52% to 85% at air temperatures above the current condition. Yield reduction under high temperature was primarily due to lower fruit production. Contrary to yield, both tomato biomass accumulation and leaf area index increased with increase in temperature. Results also indicated that due to changes in air temperature pattern, tomato yield increased as planting date increased from July to December. Therefore, planting date modiﬁcation during the fall season from the current July–September to dates between November and December will reduce the impacts of heat stress and increase tomato productivity in south Florida.","container-title":"Plants","DOI":"10.3390/plants9091245","ISSN":"2223-7747","issue":"9","journalAbbreviation":"Plants","language":"en","license":"https://creativecommons.org/licenses/by/4.0/","page":"1245","source":"DOI.org (Crossref)","title":"Increasing Air Temperatures and Its Effects on Growth and Productivity of Tomato in South Florida","URL":"https://www.mdpi.com/2223-7747/9/9/1245","volume":"9","author":[{"family":"Ayankojo","given":"Ibukun T."},{"family":"Morgan","given":"Kelly T."}],"accessed":{"date-parts":[["2025",3,12]]},"issued":{"date-parts":[["2020",9,21]]}},"label":"page"},{"id":998,"uris":["http://zotero.org/users/12642312/items/7HYWWNQQ"],"itemData":{"id":998,"type":"article-journal","abstract":"The improvement of the simulation accuracy of crop models in different greenhouse environments would be better applied to the automation management of greenhouse cultivation. Tomatoes under drip irrigation in a greenhouse were taken as the research object, and the cumulative evaporation capacity (Ep) of the 20 cm standard evaporation dish was taken as the basis for irrigation. Three treatments were set up in the experiment: high water treatment without mulch (NM-0.9 Ep), high water treatment with mulch (M-0.9 Ep), and low water treatment with mulch (M-0.5 Ep). AquaCrop and DSSAT models were used to simulate the canopy coverage, soil water content, biomass, and yield of the tomatoes. Data from 2020 were used to correct the model, and simulation results from 2021 were analyzed in this paper. The results showed that: (1) Of the two crop models, the simulation accuracy of the greenhouse tomato canopy coverage kCC was higher, and the root mean square errors were less than 6.8% (AquaCrop model) and 8.5% (DSSAT model); (2) The AquaCrop model could accurately simulate soil water change under high water treatments, while the DSSAT model was more suitable for the conditions without mulch; (3) The relative error RE of simulated and observed values for biomass B, yield Y, and water use efﬁciency WUE in the AquaCrop model were less than 2.0%, 2.3%, and 9.0%, respectively, while those of the DSSAT model were less than 4.7%, 7.6%, and 10.4%, respectively; (4) Considering the simulation results of each index comprehensively, the AquaCrop model was superior to the DSSAT model; subsequently, the former was used to predict 16 different water and ﬁlm coating treatments (S1–S16). It was found that the greenhouse tomato yield and WUE were the highest under S7 (0.8 Ep), at 8.201 t/ha and 2.79 kg/m3, respectively.","container-title":"Plants","DOI":"10.3390/plants12223863","ISSN":"2223-7747","issue":"22","journalAbbreviation":"Plants","language":"en","license":"https://creativecommons.org/licenses/by/4.0/","page":"3863","source":"DOI.org (Crossref)","title":"Evaluation of Irrigation Modes for Greenhouse Drip Irrigation Tomatoes Based on AquaCrop and DSSAT Models","URL":"https://www.mdpi.com/2223-7747/12/22/3863","volume":"12","author":[{"family":"Ge","given":"Jiankun"},{"family":"Yu","given":"Zihui"},{"family":"Gong","given":"Xuewen"},{"family":"Ping","given":"Yinglu"},{"family":"Luo","given":"Jinyao"},{"family":"Li","given":"Yanbin"}],"accessed":{"date-parts":[["2025",3,26]]},"issued":{"date-parts":[["2023",11,15]]}},"label":"page"}],"schema":"https://github.com/citation-style-language/schema/raw/master/csl-citation.json"} </w:instrText>
      </w:r>
      <w:r>
        <w:rPr>
          <w:rFonts w:ascii="Arial" w:hAnsi="Arial" w:cs="Arial"/>
          <w:sz w:val="24"/>
          <w:szCs w:val="24"/>
          <w:lang w:val="es-ES"/>
        </w:rPr>
        <w:fldChar w:fldCharType="separate"/>
      </w:r>
      <w:r w:rsidR="0073674E" w:rsidRPr="0073674E">
        <w:rPr>
          <w:rFonts w:ascii="Arial" w:hAnsi="Arial" w:cs="Arial"/>
          <w:sz w:val="24"/>
          <w:szCs w:val="24"/>
          <w:lang w:val="es-ES"/>
        </w:rPr>
        <w:t xml:space="preserve">(Ventrella, </w:t>
      </w:r>
      <w:r w:rsidR="0073674E" w:rsidRPr="0073674E">
        <w:rPr>
          <w:rFonts w:ascii="Arial" w:hAnsi="Arial" w:cs="Arial"/>
          <w:i/>
          <w:iCs/>
          <w:sz w:val="24"/>
          <w:szCs w:val="24"/>
          <w:lang w:val="es-ES"/>
        </w:rPr>
        <w:t>et al</w:t>
      </w:r>
      <w:r w:rsidR="0073674E" w:rsidRPr="0073674E">
        <w:rPr>
          <w:rFonts w:ascii="Arial" w:hAnsi="Arial" w:cs="Arial"/>
          <w:sz w:val="24"/>
          <w:szCs w:val="24"/>
          <w:lang w:val="es-ES"/>
        </w:rPr>
        <w:t xml:space="preserve">., 2012; Corbeels </w:t>
      </w:r>
      <w:r w:rsidR="0073674E" w:rsidRPr="0073674E">
        <w:rPr>
          <w:rFonts w:ascii="Arial" w:hAnsi="Arial" w:cs="Arial"/>
          <w:i/>
          <w:iCs/>
          <w:sz w:val="24"/>
          <w:szCs w:val="24"/>
          <w:lang w:val="es-ES"/>
        </w:rPr>
        <w:t>et al</w:t>
      </w:r>
      <w:r w:rsidR="0073674E" w:rsidRPr="0073674E">
        <w:rPr>
          <w:rFonts w:ascii="Arial" w:hAnsi="Arial" w:cs="Arial"/>
          <w:sz w:val="24"/>
          <w:szCs w:val="24"/>
          <w:lang w:val="es-ES"/>
        </w:rPr>
        <w:t xml:space="preserve">., 2016; Ayankojo &amp; Morgan, 2020; Ge </w:t>
      </w:r>
      <w:r w:rsidR="0073674E" w:rsidRPr="0073674E">
        <w:rPr>
          <w:rFonts w:ascii="Arial" w:hAnsi="Arial" w:cs="Arial"/>
          <w:i/>
          <w:iCs/>
          <w:sz w:val="24"/>
          <w:szCs w:val="24"/>
          <w:lang w:val="es-ES"/>
        </w:rPr>
        <w:t>et al</w:t>
      </w:r>
      <w:r w:rsidR="0073674E" w:rsidRPr="0073674E">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 xml:space="preserve">. </w:t>
      </w:r>
    </w:p>
    <w:p w14:paraId="2349DD33" w14:textId="16D8034E"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eastAsia="Times New Roman" w:hAnsi="Arial" w:cs="Arial"/>
          <w:sz w:val="24"/>
          <w:szCs w:val="24"/>
          <w:lang w:val="es-ES" w:eastAsia="es-ES"/>
        </w:rPr>
      </w:pPr>
      <w:r>
        <w:rPr>
          <w:rFonts w:ascii="Arial" w:hAnsi="Arial" w:cs="Arial"/>
          <w:sz w:val="24"/>
          <w:szCs w:val="24"/>
          <w:lang w:val="es-ES"/>
        </w:rPr>
        <w:t xml:space="preserve">El modelo DSSAT específico para el tomate es CROPGRO-Tomato. Este modelo es el más citado en la literatura científica en el cultivo y se ha utilizado ampliamente para simular las funciones de crecimiento del tomate y los parámetros de </w:t>
      </w:r>
      <w:r w:rsidRPr="004A656F">
        <w:rPr>
          <w:rFonts w:ascii="Arial" w:hAnsi="Arial" w:cs="Arial"/>
          <w:sz w:val="24"/>
          <w:szCs w:val="24"/>
          <w:lang w:val="es-ES"/>
        </w:rPr>
        <w:t>rendimiento en condiciones de campo</w:t>
      </w:r>
      <w:r w:rsidR="00B1127C" w:rsidRPr="004A656F">
        <w:rPr>
          <w:rFonts w:ascii="Arial" w:hAnsi="Arial" w:cs="Arial"/>
          <w:sz w:val="24"/>
          <w:szCs w:val="24"/>
          <w:lang w:val="es-ES"/>
        </w:rPr>
        <w:t xml:space="preserve"> a cielo</w:t>
      </w:r>
      <w:r w:rsidRPr="004A656F">
        <w:rPr>
          <w:rFonts w:ascii="Arial" w:hAnsi="Arial" w:cs="Arial"/>
          <w:sz w:val="24"/>
          <w:szCs w:val="24"/>
          <w:lang w:val="es-ES"/>
        </w:rPr>
        <w:t xml:space="preserve"> abierto</w:t>
      </w:r>
      <w:r>
        <w:rPr>
          <w:rFonts w:ascii="Arial" w:hAnsi="Arial" w:cs="Arial"/>
          <w:sz w:val="24"/>
          <w:szCs w:val="24"/>
          <w:lang w:val="es-ES"/>
        </w:rPr>
        <w:t xml:space="preserve">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{"citationID":"JK3A6tVB","properties":{"custom":"(Saqib {\\i{}et al}., 2020)","formattedCitation":"(Saqib {\\i{}et al}., 2020)","plainCitation":"(Saqib et al., 2020)","noteIndex":0},"citationItems":[{"id":846,"uris":["http://zotero.org/users/12642312/items/8AU6LV6P"],"itemData":{"id":846,"type":"article-journal","language":"en","source":"Zotero","title":"Integrating Novel Deep Neural Networks on the Analysis of Fractional Epidemiological Models in both Populations with Disease Infection","author":[{"family":"Saqib","given":"Sana Ullah"},{"family":"Anjum","given":"Muhammad Wajahat"},{"family":"Hasan","given":"Ali"},{"family":"Qasmi","given":"M Hakam Ali"}],"issued":{"date-parts":[["2020"]]}}}],"schema":"https://github.com/citation-style-language/schema/raw/master/csl-citation.json"}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(Saqib </w:t>
      </w:r>
      <w:r>
        <w:rPr>
          <w:rFonts w:ascii="Arial" w:hAnsi="Arial" w:cs="Arial"/>
          <w:i/>
          <w:iCs/>
          <w:sz w:val="24"/>
          <w:szCs w:val="24"/>
          <w:lang w:val="es-ES"/>
        </w:rPr>
        <w:t>et al</w:t>
      </w:r>
      <w:r>
        <w:rPr>
          <w:rFonts w:ascii="Arial" w:hAnsi="Arial" w:cs="Arial"/>
          <w:sz w:val="24"/>
          <w:szCs w:val="24"/>
          <w:lang w:val="es-ES"/>
        </w:rPr>
        <w:t>., 2020)</w:t>
      </w:r>
      <w:r>
        <w:rPr>
          <w:rFonts w:ascii="Arial" w:hAnsi="Arial" w:cs="Arial"/>
          <w:sz w:val="24"/>
          <w:szCs w:val="24"/>
          <w:lang w:val="es-ES"/>
        </w:rPr>
        <w:fldChar w:fldCharType="end"/>
      </w:r>
      <w:r>
        <w:rPr>
          <w:rFonts w:ascii="Arial" w:hAnsi="Arial" w:cs="Arial"/>
          <w:sz w:val="24"/>
          <w:szCs w:val="24"/>
          <w:lang w:val="es-ES"/>
        </w:rPr>
        <w:t>. El CROPGRO-</w:t>
      </w:r>
      <w:r>
        <w:rPr>
          <w:rStyle w:val="A5"/>
          <w:rFonts w:ascii="Arial" w:hAnsi="Arial" w:cs="Arial"/>
          <w:sz w:val="24"/>
          <w:szCs w:val="24"/>
          <w:lang w:val="es-ES"/>
        </w:rPr>
        <w:t xml:space="preserve">Tomato </w:t>
      </w:r>
      <w:r>
        <w:rPr>
          <w:rFonts w:ascii="Arial" w:hAnsi="Arial" w:cs="Arial"/>
          <w:sz w:val="24"/>
          <w:szCs w:val="24"/>
          <w:lang w:val="es-ES"/>
        </w:rPr>
        <w:t xml:space="preserve">se utiliza ampliamente en regiones tropicales y templadas por su precisión en la simulación de la producción cuando se compara con datos reales de campo e invernaderos </w:t>
      </w:r>
      <w:r>
        <w:rPr>
          <w:rFonts w:ascii="Arial" w:hAnsi="Arial" w:cs="Arial"/>
          <w:sz w:val="24"/>
          <w:szCs w:val="24"/>
          <w:lang w:val="es-ES"/>
        </w:rPr>
        <w:fldChar w:fldCharType="begin"/>
      </w:r>
      <w:r w:rsidR="0073674E">
        <w:rPr>
          <w:rFonts w:ascii="Arial" w:hAnsi="Arial" w:cs="Arial"/>
          <w:sz w:val="24"/>
          <w:szCs w:val="24"/>
          <w:lang w:val="es-ES"/>
        </w:rPr>
        <w:instrText xml:space="preserve"> ADDIN ZOTERO_ITEM CSL_CITATION {"citationID":"EY3mFIgp","properties":{"custom":"(Jones {\\i{}et al}., 2003; Ventrella, {\\i{}et al}., 2012; Fink {\\i{}et al}., 2023)","unsorted":true,"formattedCitation":"(Jones {\\i{}et al}., 2003; Ventrella, {\\i{}et al}., 2012; Fink {\\i{}et al}., 2023)","plainCitation":"(Jones et al., 2003; Ventrella, et al., 2012; Fink et al., 2023)","noteIndex":0},"citationItems":[{"id":297,"uris":["http://zotero.org/users/12642312/items/MCNDK7J9"],"itemData":{"id":297,"type":"article-journal","abstract":"The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model","URL":"https://www.sciencedirect.com/science/article/pii/S1161030102001077","volume":"18","author":[{"family":"Jones","given":"J. W"},{"family":"Hoogenboom","given":"G"},{"family":"Porter","given":"C. H"},{"family":"Boote","given":"K. J"},{"family":"Batchelor","given":"W. D"},{"family":"Hunt","given":"L. A"},{"family":"Wilkens","given":"P. W"},{"family":"Singh","given":"U"},{"family":"Gijsman","given":"A. J"},{"family":"Ritchie","given":"J. T"}],"accessed":{"date-parts":[["2023",12,18]]},"issued":{"date-parts":[["2003",1,1]]}},"label":"page"},{"id":712,"uris":["http://zotero.org/users/12642312/items/MYSPD4QZ"],"itemData":{"id":712,"type":"article-journal","container-title":"Regional Environmental Change","DOI":"10.1007/s10113-011-0256-3","ISSN":"1436-3798, 1436-378X","issue":"3","journalAbbreviation":"Reg Environ Change","language":"en","license":"http://www.springer.com/tdm","page":"407-419","source":"DOI.org (Crossref)","title":"Agronomic adaptation strategies under climate change for winter durum wheat and tomato in southern Italy: irrigation and nitrogen fertilization","title-short":"Agronomic adaptation strategies under climate change for winter durum wheat and tomato in southern Italy","URL":"http://link.springer.com/10.1007/s10113-011-0256-3","volume":"12","author":[{"family":"Ventrella","given":"Domenico"},{"family":"Charfeddine","given":"Monia"},{"family":"Moriondo","given":"Marco"},{"family":"Rinaldi","given":"Michele"},{"family":"Bindi","given":"Marco"}],"accessed":{"date-parts":[["2025",3,12]]},"issued":{"date-parts":[["2012",9]]}},"label":"page"},{"id":636,"uris":["http://zotero.org/users/12642312/items/KKY4DBAD"],"itemData":{"id":636,"type":"article","abstract":"As global demand for efﬁciency in agriculture rises, there is a growing interest in high-precision farming practices. Particularly greenhouses play a critical role in ensuring a yearround supply of fresh produce. In order to maximize efﬁciency and productivity while minimizing resource use, mathematical techniques such as optimal control have been employed. However, selecting appropriate models for optimal control requires domain expertise. This study aims to compare three established tomato models for their suitability in an optimal control framework. Results show that all three models have similar yield predictions and accuracy, but only two models are currently applicable for optimal control due to implementation limitations. The two remaining models each have advantages in terms of economic yield and computation times, but the differences in optimal control strategies suggest that they require more accurate parameter identiﬁcation and calibration tailored to greenhouses.","DOI":"10.48550/arXiv.2308.06031","language":"en","note":"arXiv:2308.06031 [math]","number":"arXiv:2308.06031","publisher":"arXiv","source":"arXiv.org","title":"Comparison of Dynamic Tomato Growth Models for Optimal Control in Greenhouses","URL":"http://arxiv.org/abs/2308.06031","author":[{"family":"Fink","given":"Michael"},{"family":"Daniels","given":"Annalena"},{"family":"Qian","given":"Cheng"},{"family":"Velásquez","given":"Víctor Martínez"},{"family":"Salotra","given":"Sahil"},{"family":"Wollherr","given":"Dirk"}],"accessed":{"date-parts":[["2025",3,12]]},"issued":{"date-parts":[["2023",8,11]]}},"label":"page"}],"schema":"https://github.com/citation-style-language/schema/raw/master/csl-citation.json"} </w:instrText>
      </w:r>
      <w:r>
        <w:rPr>
          <w:rFonts w:ascii="Arial" w:hAnsi="Arial" w:cs="Arial"/>
          <w:sz w:val="24"/>
          <w:szCs w:val="24"/>
          <w:lang w:val="es-ES"/>
        </w:rPr>
        <w:fldChar w:fldCharType="separate"/>
      </w:r>
      <w:r w:rsidR="0073674E" w:rsidRPr="0073674E">
        <w:rPr>
          <w:rFonts w:ascii="Arial" w:hAnsi="Arial" w:cs="Arial"/>
          <w:sz w:val="24"/>
          <w:szCs w:val="24"/>
          <w:lang w:val="es-ES"/>
        </w:rPr>
        <w:t xml:space="preserve">(Jones </w:t>
      </w:r>
      <w:r w:rsidR="0073674E" w:rsidRPr="0073674E">
        <w:rPr>
          <w:rFonts w:ascii="Arial" w:hAnsi="Arial" w:cs="Arial"/>
          <w:i/>
          <w:iCs/>
          <w:sz w:val="24"/>
          <w:szCs w:val="24"/>
          <w:lang w:val="es-ES"/>
        </w:rPr>
        <w:t>et al</w:t>
      </w:r>
      <w:r w:rsidR="0073674E" w:rsidRPr="0073674E">
        <w:rPr>
          <w:rFonts w:ascii="Arial" w:hAnsi="Arial" w:cs="Arial"/>
          <w:sz w:val="24"/>
          <w:szCs w:val="24"/>
          <w:lang w:val="es-ES"/>
        </w:rPr>
        <w:t xml:space="preserve">., 2003; Ventrella, </w:t>
      </w:r>
      <w:r w:rsidR="0073674E" w:rsidRPr="0073674E">
        <w:rPr>
          <w:rFonts w:ascii="Arial" w:hAnsi="Arial" w:cs="Arial"/>
          <w:i/>
          <w:iCs/>
          <w:sz w:val="24"/>
          <w:szCs w:val="24"/>
          <w:lang w:val="es-ES"/>
        </w:rPr>
        <w:t>et al</w:t>
      </w:r>
      <w:r w:rsidR="0073674E" w:rsidRPr="0073674E">
        <w:rPr>
          <w:rFonts w:ascii="Arial" w:hAnsi="Arial" w:cs="Arial"/>
          <w:sz w:val="24"/>
          <w:szCs w:val="24"/>
          <w:lang w:val="es-ES"/>
        </w:rPr>
        <w:t xml:space="preserve">., 2012; Fink </w:t>
      </w:r>
      <w:r w:rsidR="0073674E" w:rsidRPr="0073674E">
        <w:rPr>
          <w:rFonts w:ascii="Arial" w:hAnsi="Arial" w:cs="Arial"/>
          <w:i/>
          <w:iCs/>
          <w:sz w:val="24"/>
          <w:szCs w:val="24"/>
          <w:lang w:val="es-ES"/>
        </w:rPr>
        <w:t>et al</w:t>
      </w:r>
      <w:r w:rsidR="0073674E" w:rsidRPr="0073674E">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 xml:space="preserve">. </w:t>
      </w:r>
      <w:r>
        <w:rPr>
          <w:rFonts w:ascii="Arial" w:eastAsia="Times New Roman" w:hAnsi="Arial" w:cs="Arial"/>
          <w:sz w:val="24"/>
          <w:szCs w:val="24"/>
          <w:lang w:val="es-ES" w:eastAsia="es-ES"/>
        </w:rPr>
        <w:t xml:space="preserve">Este simula la </w:t>
      </w:r>
      <w:r>
        <w:rPr>
          <w:rStyle w:val="A5"/>
          <w:rFonts w:ascii="Arial" w:hAnsi="Arial" w:cs="Arial"/>
          <w:sz w:val="24"/>
          <w:szCs w:val="24"/>
          <w:lang w:val="es-ES"/>
        </w:rPr>
        <w:t>dinámica suelo-planta-atmósfera, el comportamiento del agua y la temperatura a escala de campo, el crecimiento, el desarrollo y el rendimiento de los cultivos; además se utiliza para</w:t>
      </w:r>
      <w:r>
        <w:rPr>
          <w:rFonts w:ascii="Arial" w:eastAsia="Times New Roman" w:hAnsi="Arial" w:cs="Arial"/>
          <w:sz w:val="24"/>
          <w:szCs w:val="24"/>
          <w:lang w:val="es-ES" w:eastAsia="es-ES"/>
        </w:rPr>
        <w:t xml:space="preserve"> evaluar el impacto del cambio climático en la agricultura y evaluar las opciones de adaptación </w:t>
      </w:r>
      <w:r>
        <w:rPr>
          <w:rFonts w:ascii="Arial" w:eastAsia="Times New Roman" w:hAnsi="Arial" w:cs="Arial"/>
          <w:sz w:val="24"/>
          <w:szCs w:val="24"/>
          <w:lang w:val="es-ES" w:eastAsia="es-ES"/>
        </w:rPr>
        <w:fldChar w:fldCharType="begin"/>
      </w:r>
      <w:r w:rsidR="0073674E">
        <w:rPr>
          <w:rFonts w:ascii="Arial" w:eastAsia="Times New Roman" w:hAnsi="Arial" w:cs="Arial"/>
          <w:sz w:val="24"/>
          <w:szCs w:val="24"/>
          <w:lang w:val="es-ES" w:eastAsia="es-ES"/>
        </w:rPr>
        <w:instrText xml:space="preserve"> ADDIN ZOTERO_ITEM CSL_CITATION {"citationID":"lzzYv2wl","properties":{"custom":"(Ayankojo &amp; Morgan, 2020; Abayechaw, 2021; Fink {\\i{}et al}., 2023; Ge {\\i{}et al}., 2023)","unsorted":true,"formattedCitation":"(Ayankojo &amp; Morgan, 2020; Abayechaw, 2021; Fink {\\i{}et al}., 2023; Ge {\\i{}et al}., 2023)","plainCitation":"(Ayankojo &amp; Morgan, 2020; Abayechaw, 2021; Fink et al., 2023; Ge et al., 2023)","noteIndex":0},"citationItems":[{"id":645,"uris":["http://zotero.org/users/12642312/items/YP76YLUU"],"itemData":{"id":645,"type":"article-journal","abstract":"Florida ranks ﬁrst among US states in fresh-market tomato production with annual production exceeding one-third of the total annual production in the country. Although tomato is a signature crop in Florida, current and future ambient temperatures could impose a major production challenge, especially during the fall growing season. This problem is increasingly becoming an important concern among tomato growers in south Florida, but studies addressing these concerns have not been conducted until now. Therefore, this study was conducted to determine the impacts of the present ambient temperature conditions and planting dates on tomato productivity in south Florida. The study was conducted using crop simulation model CROPGRO-Tomato of DSSAT (Decision Support System for Agricultural Transfer) version 4.7. Five treatments were evaluated, and included AT (simulated treatment using 14 years of actual daily weather conditions at the study location) while other treatments were conducted based on a percentage (−20%, −10%, +10%, +20%) of AT to simulate cooler and warmer temperature regimes. The results suggested that under the current temperature conditions during the fall growing season in south Florida, average tomato yield was up to 29% lower compared to the cooler temperature regimes. Tomato yield further decreased by 52% to 85% at air temperatures above the current condition. Yield reduction under high temperature was primarily due to lower fruit production. Contrary to yield, both tomato biomass accumulation and leaf area index increased with increase in temperature. Results also indicated that due to changes in air temperature pattern, tomato yield increased as planting date increased from July to December. Therefore, planting date modiﬁcation during the fall season from the current July–September to dates between November and December will reduce the impacts of heat stress and increase tomato productivity in south Florida.","container-title":"Plants","DOI":"10.3390/plants9091245","ISSN":"2223-7747","issue":"9","journalAbbreviation":"Plants","language":"en","license":"https://creativecommons.org/licenses/by/4.0/","page":"1245","source":"DOI.org (Crossref)","title":"Increasing Air Temperatures and Its Effects on Growth and Productivity of Tomato in South Florida","URL":"https://www.mdpi.com/2223-7747/9/9/1245","volume":"9","author":[{"family":"Ayankojo","given":"Ibukun T."},{"family":"Morgan","given":"Kelly T."}],"accessed":{"date-parts":[["2025",3,12]]},"issued":{"date-parts":[["2020",9,21]]}},"label":"page"},{"id":707,"uris":["http://zotero.org/users/12642312/items/WB7F9CNU"],"itemData":{"id":707,"type":"article-journal","abstract":"Traditional agronomic experiments were conducted at a specific location in time and space, resulting in long, seasonal, time-consuming, and expensive experiments. An international team of scientists has developed a decision support system for the transfer of agrotechnology, which has been used by researchers from around and the world for 15 years. This package incorporates models for over 42 crops (since Version 4.7.5) as well as tools to facilitate effective use of the models. Tools include database management programs for soil, weather, crop management, and experimental data, utilities, and implementation programs. Crop simulation models simulate growth, development, and yield in accordance with soil-plantatmosphere dynamics. Over the last few years, it has become increasingly difficult to maintain the DSSAT crop models, partly due to the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In this review paper, I described the approaches used to model the primary scientific components (soil, crop, weather, and management). Besides, the review paper describes the limitations, the future of the DSSAT model, and its importance. The benefits of the new, redesigned DSSAT–CSM will provide considerable opportunities for its development and others in the scientific community for greater cooperation in interdisciplinary research and in the application of knowledge to solve problems in the field, farm, and higher levels.","container-title":"International Journal of Intelligent Information Systems","DOI":"10.11648/j.ijiis.20211006.13","ISSN":"2328-7675","issue":"6","journalAbbreviation":"IJIIS","language":"en","page":"117","source":"DOI.org (Crossref)","title":"Review on Decision Support System for Agrotechnology Transfer (DSSAT) Model","URL":"http://www.sciencepublishinggroup.com/journal/paperinfo?journalid=135&amp;doi=10.11648/j.ijiis.20211006.13","volume":"10","author":[{"family":"Abayechaw","given":"Desta"}],"accessed":{"date-parts":[["2025",3,12]]},"issued":{"date-parts":[["2021"]]}},"label":"page"},{"id":636,"uris":["http://zotero.org/users/12642312/items/KKY4DBAD"],"itemData":{"id":636,"type":"article","abstract":"As global demand for efﬁciency in agriculture rises, there is a growing interest in high-precision farming practices. Particularly greenhouses play a critical role in ensuring a yearround supply of fresh produce. In order to maximize efﬁciency and productivity while minimizing resource use, mathematical techniques such as optimal control have been employed. However, selecting appropriate models for optimal control requires domain expertise. This study aims to compare three established tomato models for their suitability in an optimal control framework. Results show that all three models have similar yield predictions and accuracy, but only two models are currently applicable for optimal control due to implementation limitations. The two remaining models each have advantages in terms of economic yield and computation times, but the differences in optimal control strategies suggest that they require more accurate parameter identiﬁcation and calibration tailored to greenhouses.","DOI":"10.48550/arXiv.2308.06031","language":"en","note":"arXiv:2308.06031 [math]","number":"arXiv:2308.06031","publisher":"arXiv","source":"arXiv.org","title":"Comparison of Dynamic Tomato Growth Models for Optimal Control in Greenhouses","URL":"http://arxiv.org/abs/2308.06031","author":[{"family":"Fink","given":"Michael"},{"family":"Daniels","given":"Annalena"},{"family":"Qian","given":"Cheng"},{"family":"Velásquez","given":"Víctor Martínez"},{"family":"Salotra","given":"Sahil"},{"family":"Wollherr","given":"Dirk"}],"accessed":{"date-parts":[["2025",3,12]]},"issued":{"date-parts":[["2023",8,11]]}},"label":"page"},{"id":998,"uris":["http://zotero.org/users/12642312/items/7HYWWNQQ"],"itemData":{"id":998,"type":"article-journal","abstract":"The improvement of the simulation accuracy of crop models in different greenhouse environments would be better applied to the automation management of greenhouse cultivation. Tomatoes under drip irrigation in a greenhouse were taken as the research object, and the cumulative evaporation capacity (Ep) of the 20 cm standard evaporation dish was taken as the basis for irrigation. Three treatments were set up in the experiment: high water treatment without mulch (NM-0.9 Ep), high water treatment with mulch (M-0.9 Ep), and low water treatment with mulch (M-0.5 Ep). AquaCrop and DSSAT models were used to simulate the canopy coverage, soil water content, biomass, and yield of the tomatoes. Data from 2020 were used to correct the model, and simulation results from 2021 were analyzed in this paper. The results showed that: (1) Of the two crop models, the simulation accuracy of the greenhouse tomato canopy coverage kCC was higher, and the root mean square errors were less than 6.8% (AquaCrop model) and 8.5% (DSSAT model); (2) The AquaCrop model could accurately simulate soil water change under high water treatments, while the DSSAT model was more suitable for the conditions without mulch; (3) The relative error RE of simulated and observed values for biomass B, yield Y, and water use efﬁciency WUE in the AquaCrop model were less than 2.0%, 2.3%, and 9.0%, respectively, while those of the DSSAT model were less than 4.7%, 7.6%, and 10.4%, respectively; (4) Considering the simulation results of each index comprehensively, the AquaCrop model was superior to the DSSAT model; subsequently, the former was used to predict 16 different water and ﬁlm coating treatments (S1–S16). It was found that the greenhouse tomato yield and WUE were the highest under S7 (0.8 Ep), at 8.201 t/ha and 2.79 kg/m3, respectively.","container-title":"Plants","DOI":"10.3390/plants12223863","ISSN":"2223-7747","issue":"22","journalAbbreviation":"Plants","language":"en","license":"https://creativecommons.org/licenses/by/4.0/","page":"3863","source":"DOI.org (Crossref)","title":"Evaluation of Irrigation Modes for Greenhouse Drip Irrigation Tomatoes Based on AquaCrop and DSSAT Models","URL":"https://www.mdpi.com/2223-7747/12/22/3863","volume":"12","author":[{"family":"Ge","given":"Jiankun"},{"family":"Yu","given":"Zihui"},{"family":"Gong","given":"Xuewen"},{"family":"Ping","given":"Yinglu"},{"family":"Luo","given":"Jinyao"},{"family":"Li","given":"Yanbin"}],"accessed":{"date-parts":[["2025",3,26]]},"issued":{"date-parts":[["2023",11,15]]}},"label":"page"}],"schema":"https://github.com/citation-style-language/schema/raw/master/csl-citation.json"} </w:instrText>
      </w:r>
      <w:r>
        <w:rPr>
          <w:rFonts w:ascii="Arial" w:eastAsia="Times New Roman" w:hAnsi="Arial" w:cs="Arial"/>
          <w:sz w:val="24"/>
          <w:szCs w:val="24"/>
          <w:lang w:val="es-ES" w:eastAsia="es-ES"/>
        </w:rPr>
        <w:fldChar w:fldCharType="separate"/>
      </w:r>
      <w:r w:rsidR="0073674E" w:rsidRPr="00716AA5">
        <w:rPr>
          <w:rFonts w:ascii="Arial" w:hAnsi="Arial" w:cs="Arial"/>
          <w:sz w:val="24"/>
          <w:szCs w:val="24"/>
          <w:lang w:val="es-ES"/>
        </w:rPr>
        <w:t>(</w:t>
      </w:r>
      <w:proofErr w:type="spellStart"/>
      <w:r w:rsidR="0073674E" w:rsidRPr="00716AA5">
        <w:rPr>
          <w:rFonts w:ascii="Arial" w:hAnsi="Arial" w:cs="Arial"/>
          <w:sz w:val="24"/>
          <w:szCs w:val="24"/>
          <w:lang w:val="es-ES"/>
        </w:rPr>
        <w:t>Ayankojo</w:t>
      </w:r>
      <w:proofErr w:type="spellEnd"/>
      <w:r w:rsidR="0073674E" w:rsidRPr="00716AA5">
        <w:rPr>
          <w:rFonts w:ascii="Arial" w:hAnsi="Arial" w:cs="Arial"/>
          <w:sz w:val="24"/>
          <w:szCs w:val="24"/>
          <w:lang w:val="es-ES"/>
        </w:rPr>
        <w:t xml:space="preserve"> &amp; Morgan, 2020; </w:t>
      </w:r>
      <w:proofErr w:type="spellStart"/>
      <w:r w:rsidR="0073674E" w:rsidRPr="00716AA5">
        <w:rPr>
          <w:rFonts w:ascii="Arial" w:hAnsi="Arial" w:cs="Arial"/>
          <w:sz w:val="24"/>
          <w:szCs w:val="24"/>
          <w:lang w:val="es-ES"/>
        </w:rPr>
        <w:t>Abayechaw</w:t>
      </w:r>
      <w:proofErr w:type="spellEnd"/>
      <w:r w:rsidR="0073674E" w:rsidRPr="00716AA5">
        <w:rPr>
          <w:rFonts w:ascii="Arial" w:hAnsi="Arial" w:cs="Arial"/>
          <w:sz w:val="24"/>
          <w:szCs w:val="24"/>
          <w:lang w:val="es-ES"/>
        </w:rPr>
        <w:t xml:space="preserve">, 2021; </w:t>
      </w:r>
      <w:proofErr w:type="spellStart"/>
      <w:r w:rsidR="0073674E" w:rsidRPr="00716AA5">
        <w:rPr>
          <w:rFonts w:ascii="Arial" w:hAnsi="Arial" w:cs="Arial"/>
          <w:sz w:val="24"/>
          <w:szCs w:val="24"/>
          <w:lang w:val="es-ES"/>
        </w:rPr>
        <w:t>Fink</w:t>
      </w:r>
      <w:proofErr w:type="spellEnd"/>
      <w:r w:rsidR="0073674E" w:rsidRPr="00716AA5">
        <w:rPr>
          <w:rFonts w:ascii="Arial" w:hAnsi="Arial" w:cs="Arial"/>
          <w:sz w:val="24"/>
          <w:szCs w:val="24"/>
          <w:lang w:val="es-ES"/>
        </w:rPr>
        <w:t xml:space="preserve"> </w:t>
      </w:r>
      <w:r w:rsidR="0073674E" w:rsidRPr="00716AA5">
        <w:rPr>
          <w:rFonts w:ascii="Arial" w:hAnsi="Arial" w:cs="Arial"/>
          <w:i/>
          <w:iCs/>
          <w:sz w:val="24"/>
          <w:szCs w:val="24"/>
          <w:lang w:val="es-ES"/>
        </w:rPr>
        <w:t>et al</w:t>
      </w:r>
      <w:r w:rsidR="0073674E" w:rsidRPr="00716AA5">
        <w:rPr>
          <w:rFonts w:ascii="Arial" w:hAnsi="Arial" w:cs="Arial"/>
          <w:sz w:val="24"/>
          <w:szCs w:val="24"/>
          <w:lang w:val="es-ES"/>
        </w:rPr>
        <w:t xml:space="preserve">., 2023; Ge </w:t>
      </w:r>
      <w:r w:rsidR="0073674E" w:rsidRPr="00716AA5">
        <w:rPr>
          <w:rFonts w:ascii="Arial" w:hAnsi="Arial" w:cs="Arial"/>
          <w:i/>
          <w:iCs/>
          <w:sz w:val="24"/>
          <w:szCs w:val="24"/>
          <w:lang w:val="es-ES"/>
        </w:rPr>
        <w:t>et al</w:t>
      </w:r>
      <w:r w:rsidR="0073674E" w:rsidRPr="00716AA5">
        <w:rPr>
          <w:rFonts w:ascii="Arial" w:hAnsi="Arial" w:cs="Arial"/>
          <w:sz w:val="24"/>
          <w:szCs w:val="24"/>
          <w:lang w:val="es-ES"/>
        </w:rPr>
        <w:t>., 2023)</w:t>
      </w:r>
      <w:r>
        <w:rPr>
          <w:rFonts w:ascii="Arial" w:eastAsia="Times New Roman" w:hAnsi="Arial" w:cs="Arial"/>
          <w:sz w:val="24"/>
          <w:szCs w:val="24"/>
          <w:lang w:val="es-ES" w:eastAsia="es-ES"/>
        </w:rPr>
        <w:fldChar w:fldCharType="end"/>
      </w:r>
      <w:r>
        <w:rPr>
          <w:rFonts w:ascii="Arial" w:eastAsia="Times New Roman" w:hAnsi="Arial" w:cs="Arial"/>
          <w:sz w:val="24"/>
          <w:szCs w:val="24"/>
          <w:lang w:val="es-ES" w:eastAsia="es-ES"/>
        </w:rPr>
        <w:t xml:space="preserve">. </w:t>
      </w:r>
    </w:p>
    <w:p w14:paraId="63B7BB9A" w14:textId="19889620"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hAnsi="Arial" w:cs="Arial"/>
          <w:sz w:val="24"/>
          <w:szCs w:val="24"/>
          <w:u w:val="single"/>
          <w:lang w:val="es-ES"/>
        </w:rPr>
      </w:pPr>
      <w:r>
        <w:rPr>
          <w:rFonts w:ascii="Arial" w:eastAsia="Times New Roman" w:hAnsi="Arial" w:cs="Arial"/>
          <w:sz w:val="24"/>
          <w:szCs w:val="24"/>
          <w:lang w:val="es-ES" w:eastAsia="es-ES"/>
        </w:rPr>
        <w:t xml:space="preserve">El </w:t>
      </w:r>
      <w:r>
        <w:rPr>
          <w:rFonts w:ascii="Arial" w:hAnsi="Arial" w:cs="Arial"/>
          <w:sz w:val="24"/>
          <w:szCs w:val="24"/>
          <w:lang w:val="es-ES"/>
        </w:rPr>
        <w:t>modelo requiere como parámetros de entrada el suelo, el cultivo y las condiciones meteorológicas durante la estación de crecimiento. De igual forma, utiliza datos meteorológicos diarios como las temperaturas máxima y mínima del aire, la radiación solar, la humedad relativa, las precipitaciones y la velocidad del viento. Los parámetros del cultivo incluyen l</w:t>
      </w:r>
      <w:r w:rsidR="00BB2EC6">
        <w:rPr>
          <w:rFonts w:ascii="Arial" w:hAnsi="Arial" w:cs="Arial"/>
          <w:sz w:val="24"/>
          <w:szCs w:val="24"/>
          <w:lang w:val="es-ES"/>
        </w:rPr>
        <w:t>o</w:t>
      </w:r>
      <w:r>
        <w:rPr>
          <w:rFonts w:ascii="Arial" w:hAnsi="Arial" w:cs="Arial"/>
          <w:sz w:val="24"/>
          <w:szCs w:val="24"/>
          <w:lang w:val="es-ES"/>
        </w:rPr>
        <w:t xml:space="preserve">s </w:t>
      </w:r>
      <w:r w:rsidR="00BB2EC6" w:rsidRPr="007937A6">
        <w:rPr>
          <w:rFonts w:ascii="Arial" w:hAnsi="Arial" w:cs="Arial"/>
          <w:sz w:val="24"/>
          <w:szCs w:val="24"/>
          <w:lang w:val="es-ES"/>
        </w:rPr>
        <w:t>día</w:t>
      </w:r>
      <w:r w:rsidRPr="007937A6">
        <w:rPr>
          <w:rFonts w:ascii="Arial" w:hAnsi="Arial" w:cs="Arial"/>
          <w:sz w:val="24"/>
          <w:szCs w:val="24"/>
          <w:lang w:val="es-ES"/>
        </w:rPr>
        <w:t>s</w:t>
      </w:r>
      <w:r w:rsidR="00BB2EC6" w:rsidRPr="007937A6">
        <w:rPr>
          <w:rFonts w:ascii="Arial" w:hAnsi="Arial" w:cs="Arial"/>
          <w:sz w:val="24"/>
          <w:szCs w:val="24"/>
          <w:lang w:val="es-ES"/>
        </w:rPr>
        <w:t xml:space="preserve"> a la</w:t>
      </w:r>
      <w:r w:rsidRPr="007937A6">
        <w:rPr>
          <w:rFonts w:ascii="Arial" w:hAnsi="Arial" w:cs="Arial"/>
          <w:sz w:val="24"/>
          <w:szCs w:val="24"/>
          <w:lang w:val="es-ES"/>
        </w:rPr>
        <w:t xml:space="preserve"> antesis</w:t>
      </w:r>
      <w:r w:rsidR="00BB2EC6" w:rsidRPr="007937A6">
        <w:rPr>
          <w:rFonts w:ascii="Arial" w:hAnsi="Arial" w:cs="Arial"/>
          <w:sz w:val="24"/>
          <w:szCs w:val="24"/>
          <w:lang w:val="es-ES"/>
        </w:rPr>
        <w:t xml:space="preserve"> </w:t>
      </w:r>
      <w:r w:rsidRPr="007937A6">
        <w:rPr>
          <w:rFonts w:ascii="Arial" w:hAnsi="Arial" w:cs="Arial"/>
          <w:sz w:val="24"/>
          <w:szCs w:val="24"/>
          <w:lang w:val="es-ES"/>
        </w:rPr>
        <w:t>y madurez</w:t>
      </w:r>
      <w:r w:rsidR="00BB2EC6">
        <w:rPr>
          <w:rFonts w:ascii="Arial" w:hAnsi="Arial" w:cs="Arial"/>
          <w:sz w:val="24"/>
          <w:szCs w:val="24"/>
          <w:lang w:val="es-ES"/>
        </w:rPr>
        <w:t xml:space="preserve"> (días después del trasplante, DDT)</w:t>
      </w:r>
      <w:r>
        <w:rPr>
          <w:rFonts w:ascii="Arial" w:hAnsi="Arial" w:cs="Arial"/>
          <w:sz w:val="24"/>
          <w:szCs w:val="24"/>
          <w:lang w:val="es-ES"/>
        </w:rPr>
        <w:t xml:space="preserve">, la acumulación de materia seca y el rendimiento para la estimación de los coeficientes específicos del cultivo necesarios para los resultados del modelo </w:t>
      </w:r>
      <w:r>
        <w:rPr>
          <w:rFonts w:ascii="Arial" w:hAnsi="Arial" w:cs="Arial"/>
          <w:sz w:val="24"/>
          <w:szCs w:val="24"/>
          <w:lang w:val="es-ES"/>
        </w:rPr>
        <w:fldChar w:fldCharType="begin"/>
      </w:r>
      <w:r w:rsidR="008F707D">
        <w:rPr>
          <w:rFonts w:ascii="Arial" w:hAnsi="Arial" w:cs="Arial"/>
          <w:sz w:val="24"/>
          <w:szCs w:val="24"/>
          <w:lang w:val="es-ES"/>
        </w:rPr>
        <w:instrText xml:space="preserve"> ADDIN ZOTERO_ITEM CSL_CITATION {"citationID":"DQqTEGpQ","properties":{"custom":"(Choudhury {\\i{}et al}., 2016)","formattedCitation":"(Choudhury {\\i{}et al}., 2016)","plainCitation":"(Choudhury et al., 2016)","noteIndex":0},"citationItems":[{"id":514,"uris":["http://zotero.org/users/12642312/items/JZ5YIVFK"],"itemData":{"id":514,"type":"article-magazine","ISSN":"2415-6221","language":"English","title":"Haya The Saudi Journal of Life Sciences","URL":"https://globalscholarindex.com/content/gsic-2415-6221","author":[{"family":"Choudhury","given":"A.K"},{"family":"Ishtiaque","given":"S"},{"family":"Sen","given":"R"},{"family":"Jahan","given":"M"},{"family":"Akhter","given":"S"},{"family":"Ahmed","given":"F"},{"family":"Biswas","given":"J.C"},{"family":"Manirruzaman","given":"M"},{"family":"Hossain","given":"M.B"},{"family":"Miah","given":"M.M"}],"issued":{"date-parts":[["2016"]]}}}],"schema":"https://github.com/citation-style-language/schema/raw/master/csl-citation.json"} </w:instrText>
      </w:r>
      <w:r>
        <w:rPr>
          <w:rFonts w:ascii="Arial" w:hAnsi="Arial" w:cs="Arial"/>
          <w:sz w:val="24"/>
          <w:szCs w:val="24"/>
          <w:lang w:val="es-ES"/>
        </w:rPr>
        <w:fldChar w:fldCharType="separate"/>
      </w:r>
      <w:r w:rsidR="008F707D" w:rsidRPr="008F707D">
        <w:rPr>
          <w:rFonts w:ascii="Arial" w:hAnsi="Arial" w:cs="Arial"/>
          <w:sz w:val="24"/>
          <w:szCs w:val="24"/>
          <w:lang w:val="es-ES"/>
        </w:rPr>
        <w:t xml:space="preserve">(Choudhury </w:t>
      </w:r>
      <w:r w:rsidR="008F707D" w:rsidRPr="008F707D">
        <w:rPr>
          <w:rFonts w:ascii="Arial" w:hAnsi="Arial" w:cs="Arial"/>
          <w:i/>
          <w:iCs/>
          <w:sz w:val="24"/>
          <w:szCs w:val="24"/>
          <w:lang w:val="es-ES"/>
        </w:rPr>
        <w:t>et al</w:t>
      </w:r>
      <w:r w:rsidR="008F707D" w:rsidRPr="008F707D">
        <w:rPr>
          <w:rFonts w:ascii="Arial" w:hAnsi="Arial" w:cs="Arial"/>
          <w:sz w:val="24"/>
          <w:szCs w:val="24"/>
          <w:lang w:val="es-ES"/>
        </w:rPr>
        <w:t>., 2016)</w:t>
      </w:r>
      <w:r>
        <w:rPr>
          <w:rFonts w:ascii="Arial" w:hAnsi="Arial" w:cs="Arial"/>
          <w:sz w:val="24"/>
          <w:szCs w:val="24"/>
          <w:lang w:val="es-ES"/>
        </w:rPr>
        <w:fldChar w:fldCharType="end"/>
      </w:r>
      <w:r>
        <w:rPr>
          <w:rFonts w:ascii="Arial" w:hAnsi="Arial" w:cs="Arial"/>
          <w:sz w:val="24"/>
          <w:szCs w:val="24"/>
          <w:lang w:val="es-ES"/>
        </w:rPr>
        <w:t>. Además de la información sobre el suelo, el cultivo y las condiciones meteorológicas, se requieren datos sobre la gestión del cultivo como entrada adicional del modelo. Los datos de gestión del cultivo incluyen detalles de</w:t>
      </w:r>
      <w:r w:rsidR="00EE0438">
        <w:rPr>
          <w:rFonts w:ascii="Arial" w:hAnsi="Arial" w:cs="Arial"/>
          <w:sz w:val="24"/>
          <w:szCs w:val="24"/>
          <w:lang w:val="es-ES"/>
        </w:rPr>
        <w:t xml:space="preserve"> la siembra</w:t>
      </w:r>
      <w:r>
        <w:rPr>
          <w:rFonts w:ascii="Arial" w:hAnsi="Arial" w:cs="Arial"/>
          <w:sz w:val="24"/>
          <w:szCs w:val="24"/>
          <w:lang w:val="es-ES"/>
        </w:rPr>
        <w:t xml:space="preserve">, programas de aplicación de riego, cantidad y tiempo de aplicación de nutrientes, </w:t>
      </w:r>
      <w:r w:rsidRPr="007937A6">
        <w:rPr>
          <w:rFonts w:ascii="Arial" w:hAnsi="Arial" w:cs="Arial"/>
          <w:sz w:val="24"/>
          <w:szCs w:val="24"/>
          <w:lang w:val="es-ES"/>
        </w:rPr>
        <w:t>fechas de antesis y madurez,</w:t>
      </w:r>
      <w:r>
        <w:rPr>
          <w:rFonts w:ascii="Arial" w:hAnsi="Arial" w:cs="Arial"/>
          <w:sz w:val="24"/>
          <w:szCs w:val="24"/>
          <w:lang w:val="es-ES"/>
        </w:rPr>
        <w:t xml:space="preserve"> datos y fechas de muestreo de biomasa, así como datos de cosecha del cultivo </w:t>
      </w:r>
      <w:r>
        <w:rPr>
          <w:rFonts w:ascii="Arial" w:hAnsi="Arial" w:cs="Arial"/>
          <w:sz w:val="24"/>
          <w:szCs w:val="24"/>
          <w:lang w:val="es-ES"/>
        </w:rPr>
        <w:fldChar w:fldCharType="begin"/>
      </w:r>
      <w:r w:rsidR="00D92AAB">
        <w:rPr>
          <w:rFonts w:ascii="Arial" w:hAnsi="Arial" w:cs="Arial"/>
          <w:sz w:val="24"/>
          <w:szCs w:val="24"/>
          <w:lang w:val="es-ES"/>
        </w:rPr>
        <w:instrText xml:space="preserve"> ADDIN ZOTERO_ITEM CSL_CITATION {"citationID":"d9htFpR2","properties":{"custom":"(Ventrella, {\\i{}et al}., 2012; Ayankojo &amp; Morgan, 2020)","unsorted":true,"formattedCitation":"(Ventrella, {\\i{}et al}., 2012; Ayankojo &amp; Morgan, 2020)","plainCitation":"(Ventrella, et al., 2012; Ayankojo &amp; Morgan, 2020)","noteIndex":0},"citationItems":[{"id":640,"uris":["http://zotero.org/users/12642312/items/VLD4ER7M"],"itemData":{"id":640,"type":"article-journal","abstract":"Many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id":645,"uris":["http://zotero.org/users/12642312/items/YP76YLUU"],"itemData":{"id":645,"type":"article-journal","abstract":"Florida ranks ﬁrst among US states in fresh-market tomato production with annual production exceeding one-third of the total annual production in the country. Although tomato is a signature crop in Florida, current and future ambient temperatures could impose a major production challenge, especially during the fall growing season. This problem is increasingly becoming an important concern among tomato growers in south Florida, but studies addressing these concerns have not been conducted until now. Therefore, this study was conducted to determine the impacts of the present ambient temperature conditions and planting dates on tomato productivity in south Florida. The study was conducted using crop simulation model CROPGRO-Tomato of DSSAT (Decision Support System for Agricultural Transfer) version 4.7. Five treatments were evaluated, and included AT (simulated treatment using 14 years of actual daily weather conditions at the study location) while other treatments were conducted based on a percentage (−20%, −10%, +10%, +20%) of AT to simulate cooler and warmer temperature regimes. The results suggested that under the current temperature conditions during the fall growing season in south Florida, average tomato yield was up to 29% lower compared to the cooler temperature regimes. Tomato yield further decreased by 52% to 85% at air temperatures above the current condition. Yield reduction under high temperature was primarily due to lower fruit production. Contrary to yield, both tomato biomass accumulation and leaf area index increased with increase in temperature. Results also indicated that due to changes in air temperature pattern, tomato yield increased as planting date increased from July to December. Therefore, planting date modiﬁcation during the fall season from the current July–September to dates between November and December will reduce the impacts of heat stress and increase tomato productivity in south Florida.","container-title":"Plants","DOI":"10.3390/plants9091245","ISSN":"2223-7747","issue":"9","journalAbbreviation":"Plants","language":"en","license":"https://creativecommons.org/licenses/by/4.0/","page":"1245","source":"DOI.org (Crossref)","title":"Increasing Air Temperatures and Its Effects on Growth and Productivity of Tomato in South Florida","URL":"https://www.mdpi.com/2223-7747/9/9/1245","volume":"9","author":[{"family":"Ayankojo","given":"Ibukun T."},{"family":"Morgan","given":"Kelly T."}],"accessed":{"date-parts":[["2025",3,12]]},"issued":{"date-parts":[["2020",9,21]]}},"label":"page"}],"schema":"https://github.com/citation-style-language/schema/raw/master/csl-citation.json"} </w:instrText>
      </w:r>
      <w:r>
        <w:rPr>
          <w:rFonts w:ascii="Arial" w:hAnsi="Arial" w:cs="Arial"/>
          <w:sz w:val="24"/>
          <w:szCs w:val="24"/>
          <w:lang w:val="es-ES"/>
        </w:rPr>
        <w:fldChar w:fldCharType="separate"/>
      </w:r>
      <w:r w:rsidR="00D92AAB" w:rsidRPr="007A5005">
        <w:rPr>
          <w:rFonts w:ascii="Arial" w:hAnsi="Arial" w:cs="Arial"/>
          <w:sz w:val="24"/>
          <w:szCs w:val="24"/>
          <w:lang w:val="es-ES"/>
        </w:rPr>
        <w:t xml:space="preserve">(Ventrella, </w:t>
      </w:r>
      <w:r w:rsidR="00D92AAB" w:rsidRPr="007A5005">
        <w:rPr>
          <w:rFonts w:ascii="Arial" w:hAnsi="Arial" w:cs="Arial"/>
          <w:i/>
          <w:iCs/>
          <w:sz w:val="24"/>
          <w:szCs w:val="24"/>
          <w:lang w:val="es-ES"/>
        </w:rPr>
        <w:t>et al</w:t>
      </w:r>
      <w:r w:rsidR="00D92AAB" w:rsidRPr="007A5005">
        <w:rPr>
          <w:rFonts w:ascii="Arial" w:hAnsi="Arial" w:cs="Arial"/>
          <w:sz w:val="24"/>
          <w:szCs w:val="24"/>
          <w:lang w:val="es-ES"/>
        </w:rPr>
        <w:t>., 2012; Ayankojo &amp; Morgan, 2020)</w:t>
      </w:r>
      <w:r>
        <w:rPr>
          <w:rFonts w:ascii="Arial" w:hAnsi="Arial" w:cs="Arial"/>
          <w:sz w:val="24"/>
          <w:szCs w:val="24"/>
          <w:lang w:val="es-ES"/>
        </w:rPr>
        <w:fldChar w:fldCharType="end"/>
      </w:r>
      <w:r>
        <w:rPr>
          <w:rFonts w:ascii="Arial" w:hAnsi="Arial" w:cs="Arial"/>
          <w:sz w:val="24"/>
          <w:szCs w:val="24"/>
          <w:lang w:val="es-ES"/>
        </w:rPr>
        <w:t xml:space="preserve">. </w:t>
      </w:r>
    </w:p>
    <w:p w14:paraId="1AA4E721"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lastRenderedPageBreak/>
        <w:t xml:space="preserve">El modelo actual CSM-CROPGRO-Tomato se modificó para simular con precisión la fenología del cultivo, los parámetros de crecimiento y el rendimiento en respuesta a diversas temperaturas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{"citationID":"M0oJr4jF","properties":{"custom":"(Boote {\\i{}et al}., 2021)","formattedCitation":"(Boote {\\i{}et al}., 2021)","plainCitation":"(Boote et al., 2021)","noteIndex":0},"citationItems":[{"id":643,"uris":["http://zotero.org/users/12642312/items/39Z8AHQ3"],"itemData":{"id":643,"type":"article-journal","abstract":"Carinata (Brassica carinata) is an oilseed crop which, because of its non-edible oil composition and favorable fatty acid profile, is proposed as a “green” sustainable aviation fuel. It can be grown as a winter crop in the southeastern USA or as a summer annual crop in northern latitudes. No crop models exist for carinata because it is a relatively new crop. The CROPGRO model is a mechanistic crop simulation of daily crop growth and development as a function of daily weather, soil properties, crop management, and species parameters. We adapted the CROPGRO model to simulate carinata based on growth analysis data collected over two seasons at three sites: Quincy, FL, Jay, FL, and Shorter, AL. The adaptation process required literature knowledge as well as optimization against field observations. The parameterization of model sensitivities to climatic factors is presented. The adapted model gave good simulations of carinata growth dynamics compared to observed growth during different seasons and locations and in response to N fertilization. While additional testing is appropriate, the model is sufficiently ready to be used for various applications. An example application is presented for the effect of sowing date on carinata yield and maturity over long-term weather in the Southeastern USA.","container-title":"GCB Bioenergy","DOI":"10.1111/gcbb.12838","ISSN":"1757-1693, 1757-1707","issue":"7","journalAbbreviation":"GCB Bioenergy","language":"en","page":"1134-1148","source":"DOI.org (Crossref)","title":"Adapting the CROPGRO model to simulate growth and production of &lt;i&gt;Brassica carinata&lt;/i&gt; , a bio</w:instrText>
      </w:r>
      <w:r>
        <w:rPr>
          <w:rFonts w:ascii="Cambria Math" w:hAnsi="Cambria Math" w:cs="Cambria Math"/>
          <w:sz w:val="24"/>
          <w:szCs w:val="24"/>
          <w:lang w:val="es-ES"/>
        </w:rPr>
        <w:instrText>‐</w:instrText>
      </w:r>
      <w:r>
        <w:rPr>
          <w:rFonts w:ascii="Arial" w:hAnsi="Arial" w:cs="Arial"/>
          <w:sz w:val="24"/>
          <w:szCs w:val="24"/>
          <w:lang w:val="es-ES"/>
        </w:rPr>
        <w:instrText xml:space="preserve">fuel crop","URL":"https://onlinelibrary.wiley.com/doi/10.1111/gcbb.12838","volume":"13","author":[{"family":"Boote","given":"Kenneth J."},{"family":"Seepaul","given":"Ramdeo"},{"family":"Mulvaney","given":"Michael J."},{"family":"Hagan","given":"Austin K."},{"family":"Bashyal","given":"Mahesh"},{"family":"George","given":"Sheeja"},{"family":"Small","given":"Ian"},{"family":"Wright","given":"David L."}],"accessed":{"date-parts":[["2025",3,12]]},"issued":{"date-parts":[["2021",7]]}}}],"schema":"https://github.com/citation-style-language/schema/raw/master/csl-citation.json"}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(Boote </w:t>
      </w:r>
      <w:r>
        <w:rPr>
          <w:rFonts w:ascii="Arial" w:hAnsi="Arial" w:cs="Arial"/>
          <w:i/>
          <w:iCs/>
          <w:sz w:val="24"/>
          <w:szCs w:val="24"/>
          <w:lang w:val="es-ES"/>
        </w:rPr>
        <w:t>et al</w:t>
      </w:r>
      <w:r>
        <w:rPr>
          <w:rFonts w:ascii="Arial" w:hAnsi="Arial" w:cs="Arial"/>
          <w:sz w:val="24"/>
          <w:szCs w:val="24"/>
          <w:lang w:val="es-ES"/>
        </w:rPr>
        <w:t>., 2021)</w:t>
      </w:r>
      <w:r>
        <w:rPr>
          <w:rFonts w:ascii="Arial" w:hAnsi="Arial" w:cs="Arial"/>
          <w:sz w:val="24"/>
          <w:szCs w:val="24"/>
          <w:lang w:val="es-ES"/>
        </w:rPr>
        <w:fldChar w:fldCharType="end"/>
      </w:r>
      <w:r>
        <w:rPr>
          <w:rFonts w:ascii="Arial" w:hAnsi="Arial" w:cs="Arial"/>
          <w:sz w:val="24"/>
          <w:szCs w:val="24"/>
          <w:lang w:val="es-ES"/>
        </w:rPr>
        <w:t xml:space="preserve">. Es usado para evaluar diversas situaciones de riego y manejo del nitrógeno utilizando 53 años de datos meteorológicos locales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{"citationID":"O4OftqxU","properties":{"custom":"(Rinaldi {\\i{}et al}., 2011)","formattedCitation":"(Rinaldi {\\i{}et al}., 2011)","plainCitation":"(Rinaldi et al., 2011)","noteIndex":0},"citationItems":[{"id":895,"uris":["http://zotero.org/users/12642312/items/TIZN32NI"],"itemData":{"id":895,"type":"paper-conference","abstract":"AQUACROP (Steduto et al., 2009; Raes et al., 2009) simulation model was calibrated and validated for processing tomatoes in Southern Italy (Capitanata Plain) and was subsequently used to evaluate the expected impact of different water irrigation regimes on yield, water use efficiency and net return. The simulated irrigation regimes were two: i) at fixed times (with seasonal water volumes of 170, 270, 370, 470 and 570 mm) and ii) using the soil water depletion criterion (refilling 30, 50 and 70 mm of soil water depletion). Cross calibration and validation, based on three years of experimental data (2002-2004), allowed to estimate crop parameters and their variation ranges, providing useful data which can be applied in similar environment conditions. The responses of the tomatoes in terms of plant biomass, fruit yield and water use efficiency were evaluated considering the mean values obtained from a long-term simulation. A simplified economic analysis, was performed to calculate the net return for each management scenario. The greatest fresh fruit yield (123 t ha-1) simulated by AQUACROP was obtained using an irrigation fixed time with 370 mm of seasonal water supply. About the same yield level was obtained with irrigation starting at 30 mm of soil water depletion, saving of about 70 mm of water. The main advantage of soil water depletion criterion, apart from the low water loss in deep percolation, was the greater net income for farmers. Considering fixed irrigation turns, the net income oscillated between 1,280 € ha -1 and 3,420 € ha-1 for seasonal irrigation water amount equal to 170 and 570 mm, but with the highest income at 370 mm (4,011 € ha-1). Oscillation in net income for irrigation based on water depletion, were contained in a smaller range (from 3,467 to 4,137 € ha-1). Water use efficiency for total dry biomass and fruit yield was similar among the two water regimes, while the irrigation water use efficiency was heavily influenced by irrigation strategy, with higher values in the soil water depletion scenarios. The case study allowed us to estimate a list of crop parameters useful for the adoption of the AQUACROP model in similar conditions. The criterion of starting to apply irrigation at a level of soil water depletion of 30 mm proved to be effective for fruit yield (high average and low yearly variability) and the efficiency to convert the water available for the crop into biomass, reducing the water stress for the plants; moreover, it minimized water percolation in comparison to the fixed times application criterion.","source":"Semantic Scholar","title":"Processing tomatoes under different irrigation regimes in Southern Italy: agronomic and economic assessments in a simulation case study","title-short":"Processing tomatoes under different irrigation regimes in Southern Italy","URL":"https://www.semanticscholar.org/paper/Processing-tomatoes-under-different-irrigation-in-a-Rinaldi-Garofalo/95ef1b7668fdf99ff043d0da0105d9b338d5229c","author":[{"family":"Rinaldi","given":"M."},{"family":"Garofalo","given":"P."},{"family":"Rubino","given":"P."},{"family":"Steduto","given":"P."}],"accessed":{"date-parts":[["2025",3,26]]},"issued":{"date-parts":[["2011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(Rinaldi </w:t>
      </w:r>
      <w:r>
        <w:rPr>
          <w:rFonts w:ascii="Arial" w:hAnsi="Arial" w:cs="Arial"/>
          <w:i/>
          <w:iCs/>
          <w:sz w:val="24"/>
          <w:szCs w:val="24"/>
          <w:lang w:val="es-ES"/>
        </w:rPr>
        <w:t>et al</w:t>
      </w:r>
      <w:r>
        <w:rPr>
          <w:rFonts w:ascii="Arial" w:hAnsi="Arial" w:cs="Arial"/>
          <w:sz w:val="24"/>
          <w:szCs w:val="24"/>
          <w:lang w:val="es-ES"/>
        </w:rPr>
        <w:t>., 2011)</w:t>
      </w:r>
      <w:r>
        <w:rPr>
          <w:rFonts w:ascii="Arial" w:hAnsi="Arial" w:cs="Arial"/>
          <w:sz w:val="24"/>
          <w:szCs w:val="24"/>
          <w:lang w:val="es-ES"/>
        </w:rPr>
        <w:fldChar w:fldCharType="end"/>
      </w:r>
      <w:r>
        <w:rPr>
          <w:rFonts w:ascii="Arial" w:hAnsi="Arial" w:cs="Arial"/>
          <w:sz w:val="24"/>
          <w:szCs w:val="24"/>
          <w:lang w:val="es-ES"/>
        </w:rPr>
        <w:t xml:space="preserve">. Es una herramienta útil como sistema de apoyo en la toma de decisiones para la gestión óptima del cultivo del tomate, señalando que los modelos bien calibrados con condiciones climáticas cambiantes pueden aplicarse para simular y predecir el cuajado del tomate, la biomasa, la eficiencia en el uso del agua y el rendimiento. Es utilizado para analizar la respuesta del tomate al cambio climático, el riego y la gestión de los fertilizantes nitrogenados </w:t>
      </w:r>
      <w:r>
        <w:rPr>
          <w:rFonts w:ascii="Arial" w:hAnsi="Arial" w:cs="Arial"/>
          <w:sz w:val="24"/>
          <w:szCs w:val="24"/>
          <w:lang w:val="es-ES"/>
        </w:rPr>
        <w:fldChar w:fldCharType="begin"/>
      </w:r>
      <w:r w:rsidR="00350D30">
        <w:rPr>
          <w:rFonts w:ascii="Arial" w:hAnsi="Arial" w:cs="Arial"/>
          <w:sz w:val="24"/>
          <w:szCs w:val="24"/>
          <w:lang w:val="es-ES"/>
        </w:rPr>
        <w:instrText xml:space="preserve"> ADDIN ZOTERO_ITEM CSL_CITATION {"citationID":"X12XOOzN","properties":{"custom":"(Ventrella, {\\i{}et al}., 2012)","formattedCitation":"(Ventrella, {\\i{}et al}., 2012)","plainCitation":"(Ventrella, et al., 2012)","noteIndex":0},"citationItems":[{"id":712,"uris":["http://zotero.org/users/12642312/items/MYSPD4QZ"],"itemData":{"id":712,"type":"article-journal","container-title":"Regional Environmental Change","DOI":"10.1007/s10113-011-0256-3","ISSN":"1436-3798, 1436-378X","issue":"3","journalAbbreviation":"Reg Environ Change","language":"en","license":"http://www.springer.com/tdm","page":"407-419","source":"DOI.org (Crossref)","title":"Agronomic adaptation strategies under climate change for winter durum wheat and tomato in southern Italy: irrigation and nitrogen fertilization","title-short":"Agronomic adaptation strategies under climate change for winter durum wheat and tomato in southern Italy","URL":"http://link.springer.com/10.1007/s10113-011-0256-3","volume":"12","author":[{"family":"Ventrella","given":"Domenico"},{"family":"Charfeddine","given":"Monia"},{"family":"Moriondo","given":"Marco"},{"family":"Rinaldi","given":"Michele"},{"family":"Bindi","given":"Marco"}],"accessed":{"date-parts":[["2025",3,12]]},"issued":{"date-parts":[["2012",9]]}}}],"schema":"https://github.com/citation-style-language/schema/raw/master/csl-citation.json"} </w:instrText>
      </w:r>
      <w:r>
        <w:rPr>
          <w:rFonts w:ascii="Arial" w:hAnsi="Arial" w:cs="Arial"/>
          <w:sz w:val="24"/>
          <w:szCs w:val="24"/>
          <w:lang w:val="es-ES"/>
        </w:rPr>
        <w:fldChar w:fldCharType="separate"/>
      </w:r>
      <w:r w:rsidR="00350D30" w:rsidRPr="00350D30">
        <w:rPr>
          <w:rFonts w:ascii="Arial" w:hAnsi="Arial" w:cs="Arial"/>
          <w:sz w:val="24"/>
          <w:szCs w:val="24"/>
          <w:lang w:val="es-ES"/>
        </w:rPr>
        <w:t xml:space="preserve">(Ventrella, </w:t>
      </w:r>
      <w:r w:rsidR="00350D30" w:rsidRPr="00350D30">
        <w:rPr>
          <w:rFonts w:ascii="Arial" w:hAnsi="Arial" w:cs="Arial"/>
          <w:i/>
          <w:iCs/>
          <w:sz w:val="24"/>
          <w:szCs w:val="24"/>
          <w:lang w:val="es-ES"/>
        </w:rPr>
        <w:t>et al</w:t>
      </w:r>
      <w:r w:rsidR="00350D30" w:rsidRPr="00350D30">
        <w:rPr>
          <w:rFonts w:ascii="Arial" w:hAnsi="Arial" w:cs="Arial"/>
          <w:sz w:val="24"/>
          <w:szCs w:val="24"/>
          <w:lang w:val="es-ES"/>
        </w:rPr>
        <w:t>., 2012)</w:t>
      </w:r>
      <w:r>
        <w:rPr>
          <w:rFonts w:ascii="Arial" w:hAnsi="Arial" w:cs="Arial"/>
          <w:sz w:val="24"/>
          <w:szCs w:val="24"/>
          <w:lang w:val="es-ES"/>
        </w:rPr>
        <w:fldChar w:fldCharType="end"/>
      </w:r>
      <w:r>
        <w:rPr>
          <w:rFonts w:ascii="Arial" w:hAnsi="Arial" w:cs="Arial"/>
          <w:sz w:val="24"/>
          <w:szCs w:val="24"/>
          <w:lang w:val="es-ES"/>
        </w:rPr>
        <w:t xml:space="preserve">. </w:t>
      </w:r>
    </w:p>
    <w:p w14:paraId="43438AD8" w14:textId="3239E8D1"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Manejando un conjunto de datos climáticos y modelos de cultivo de este estudio, se ha verificado que el cambio climático podría afectar negativamente los rendimientos del tomate, dependiendo de la interacción entre la fenología del cultivo y las condiciones climáticas y con el ciclo fenológico. Además, limitando el cambio de temperatura media global a 2</w:t>
      </w:r>
      <w:r w:rsidR="008D2E16">
        <w:rPr>
          <w:rFonts w:ascii="Arial" w:hAnsi="Arial" w:cs="Arial"/>
          <w:sz w:val="24"/>
          <w:szCs w:val="24"/>
          <w:lang w:val="es-ES"/>
        </w:rPr>
        <w:t xml:space="preserve"> </w:t>
      </w:r>
      <w:proofErr w:type="spellStart"/>
      <w:r>
        <w:rPr>
          <w:rFonts w:ascii="Arial" w:hAnsi="Arial" w:cs="Arial"/>
          <w:sz w:val="24"/>
          <w:szCs w:val="24"/>
          <w:lang w:val="es-ES"/>
        </w:rPr>
        <w:t>ºC</w:t>
      </w:r>
      <w:proofErr w:type="spellEnd"/>
      <w:r>
        <w:rPr>
          <w:rFonts w:ascii="Arial" w:hAnsi="Arial" w:cs="Arial"/>
          <w:sz w:val="24"/>
          <w:szCs w:val="24"/>
          <w:lang w:val="es-ES"/>
        </w:rPr>
        <w:t xml:space="preserve">, la aplicación de estrategias de adaptación, como el riego y la fertilización nitrogenada, mostraron un efecto positivo a la hora de minimizar los impactos negativos del cambio climático sobre la productividad del tomate cultivado en el sur de Italia. Para un cambio de temperatura de alrededor de 5 </w:t>
      </w:r>
      <w:proofErr w:type="spellStart"/>
      <w:r>
        <w:rPr>
          <w:rFonts w:ascii="Arial" w:hAnsi="Arial" w:cs="Arial"/>
          <w:sz w:val="24"/>
          <w:szCs w:val="24"/>
          <w:lang w:val="es-ES"/>
        </w:rPr>
        <w:t>ºC</w:t>
      </w:r>
      <w:proofErr w:type="spellEnd"/>
      <w:r>
        <w:rPr>
          <w:rFonts w:ascii="Arial" w:hAnsi="Arial" w:cs="Arial"/>
          <w:sz w:val="24"/>
          <w:szCs w:val="24"/>
          <w:lang w:val="es-ES"/>
        </w:rPr>
        <w:t xml:space="preserve">, es probable que las condiciones ambientales superen la capacidad de adaptación del cultivo y, por tanto, no sería posible restaurar el nivel de rendimiento de la línea de base. </w:t>
      </w:r>
    </w:p>
    <w:p w14:paraId="1132609B"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Otra estrategia de adaptación es la elección de la época de siembra/trasplante y efectuar trasplantes tempranos podrían minimizar el impacto negativo del cambio climático sobre la productividad del cultivo </w:t>
      </w:r>
      <w:r>
        <w:rPr>
          <w:rFonts w:ascii="Arial" w:hAnsi="Arial" w:cs="Arial"/>
          <w:sz w:val="24"/>
          <w:szCs w:val="24"/>
          <w:lang w:val="es-ES"/>
        </w:rPr>
        <w:fldChar w:fldCharType="begin"/>
      </w:r>
      <w:r w:rsidR="00AB3FFB">
        <w:rPr>
          <w:rFonts w:ascii="Arial" w:hAnsi="Arial" w:cs="Arial"/>
          <w:sz w:val="24"/>
          <w:szCs w:val="24"/>
          <w:lang w:val="es-ES"/>
        </w:rPr>
        <w:instrText xml:space="preserve"> ADDIN ZOTERO_ITEM CSL_CITATION {"citationID":"SdF2Cc2z","properties":{"custom":"(Ventrella, {\\i{}et al}., 2012)","formattedCitation":"(Ventrella, {\\i{}et al}., 2012)","plainCitation":"(Ventrella, et al., 2012)","noteIndex":0},"citationItems":[{"id":640,"uris":["http://zotero.org/users/12642312/items/VLD4ER7M"],"itemData":{"id":640,"type":"article-journal","abstract":"Many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schema":"https://github.com/citation-style-language/schema/raw/master/csl-citation.json"} </w:instrText>
      </w:r>
      <w:r>
        <w:rPr>
          <w:rFonts w:ascii="Arial" w:hAnsi="Arial" w:cs="Arial"/>
          <w:sz w:val="24"/>
          <w:szCs w:val="24"/>
          <w:lang w:val="es-ES"/>
        </w:rPr>
        <w:fldChar w:fldCharType="separate"/>
      </w:r>
      <w:r w:rsidR="00AB3FFB" w:rsidRPr="00AB3FFB">
        <w:rPr>
          <w:rFonts w:ascii="Arial" w:hAnsi="Arial" w:cs="Arial"/>
          <w:sz w:val="24"/>
          <w:szCs w:val="24"/>
          <w:lang w:val="es-ES"/>
        </w:rPr>
        <w:t xml:space="preserve">(Ventrella, </w:t>
      </w:r>
      <w:r w:rsidR="00AB3FFB" w:rsidRPr="00AB3FFB">
        <w:rPr>
          <w:rFonts w:ascii="Arial" w:hAnsi="Arial" w:cs="Arial"/>
          <w:i/>
          <w:iCs/>
          <w:sz w:val="24"/>
          <w:szCs w:val="24"/>
          <w:lang w:val="es-ES"/>
        </w:rPr>
        <w:t>et al</w:t>
      </w:r>
      <w:r w:rsidR="00AB3FFB" w:rsidRPr="00AB3FFB">
        <w:rPr>
          <w:rFonts w:ascii="Arial" w:hAnsi="Arial" w:cs="Arial"/>
          <w:sz w:val="24"/>
          <w:szCs w:val="24"/>
          <w:lang w:val="es-ES"/>
        </w:rPr>
        <w:t>., 2012)</w:t>
      </w:r>
      <w:r>
        <w:rPr>
          <w:rFonts w:ascii="Arial" w:hAnsi="Arial" w:cs="Arial"/>
          <w:sz w:val="24"/>
          <w:szCs w:val="24"/>
          <w:lang w:val="es-ES"/>
        </w:rPr>
        <w:fldChar w:fldCharType="end"/>
      </w:r>
      <w:r>
        <w:rPr>
          <w:rFonts w:ascii="Arial" w:hAnsi="Arial" w:cs="Arial"/>
          <w:sz w:val="24"/>
          <w:szCs w:val="24"/>
          <w:lang w:val="es-ES"/>
        </w:rPr>
        <w:t>. La capacidad de los modelos CROPGRO proporcionan herramientas útiles para evaluar las opciones de gestión bajo el cambio climático.</w:t>
      </w:r>
    </w:p>
    <w:p w14:paraId="54B0CF82" w14:textId="24629AC6"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hAnsi="Arial" w:cs="Arial"/>
          <w:sz w:val="24"/>
          <w:szCs w:val="24"/>
          <w:lang w:val="es-ES"/>
        </w:rPr>
      </w:pPr>
      <w:r>
        <w:rPr>
          <w:rFonts w:ascii="Arial" w:hAnsi="Arial" w:cs="Arial"/>
          <w:sz w:val="24"/>
          <w:szCs w:val="24"/>
          <w:lang w:val="es-ES"/>
        </w:rPr>
        <w:t xml:space="preserve">En estudios de simulación en invernaderos la aplicación de este modelo, basado en procesos, puede ser útil para comprender los efectos de la luz en la producción, lo que, a su vez, puede proporcionar una base para determinar si se debe promover o </w:t>
      </w:r>
      <w:r>
        <w:rPr>
          <w:rFonts w:ascii="Arial" w:hAnsi="Arial" w:cs="Arial"/>
          <w:sz w:val="24"/>
          <w:szCs w:val="24"/>
          <w:lang w:val="es-ES"/>
        </w:rPr>
        <w:lastRenderedPageBreak/>
        <w:t xml:space="preserve">no la adopción de un invernadero fotovoltaico </w:t>
      </w:r>
      <w:r>
        <w:rPr>
          <w:rFonts w:ascii="Arial" w:hAnsi="Arial" w:cs="Arial"/>
          <w:sz w:val="24"/>
          <w:szCs w:val="24"/>
          <w:lang w:val="es-ES"/>
        </w:rPr>
        <w:fldChar w:fldCharType="begin"/>
      </w:r>
      <w:r w:rsidR="00AA3B90">
        <w:rPr>
          <w:rFonts w:ascii="Arial" w:hAnsi="Arial" w:cs="Arial"/>
          <w:sz w:val="24"/>
          <w:szCs w:val="24"/>
          <w:lang w:val="es-ES"/>
        </w:rPr>
        <w:instrText xml:space="preserve"> ADDIN ZOTERO_ITEM CSL_CITATION {"citationID":"zkXnPoG3","properties":{"custom":"(Jones {\\i{}et al}., 2003; Boote {\\i{}et al}., 2012; Ventrella,{\\i{} et al}., 2012)","unsorted":true,"formattedCitation":"(Jones {\\i{}et al}., 2003; Boote {\\i{}et al}., 2012; Ventrella,{\\i{} et al}., 2012)","plainCitation":"(Jones et al., 2003; Boote et al., 2012; Ventrella, et al., 2012)","noteIndex":0},"citationItems":[{"id":297,"uris":["http://zotero.org/users/12642312/items/MCNDK7J9"],"itemData":{"id":297,"type":"article-journal","abstract":"The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model","URL":"https://www.sciencedirect.com/science/article/pii/S1161030102001077","volume":"18","author":[{"family":"Jones","given":"J. W"},{"family":"Hoogenboom","given":"G"},{"family":"Porter","given":"C. H"},{"family":"Boote","given":"K. J"},{"family":"Batchelor","given":"W. D"},{"family":"Hunt","given":"L. A"},{"family":"Wilkens","given":"P. W"},{"family":"Singh","given":"U"},{"family":"Gijsman","given":"A. J"},{"family":"Ritchie","given":"J. T"}],"accessed":{"date-parts":[["2023",12,18]]},"issued":{"date-parts":[["2003",1,1]]}},"label":"page"},{"id":1231,"uris":["http://zotero.org/users/12642312/items/F3PDPX3Y"],"itemData":{"id":1231,"type":"article-journal","abstract":"Parameterizing crop models for more accurate response to climate factors such as temperature is important considering potential temperature increases associated with climate change, particularly for tomato (Lycopersicon esculentum Mill.), which is a heat-sensitive crop. The objective of this work was to update the cardinal temperature parameters of the CROPGRO-Tomato model affecting the simulation of crop development, daily dry matter (DM) production, fruit set, and DM partitioning of field-grown tomato from transplanting to harvest. The main adaptation relied on new literature values for cardinal temperature parameters that affect tomato crop phenology, fruit set, and fruit growth. The new cardinal temperature values are considered reliable because they come from recent published experiments conducted in controlled-temperature environments. Use of the new cardinal temperatures in the CROPGRO-Tomato model affected the rate of crop development compared with prior default parameters; thus, we found it necessary to recalibrate genetic coefficients that affect life cycle phases and growth simulated by the model. The model was recalibrated and evaluated with 10 growth analyses data sets collected in field experiments conducted at three locations in Florida (Bradenton, Quincy, and Gainesville) from 1991 to 2007. Use of modified parameters sufficiently improved model performance to provide accurate prediction of crop and fruit DM accumulation throughout the season. Overall, the average root mean square error (RMSE) over all experiments was reduced 44% for leaf area index, 71% for fruit number, and 36% for both aboveground biomass and fruit dry weight simulations with the modified parameters compared with the default. The Willmott d index was higher and was always above 0.92. The CROPGRO-Tomato model with these modified cardinal temperature parameters will predict more accurately tomato growth and yield response to temperature and thus be useful in model applications.","container-title":"HortScience","DOI":"10.21273/HORTSCI.47.8.1038","ISSN":"0018-5345, 2327-9834","issue":"8","language":"en_US","note":"publisher: American Society for Horticultural Science\nsection: HortScience","page":"1038-1049","source":"journals.ashs.org","title":"Improving the CROPGRO-Tomato Model for Predicting Growth and Yield Response to Temperature","URL":"https://journals.ashs.org/hortsci/view/journals/hortsci/47/8/article-p1038.xml","volume":"47","author":[{"family":"Boote","given":"Kenneth J."},{"family":"Rybak","given":"Maria R."},{"family":"Scholberg","given":"Johan M. S."},{"family":"Jones","given":"James W."}],"accessed":{"date-parts":[["2025",4,2]]},"issued":{"date-parts":[["2012",8,1]]}},"label":"page"},{"id":640,"uris":["http://zotero.org/users/12642312/items/VLD4ER7M"],"itemData":{"id":640,"type":"article-journal","abstract":"Many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schema":"https://github.com/citation-style-language/schema/raw/master/csl-citation.json"} </w:instrText>
      </w:r>
      <w:r>
        <w:rPr>
          <w:rFonts w:ascii="Arial" w:hAnsi="Arial" w:cs="Arial"/>
          <w:sz w:val="24"/>
          <w:szCs w:val="24"/>
          <w:lang w:val="es-ES"/>
        </w:rPr>
        <w:fldChar w:fldCharType="separate"/>
      </w:r>
      <w:r w:rsidR="00AA3B90" w:rsidRPr="007A5005">
        <w:rPr>
          <w:rFonts w:ascii="Arial" w:hAnsi="Arial" w:cs="Arial"/>
          <w:sz w:val="24"/>
          <w:szCs w:val="24"/>
          <w:lang w:val="es-ES"/>
        </w:rPr>
        <w:t xml:space="preserve">(Jones </w:t>
      </w:r>
      <w:r w:rsidR="00AA3B90" w:rsidRPr="007A5005">
        <w:rPr>
          <w:rFonts w:ascii="Arial" w:hAnsi="Arial" w:cs="Arial"/>
          <w:i/>
          <w:iCs/>
          <w:sz w:val="24"/>
          <w:szCs w:val="24"/>
          <w:lang w:val="es-ES"/>
        </w:rPr>
        <w:t>et al</w:t>
      </w:r>
      <w:r w:rsidR="00AA3B90" w:rsidRPr="007A5005">
        <w:rPr>
          <w:rFonts w:ascii="Arial" w:hAnsi="Arial" w:cs="Arial"/>
          <w:sz w:val="24"/>
          <w:szCs w:val="24"/>
          <w:lang w:val="es-ES"/>
        </w:rPr>
        <w:t xml:space="preserve">., 2003; Boote </w:t>
      </w:r>
      <w:r w:rsidR="00AA3B90" w:rsidRPr="007A5005">
        <w:rPr>
          <w:rFonts w:ascii="Arial" w:hAnsi="Arial" w:cs="Arial"/>
          <w:i/>
          <w:iCs/>
          <w:sz w:val="24"/>
          <w:szCs w:val="24"/>
          <w:lang w:val="es-ES"/>
        </w:rPr>
        <w:t>et al</w:t>
      </w:r>
      <w:r w:rsidR="00AA3B90" w:rsidRPr="007A5005">
        <w:rPr>
          <w:rFonts w:ascii="Arial" w:hAnsi="Arial" w:cs="Arial"/>
          <w:sz w:val="24"/>
          <w:szCs w:val="24"/>
          <w:lang w:val="es-ES"/>
        </w:rPr>
        <w:t>., 2012; Ventrella,</w:t>
      </w:r>
      <w:r w:rsidR="00AA3B90" w:rsidRPr="007A5005">
        <w:rPr>
          <w:rFonts w:ascii="Arial" w:hAnsi="Arial" w:cs="Arial"/>
          <w:i/>
          <w:iCs/>
          <w:sz w:val="24"/>
          <w:szCs w:val="24"/>
          <w:lang w:val="es-ES"/>
        </w:rPr>
        <w:t xml:space="preserve"> et al</w:t>
      </w:r>
      <w:r w:rsidR="00AA3B90" w:rsidRPr="007A5005">
        <w:rPr>
          <w:rFonts w:ascii="Arial" w:hAnsi="Arial" w:cs="Arial"/>
          <w:sz w:val="24"/>
          <w:szCs w:val="24"/>
          <w:lang w:val="es-ES"/>
        </w:rPr>
        <w:t>., 2012)</w:t>
      </w:r>
      <w:r>
        <w:rPr>
          <w:rFonts w:ascii="Arial" w:hAnsi="Arial" w:cs="Arial"/>
          <w:sz w:val="24"/>
          <w:szCs w:val="24"/>
          <w:lang w:val="es-ES"/>
        </w:rPr>
        <w:fldChar w:fldCharType="end"/>
      </w:r>
      <w:r>
        <w:rPr>
          <w:rFonts w:ascii="Arial" w:hAnsi="Arial" w:cs="Arial"/>
          <w:sz w:val="24"/>
          <w:szCs w:val="24"/>
          <w:lang w:val="es-ES"/>
        </w:rPr>
        <w:t xml:space="preserve">. CROPGRO, miembro del DSSAT, también puede emplearse para evaluar interacciones biofísicas en sistemas de ambiente controlado, incluidas las interacciones que implican luz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{"citationID":"ue4DP0Nt","properties":{"custom":"(Jones {\\i{}et al}., 2003)","formattedCitation":"(Jones {\\i{}et al}., 2003)","plainCitation":"(Jones et al., 2003)","noteIndex":0},"citationItems":[{"id":297,"uris":["http://zotero.org/users/12642312/items/MCNDK7J9"],"itemData":{"id":297,"type":"article-journal","abstract":"The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model","URL":"https://www.sciencedirect.com/science/article/pii/S1161030102001077","volume":"18","author":[{"family":"Jones","given":"J. W"},{"family":"Hoogenboom","given":"G"},{"family":"Porter","given":"C. H"},{"family":"Boote","given":"K. J"},{"family":"Batchelor","given":"W. D"},{"family":"Hunt","given":"L. A"},{"family":"Wilkens","given":"P. W"},{"family":"Singh","given":"U"},{"family":"Gijsman","given":"A. J"},{"family":"Ritchie","given":"J. T"}],"accessed":{"date-parts":[["2023",12,18]]},"issued":{"date-parts":[["2003",1,1]]}}}],"schema":"https://github.com/citation-style-language/schema/raw/master/csl-citation.json"}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(Jones </w:t>
      </w:r>
      <w:r>
        <w:rPr>
          <w:rFonts w:ascii="Arial" w:hAnsi="Arial" w:cs="Arial"/>
          <w:i/>
          <w:iCs/>
          <w:sz w:val="24"/>
          <w:szCs w:val="24"/>
          <w:lang w:val="es-ES"/>
        </w:rPr>
        <w:t>et al</w:t>
      </w:r>
      <w:r>
        <w:rPr>
          <w:rFonts w:ascii="Arial" w:hAnsi="Arial" w:cs="Arial"/>
          <w:sz w:val="24"/>
          <w:szCs w:val="24"/>
          <w:lang w:val="es-ES"/>
        </w:rPr>
        <w:t>., 2003)</w:t>
      </w:r>
      <w:r>
        <w:rPr>
          <w:rFonts w:ascii="Arial" w:hAnsi="Arial" w:cs="Arial"/>
          <w:sz w:val="24"/>
          <w:szCs w:val="24"/>
          <w:lang w:val="es-ES"/>
        </w:rPr>
        <w:fldChar w:fldCharType="end"/>
      </w:r>
      <w:r>
        <w:rPr>
          <w:rFonts w:ascii="Arial" w:hAnsi="Arial" w:cs="Arial"/>
          <w:sz w:val="24"/>
          <w:szCs w:val="24"/>
          <w:lang w:val="es-ES"/>
        </w:rPr>
        <w:t xml:space="preserve">. </w:t>
      </w:r>
    </w:p>
    <w:p w14:paraId="1E1586B8" w14:textId="5B728F97" w:rsidR="008403BD" w:rsidRDefault="007D49D9">
      <w:pPr>
        <w:tabs>
          <w:tab w:val="left" w:pos="708"/>
          <w:tab w:val="left" w:pos="1416"/>
          <w:tab w:val="left" w:pos="2124"/>
          <w:tab w:val="left" w:pos="2832"/>
          <w:tab w:val="left" w:pos="3540"/>
          <w:tab w:val="left" w:pos="4248"/>
          <w:tab w:val="left" w:pos="4956"/>
          <w:tab w:val="left" w:pos="5664"/>
          <w:tab w:val="left" w:pos="6372"/>
          <w:tab w:val="left" w:pos="7080"/>
          <w:tab w:val="left" w:pos="7788"/>
          <w:tab w:val="right" w:pos="8838"/>
        </w:tabs>
        <w:spacing w:before="120" w:after="0" w:line="360" w:lineRule="auto"/>
        <w:jc w:val="both"/>
        <w:rPr>
          <w:rFonts w:ascii="Arial" w:hAnsi="Arial" w:cs="Arial"/>
          <w:sz w:val="24"/>
          <w:szCs w:val="24"/>
          <w:lang w:val="es-ES"/>
        </w:rPr>
      </w:pPr>
      <w:r>
        <w:rPr>
          <w:rFonts w:ascii="Arial" w:hAnsi="Arial" w:cs="Arial"/>
          <w:sz w:val="24"/>
          <w:szCs w:val="24"/>
          <w:lang w:val="es-ES"/>
        </w:rPr>
        <w:t xml:space="preserve">El modelo CROPGRO-Tomato se ha calibrado para predecir la producción de tomate cultivado bajo diferentes condiciones de luz en un invernadero fotovoltaico donde se eliminó experimentalmente la competencia </w:t>
      </w:r>
      <w:proofErr w:type="spellStart"/>
      <w:r>
        <w:rPr>
          <w:rFonts w:ascii="Arial" w:hAnsi="Arial" w:cs="Arial"/>
          <w:sz w:val="24"/>
          <w:szCs w:val="24"/>
          <w:lang w:val="es-ES"/>
        </w:rPr>
        <w:t>interespecífica</w:t>
      </w:r>
      <w:proofErr w:type="spellEnd"/>
      <w:r>
        <w:rPr>
          <w:rFonts w:ascii="Arial" w:hAnsi="Arial" w:cs="Arial"/>
          <w:sz w:val="24"/>
          <w:szCs w:val="24"/>
          <w:lang w:val="es-ES"/>
        </w:rPr>
        <w:t xml:space="preserve"> por agua y nutrientes </w:t>
      </w:r>
      <w:r>
        <w:rPr>
          <w:rFonts w:ascii="Arial" w:hAnsi="Arial" w:cs="Arial"/>
          <w:sz w:val="24"/>
          <w:szCs w:val="24"/>
          <w:lang w:val="es-ES"/>
        </w:rPr>
        <w:fldChar w:fldCharType="begin"/>
      </w:r>
      <w:r w:rsidR="005F4615">
        <w:rPr>
          <w:rFonts w:ascii="Arial" w:hAnsi="Arial" w:cs="Arial"/>
          <w:sz w:val="24"/>
          <w:szCs w:val="24"/>
          <w:lang w:val="es-ES"/>
        </w:rPr>
        <w:instrText xml:space="preserve"> ADDIN ZOTERO_ITEM CSL_CITATION {"citationID":"17QrQ0XQ","properties":{"custom":"(Boote {\\i{}et al}., 2012; Ventrella {\\i{}et al}., 2012)","formattedCitation":"(Boote {\\i{}et al}., 2012; Ventrella {\\i{}et al}., 2012)","plainCitation":"(Boote et al., 2012; Ventrella et al., 2012)","noteIndex":0},"citationItems":[{"id":"CwEAk9Hn/WH6Y4utA","uris":["http://zotero.org/users/12642312/items/IDLXJN5U"],"itemData":{"id":703,"type":"article-journal","abstract":"Parameterizing crop models for more accurate response to climate factors such as temperature is important considering potential temperature increases associated with climate change, particularly for tomato (Lycopersicon esculentum Mill.), which is a heatsensitive crop. The objective of this work was to update the cardinal temperature parameters of the CROPGRO-Tomato model affecting the simulation of crop development, daily dry matter (DM) production, fruit set, and DM partitioning of ﬁeld-grown tomato from transplanting to harvest. The main adaptation relied on new literature values for cardinal temperature parameters that affect tomato crop phenology, fruit set, and fruit growth. The new cardinal temperature values are considered reliable because they come from recent published experiments conducted in controlled-temperature environments. Use of the new cardinal temperatures in the CROPGRO-Tomato model affected the rate of crop development compared with prior default parameters; thus, we found it necessary to recalibrate genetic coefﬁcients that affect life cycle phases and growth simulated by the model. The model was recalibrated and evaluated with 10 growth analyses data sets collected in ﬁeld experiments conducted at three locations in Florida (Bradenton, Quincy, and Gainesville) from 1991 to 2007. Use of modiﬁed parameters sufﬁciently improved model performance to provide accurate prediction of crop and fruit DM accumulation throughout the season. Overall, the average root mean square error (RMSE) over all experiments was reduced 44% for leaf area index, 71% for fruit number, and 36% for both aboveground biomass and fruit dry weight simulations with the modiﬁed parameters compared with the default. The Willmott d index was higher and was always above 0.92. The CROPGRO-Tomato model with these modiﬁed cardinal temperature parameters will predict more accurately tomato growth and yield response to temperature and thus be useful in model applications.","container-title":"HortScience","DOI":"10.21273/HORTSCI.47.8.1038","ISSN":"0018-5345, 2327-9834","issue":"8","journalAbbreviation":"horts","language":"en","page":"1038-1049","source":"DOI.org (Crossref)","title":"Improving the CROPGRO-Tomato Model for Predicting Growth and Yield Response to Temperature","URL":"https://journals.ashs.org/view/journals/hortsci/47/8/article-p1038.xml","volume":"47","author":[{"family":"Boote","given":"Kenneth J."},{"family":"Rybak","given":"Maria R."},{"family":"Scholberg","given":"Johan M.S."},{"family":"Jones","given":"James W."}],"accessed":{"date-parts":[["2025",3,12]]},"issued":{"date-parts":[["2012",8]]}},"label":"page"},{"id":640,"uris":["http://zotero.org/users/12642312/items/VLD4ER7M"],"itemData":{"id":640,"type":"article-journal","abstract":"Many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(Boote </w:t>
      </w:r>
      <w:r>
        <w:rPr>
          <w:rFonts w:ascii="Arial" w:hAnsi="Arial" w:cs="Arial"/>
          <w:i/>
          <w:iCs/>
          <w:sz w:val="24"/>
          <w:szCs w:val="24"/>
          <w:lang w:val="es-ES"/>
        </w:rPr>
        <w:t>et al</w:t>
      </w:r>
      <w:r>
        <w:rPr>
          <w:rFonts w:ascii="Arial" w:hAnsi="Arial" w:cs="Arial"/>
          <w:sz w:val="24"/>
          <w:szCs w:val="24"/>
          <w:lang w:val="es-ES"/>
        </w:rPr>
        <w:t xml:space="preserve">., 2012; Ventrella </w:t>
      </w:r>
      <w:r>
        <w:rPr>
          <w:rFonts w:ascii="Arial" w:hAnsi="Arial" w:cs="Arial"/>
          <w:i/>
          <w:iCs/>
          <w:sz w:val="24"/>
          <w:szCs w:val="24"/>
          <w:lang w:val="es-ES"/>
        </w:rPr>
        <w:t>et al</w:t>
      </w:r>
      <w:r>
        <w:rPr>
          <w:rFonts w:ascii="Arial" w:hAnsi="Arial" w:cs="Arial"/>
          <w:sz w:val="24"/>
          <w:szCs w:val="24"/>
          <w:lang w:val="es-ES"/>
        </w:rPr>
        <w:t>., 2012)</w:t>
      </w:r>
      <w:r>
        <w:rPr>
          <w:rFonts w:ascii="Arial" w:hAnsi="Arial" w:cs="Arial"/>
          <w:sz w:val="24"/>
          <w:szCs w:val="24"/>
          <w:lang w:val="es-ES"/>
        </w:rPr>
        <w:fldChar w:fldCharType="end"/>
      </w:r>
      <w:r>
        <w:rPr>
          <w:rFonts w:ascii="Arial" w:hAnsi="Arial" w:cs="Arial"/>
          <w:sz w:val="24"/>
          <w:szCs w:val="24"/>
          <w:lang w:val="es-ES"/>
        </w:rPr>
        <w:t xml:space="preserve">. </w:t>
      </w:r>
    </w:p>
    <w:p w14:paraId="3ADE082D" w14:textId="77777777" w:rsidR="008403BD" w:rsidRDefault="007D49D9">
      <w:pPr>
        <w:spacing w:after="160" w:line="259" w:lineRule="auto"/>
        <w:rPr>
          <w:rFonts w:ascii="Arial" w:hAnsi="Arial" w:cs="Arial"/>
          <w:b/>
          <w:bCs/>
          <w:sz w:val="36"/>
          <w:szCs w:val="36"/>
          <w:lang w:val="es-ES_tradnl"/>
        </w:rPr>
      </w:pPr>
      <w:r>
        <w:rPr>
          <w:rFonts w:ascii="Arial" w:hAnsi="Arial" w:cs="Arial"/>
          <w:b/>
          <w:bCs/>
          <w:sz w:val="36"/>
          <w:szCs w:val="36"/>
          <w:lang w:val="es-ES_tradnl"/>
        </w:rPr>
        <w:br w:type="page"/>
      </w:r>
    </w:p>
    <w:p w14:paraId="72EC7D30" w14:textId="77777777" w:rsidR="008403BD" w:rsidRDefault="007D49D9">
      <w:pPr>
        <w:pStyle w:val="Ttulo1"/>
        <w:rPr>
          <w:lang w:val="es-ES_tradnl"/>
        </w:rPr>
      </w:pPr>
      <w:bookmarkStart w:id="16" w:name="_Toc195014954"/>
      <w:r>
        <w:rPr>
          <w:lang w:val="es-ES_tradnl"/>
        </w:rPr>
        <w:lastRenderedPageBreak/>
        <w:t>CAPÍTULO II MATERIALES Y MÉTODOS</w:t>
      </w:r>
      <w:bookmarkEnd w:id="16"/>
    </w:p>
    <w:p w14:paraId="758B8848" w14:textId="77777777" w:rsidR="008403BD" w:rsidRDefault="008403BD">
      <w:pPr>
        <w:rPr>
          <w:lang w:val="es-ES_tradnl"/>
        </w:rPr>
      </w:pPr>
    </w:p>
    <w:p w14:paraId="04F81717" w14:textId="77777777" w:rsidR="008403BD" w:rsidRDefault="007D49D9">
      <w:pPr>
        <w:pStyle w:val="Ttulo2"/>
        <w:rPr>
          <w:rFonts w:ascii="Arial" w:hAnsi="Arial" w:cs="Arial"/>
          <w:b/>
          <w:color w:val="000000"/>
          <w:sz w:val="28"/>
          <w:szCs w:val="28"/>
          <w:lang w:val="es-ES"/>
        </w:rPr>
      </w:pPr>
      <w:bookmarkStart w:id="17" w:name="_Toc195014955"/>
      <w:r>
        <w:rPr>
          <w:rFonts w:ascii="Arial" w:hAnsi="Arial" w:cs="Arial"/>
          <w:b/>
          <w:color w:val="000000"/>
          <w:sz w:val="28"/>
          <w:szCs w:val="28"/>
          <w:lang w:val="es-ES"/>
        </w:rPr>
        <w:t>2.1 Calibración de los coeficientes genéticos para el cultivar Elbita</w:t>
      </w:r>
      <w:bookmarkEnd w:id="17"/>
    </w:p>
    <w:p w14:paraId="3C9A743E" w14:textId="2A977861"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Los datos para la calibración del modelo se colectaron </w:t>
      </w:r>
      <w:r>
        <w:rPr>
          <w:rFonts w:ascii="Arial" w:eastAsia="Calibri" w:hAnsi="Arial" w:cs="Arial"/>
          <w:sz w:val="24"/>
          <w:szCs w:val="24"/>
          <w:lang w:val="es-ES"/>
        </w:rPr>
        <w:t xml:space="preserve">en dos periodos de siembra en el área central del Instituto Nacional de Ciencias Agrícolas (INCA), que se sitúa en el km. 3 ½ de la carretera San José a Tapaste, municipio de San José de las Lajas, provincia Mayabeque. El instituto se ubica a los </w:t>
      </w:r>
      <w:r w:rsidR="006E48DB" w:rsidRPr="006E48DB">
        <w:rPr>
          <w:rFonts w:ascii="Arial" w:eastAsia="Calibri" w:hAnsi="Arial" w:cs="Arial"/>
          <w:sz w:val="24"/>
          <w:szCs w:val="24"/>
          <w:lang w:val="es-ES"/>
        </w:rPr>
        <w:t>22°57'45"</w:t>
      </w:r>
      <w:r>
        <w:rPr>
          <w:rFonts w:ascii="Arial" w:eastAsia="Calibri" w:hAnsi="Arial" w:cs="Arial"/>
          <w:sz w:val="24"/>
          <w:szCs w:val="24"/>
          <w:lang w:val="es-ES"/>
        </w:rPr>
        <w:t xml:space="preserve"> de latitud n</w:t>
      </w:r>
      <w:r w:rsidR="006E48DB">
        <w:rPr>
          <w:rFonts w:ascii="Arial" w:eastAsia="Calibri" w:hAnsi="Arial" w:cs="Arial"/>
          <w:sz w:val="24"/>
          <w:szCs w:val="24"/>
          <w:lang w:val="es-ES"/>
        </w:rPr>
        <w:t xml:space="preserve">orte y </w:t>
      </w:r>
      <w:r w:rsidR="006E48DB" w:rsidRPr="006E48DB">
        <w:rPr>
          <w:rFonts w:ascii="Arial" w:eastAsia="Calibri" w:hAnsi="Arial" w:cs="Arial"/>
          <w:sz w:val="24"/>
          <w:szCs w:val="24"/>
          <w:lang w:val="es-ES"/>
        </w:rPr>
        <w:t xml:space="preserve">82°09'04" </w:t>
      </w:r>
      <w:r w:rsidR="006E48DB">
        <w:rPr>
          <w:rFonts w:ascii="Arial" w:eastAsia="Calibri" w:hAnsi="Arial" w:cs="Arial"/>
          <w:sz w:val="24"/>
          <w:szCs w:val="24"/>
          <w:lang w:val="es-ES"/>
        </w:rPr>
        <w:t>de longitud oeste.</w:t>
      </w:r>
    </w:p>
    <w:p w14:paraId="0C6A52C8" w14:textId="77777777" w:rsidR="008403BD" w:rsidRDefault="007D49D9">
      <w:pPr>
        <w:autoSpaceDE w:val="0"/>
        <w:autoSpaceDN w:val="0"/>
        <w:adjustRightInd w:val="0"/>
        <w:spacing w:after="0" w:line="360" w:lineRule="auto"/>
        <w:jc w:val="both"/>
        <w:rPr>
          <w:rFonts w:ascii="Arial" w:eastAsia="Calibri" w:hAnsi="Arial" w:cs="Arial"/>
          <w:sz w:val="24"/>
          <w:szCs w:val="24"/>
          <w:lang w:val="es-ES"/>
        </w:rPr>
      </w:pPr>
      <w:r>
        <w:rPr>
          <w:rFonts w:ascii="Arial" w:eastAsia="Calibri" w:hAnsi="Arial" w:cs="Arial"/>
          <w:sz w:val="24"/>
          <w:szCs w:val="24"/>
          <w:lang w:val="es-ES"/>
        </w:rPr>
        <w:t xml:space="preserve">Las atenciones culturales en todos los casos se efectuaron según el Instructivo Técnico para Organopónicos y Huertos Intensivos, para el tomate </w:t>
      </w:r>
      <w:r>
        <w:rPr>
          <w:rFonts w:ascii="Arial" w:eastAsia="Calibri" w:hAnsi="Arial" w:cs="Arial"/>
          <w:sz w:val="24"/>
          <w:szCs w:val="24"/>
          <w:lang w:val="es-ES"/>
        </w:rPr>
        <w:fldChar w:fldCharType="begin"/>
      </w:r>
      <w:r>
        <w:rPr>
          <w:rFonts w:ascii="Arial" w:eastAsia="Calibri" w:hAnsi="Arial" w:cs="Arial"/>
          <w:sz w:val="24"/>
          <w:szCs w:val="24"/>
          <w:lang w:val="es-ES"/>
        </w:rPr>
        <w:instrText xml:space="preserve"> ADDIN ZOTERO_ITEM CSL_CITATION {"citationID":"sxvd4IVb","properties":{"custom":"(Rodr\\uc0\\u237{}guez {\\i{}et al}., 2007)","formattedCitation":"(Rodr\\uc0\\u237{}guez {\\i{}et al}., 2007)","plainCitation":"(Rodríguez et al., 2007)","noteIndex":0},"citationItems":[{"id":1240,"uris":["http://zotero.org/users/12642312/items/XVHMF2HF"],"itemData":{"id":1240,"type":"article-journal","container-title":"Instituto Nacional de Investigaciones Fundamentales en Agricultura Tropical (INIFAT), ACTAF ed., La Habana, Cuba","page":"6–23","source":"Google Scholar","title":"Manual técnico para organopónicos, huertos intensivos y organoponía semiprotegida","author":[{"family":"Rodríguez","given":"Adolfo"},{"family":"Companioni","given":"N."},{"family":"Peña","given":"Elizabeth"},{"family":"Cañet","given":"F."},{"family":"Fresneda","given":"J."},{"family":"Estrada","given":"J."},{"family":"Rey","given":"R."},{"family":"Fernández","given":"E."},{"family":"Vázquez","given":"L."},{"family":"Avilés","given":"R."}],"issued":{"date-parts":[["2007"]]}}}],"schema":"https://github.com/citation-style-language/schema/raw/master/csl-citation.json"} </w:instrText>
      </w:r>
      <w:r>
        <w:rPr>
          <w:rFonts w:ascii="Arial" w:eastAsia="Calibri" w:hAnsi="Arial" w:cs="Arial"/>
          <w:sz w:val="24"/>
          <w:szCs w:val="24"/>
          <w:lang w:val="es-ES"/>
        </w:rPr>
        <w:fldChar w:fldCharType="separate"/>
      </w:r>
      <w:r>
        <w:rPr>
          <w:rFonts w:ascii="Arial" w:hAnsi="Arial" w:cs="Arial"/>
          <w:sz w:val="24"/>
          <w:szCs w:val="24"/>
          <w:lang w:val="es-ES"/>
        </w:rPr>
        <w:t xml:space="preserve">(Rodríguez </w:t>
      </w:r>
      <w:r>
        <w:rPr>
          <w:rFonts w:ascii="Arial" w:hAnsi="Arial" w:cs="Arial"/>
          <w:i/>
          <w:iCs/>
          <w:sz w:val="24"/>
          <w:szCs w:val="24"/>
          <w:lang w:val="es-ES"/>
        </w:rPr>
        <w:t>et al</w:t>
      </w:r>
      <w:r>
        <w:rPr>
          <w:rFonts w:ascii="Arial" w:hAnsi="Arial" w:cs="Arial"/>
          <w:sz w:val="24"/>
          <w:szCs w:val="24"/>
          <w:lang w:val="es-ES"/>
        </w:rPr>
        <w:t>., 2007)</w:t>
      </w:r>
      <w:r>
        <w:rPr>
          <w:rFonts w:ascii="Arial" w:eastAsia="Calibri" w:hAnsi="Arial" w:cs="Arial"/>
          <w:sz w:val="24"/>
          <w:szCs w:val="24"/>
          <w:lang w:val="es-ES"/>
        </w:rPr>
        <w:fldChar w:fldCharType="end"/>
      </w:r>
      <w:r>
        <w:rPr>
          <w:rFonts w:ascii="Arial" w:eastAsia="Calibri" w:hAnsi="Arial" w:cs="Arial"/>
          <w:sz w:val="24"/>
          <w:szCs w:val="24"/>
          <w:lang w:val="es-ES"/>
        </w:rPr>
        <w:t xml:space="preserve">. Se tomaron muestras entre 0-20 cm de profundidad para la caracterización química del suelo. </w:t>
      </w:r>
    </w:p>
    <w:p w14:paraId="65F6777B" w14:textId="77777777"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El control de plagas se realizó de manera efectiva y la fertilización se efectuó mediante la aplicación de K</w:t>
      </w:r>
      <w:r>
        <w:rPr>
          <w:rFonts w:ascii="Arial" w:hAnsi="Arial" w:cs="Arial"/>
          <w:sz w:val="24"/>
          <w:szCs w:val="24"/>
          <w:vertAlign w:val="subscript"/>
          <w:lang w:val="es-ES"/>
        </w:rPr>
        <w:t>2</w:t>
      </w:r>
      <w:r>
        <w:rPr>
          <w:rFonts w:ascii="Arial" w:hAnsi="Arial" w:cs="Arial"/>
          <w:sz w:val="24"/>
          <w:szCs w:val="24"/>
          <w:lang w:val="es-ES"/>
        </w:rPr>
        <w:t>O y P</w:t>
      </w:r>
      <w:r>
        <w:rPr>
          <w:rFonts w:ascii="Arial" w:hAnsi="Arial" w:cs="Arial"/>
          <w:sz w:val="24"/>
          <w:szCs w:val="24"/>
          <w:vertAlign w:val="subscript"/>
          <w:lang w:val="es-ES"/>
        </w:rPr>
        <w:t>2</w:t>
      </w:r>
      <w:r>
        <w:rPr>
          <w:rFonts w:ascii="Arial" w:hAnsi="Arial" w:cs="Arial"/>
          <w:sz w:val="24"/>
          <w:szCs w:val="24"/>
          <w:lang w:val="es-ES"/>
        </w:rPr>
        <w:t>O</w:t>
      </w:r>
      <w:r>
        <w:rPr>
          <w:rFonts w:ascii="Arial" w:hAnsi="Arial" w:cs="Arial"/>
          <w:sz w:val="24"/>
          <w:szCs w:val="24"/>
          <w:vertAlign w:val="subscript"/>
          <w:lang w:val="es-ES"/>
        </w:rPr>
        <w:t>5</w:t>
      </w:r>
      <w:r>
        <w:rPr>
          <w:rFonts w:ascii="Arial" w:hAnsi="Arial" w:cs="Arial"/>
          <w:sz w:val="24"/>
          <w:szCs w:val="24"/>
          <w:lang w:val="es-ES"/>
        </w:rPr>
        <w:t xml:space="preserve"> de fondo, a razón de 60 kg ha</w:t>
      </w:r>
      <w:r>
        <w:rPr>
          <w:rFonts w:ascii="Arial" w:hAnsi="Arial" w:cs="Arial"/>
          <w:sz w:val="24"/>
          <w:szCs w:val="24"/>
          <w:vertAlign w:val="superscript"/>
          <w:lang w:val="es-ES"/>
        </w:rPr>
        <w:t xml:space="preserve">-1 </w:t>
      </w:r>
      <w:r>
        <w:rPr>
          <w:rFonts w:ascii="Arial" w:hAnsi="Arial" w:cs="Arial"/>
          <w:sz w:val="24"/>
          <w:szCs w:val="24"/>
          <w:lang w:val="es-ES"/>
        </w:rPr>
        <w:t>de ambos</w:t>
      </w:r>
      <w:r>
        <w:rPr>
          <w:rFonts w:ascii="Arial" w:hAnsi="Arial" w:cs="Arial"/>
          <w:color w:val="FF0000"/>
          <w:sz w:val="24"/>
          <w:szCs w:val="24"/>
          <w:lang w:val="es-ES"/>
        </w:rPr>
        <w:t xml:space="preserve"> </w:t>
      </w:r>
      <w:r>
        <w:rPr>
          <w:rFonts w:ascii="Arial" w:hAnsi="Arial" w:cs="Arial"/>
          <w:sz w:val="24"/>
          <w:szCs w:val="24"/>
          <w:lang w:val="es-ES"/>
        </w:rPr>
        <w:t>y 70 kg ha</w:t>
      </w:r>
      <w:r>
        <w:rPr>
          <w:rFonts w:ascii="Arial" w:hAnsi="Arial" w:cs="Arial"/>
          <w:sz w:val="24"/>
          <w:szCs w:val="24"/>
          <w:vertAlign w:val="superscript"/>
          <w:lang w:val="es-ES"/>
        </w:rPr>
        <w:t>-1</w:t>
      </w:r>
      <w:r>
        <w:rPr>
          <w:rFonts w:ascii="Arial" w:hAnsi="Arial" w:cs="Arial"/>
          <w:sz w:val="24"/>
          <w:szCs w:val="24"/>
          <w:lang w:val="es-ES"/>
        </w:rPr>
        <w:t xml:space="preserve"> de nitrógeno, fraccionados durante el ciclo del cultivo donde se aplicó el 10 % del total en cada fertilización (</w:t>
      </w:r>
      <w:r w:rsidR="007B48CB">
        <w:rPr>
          <w:rFonts w:ascii="Arial" w:hAnsi="Arial" w:cs="Arial"/>
          <w:sz w:val="24"/>
          <w:szCs w:val="24"/>
          <w:lang w:val="es-ES"/>
        </w:rPr>
        <w:t>A</w:t>
      </w:r>
      <w:r>
        <w:rPr>
          <w:rFonts w:ascii="Arial" w:hAnsi="Arial" w:cs="Arial"/>
          <w:sz w:val="24"/>
          <w:szCs w:val="24"/>
          <w:lang w:val="es-ES"/>
        </w:rPr>
        <w:t xml:space="preserve">nexo 1). </w:t>
      </w:r>
    </w:p>
    <w:p w14:paraId="3B5285B2" w14:textId="77777777" w:rsidR="008403BD" w:rsidRDefault="007D49D9">
      <w:pPr>
        <w:widowControl w:val="0"/>
        <w:autoSpaceDE w:val="0"/>
        <w:autoSpaceDN w:val="0"/>
        <w:adjustRightInd w:val="0"/>
        <w:spacing w:before="120" w:after="0" w:line="360" w:lineRule="auto"/>
        <w:jc w:val="both"/>
        <w:rPr>
          <w:rFonts w:ascii="Arial" w:eastAsia="Calibri" w:hAnsi="Arial" w:cs="Arial"/>
          <w:sz w:val="24"/>
          <w:szCs w:val="24"/>
          <w:lang w:val="es-ES"/>
        </w:rPr>
      </w:pPr>
      <w:r>
        <w:rPr>
          <w:rFonts w:ascii="Arial" w:eastAsia="Calibri" w:hAnsi="Arial" w:cs="Arial"/>
          <w:sz w:val="24"/>
          <w:szCs w:val="24"/>
          <w:lang w:val="es-ES"/>
        </w:rPr>
        <w:t xml:space="preserve">Se utilizó el cultivar Elbita en los tres periodos de siembra.  Este cultivar se caracteriza por presentar altos rendimientos y ser una de las más utilizadas en </w:t>
      </w:r>
      <w:r w:rsidR="004D3CD2" w:rsidRPr="00A02986">
        <w:rPr>
          <w:rFonts w:ascii="Arial" w:eastAsia="Calibri" w:hAnsi="Arial" w:cs="Arial"/>
          <w:sz w:val="24"/>
          <w:szCs w:val="24"/>
          <w:lang w:val="es-ES"/>
        </w:rPr>
        <w:t>condiciones de campo</w:t>
      </w:r>
      <w:r w:rsidRPr="00A02986">
        <w:rPr>
          <w:rFonts w:ascii="Arial" w:eastAsia="Calibri" w:hAnsi="Arial" w:cs="Arial"/>
          <w:sz w:val="24"/>
          <w:szCs w:val="24"/>
          <w:lang w:val="es-ES"/>
        </w:rPr>
        <w:t xml:space="preserve"> a cielo abierto en el país</w:t>
      </w:r>
      <w:r>
        <w:rPr>
          <w:rFonts w:ascii="Arial" w:eastAsia="Calibri" w:hAnsi="Arial" w:cs="Arial"/>
          <w:sz w:val="24"/>
          <w:szCs w:val="24"/>
          <w:lang w:val="es-ES"/>
        </w:rPr>
        <w:t xml:space="preserve">. </w:t>
      </w:r>
    </w:p>
    <w:p w14:paraId="67DFD999" w14:textId="77777777" w:rsidR="008403BD" w:rsidRDefault="007D49D9">
      <w:pPr>
        <w:widowControl w:val="0"/>
        <w:autoSpaceDE w:val="0"/>
        <w:autoSpaceDN w:val="0"/>
        <w:adjustRightInd w:val="0"/>
        <w:spacing w:before="120" w:after="0" w:line="360" w:lineRule="auto"/>
        <w:jc w:val="both"/>
        <w:rPr>
          <w:rFonts w:ascii="Arial" w:eastAsia="Calibri" w:hAnsi="Arial" w:cs="Arial"/>
          <w:b/>
          <w:color w:val="FF0000"/>
          <w:sz w:val="24"/>
          <w:szCs w:val="24"/>
          <w:lang w:val="es-ES"/>
        </w:rPr>
      </w:pPr>
      <w:r>
        <w:rPr>
          <w:rFonts w:ascii="Arial" w:eastAsia="Calibri" w:hAnsi="Arial" w:cs="Arial"/>
          <w:b/>
          <w:sz w:val="24"/>
          <w:szCs w:val="24"/>
          <w:lang w:val="es-ES"/>
        </w:rPr>
        <w:t>Tabla 1</w:t>
      </w:r>
      <w:r w:rsidR="004D3CD2">
        <w:rPr>
          <w:rFonts w:ascii="Arial" w:eastAsia="Calibri" w:hAnsi="Arial" w:cs="Arial"/>
          <w:b/>
          <w:sz w:val="24"/>
          <w:szCs w:val="24"/>
          <w:lang w:val="es-ES"/>
        </w:rPr>
        <w:t>.</w:t>
      </w:r>
      <w:r w:rsidRPr="004D3CD2">
        <w:rPr>
          <w:rFonts w:ascii="Arial" w:eastAsia="Calibri" w:hAnsi="Arial" w:cs="Arial"/>
          <w:sz w:val="24"/>
          <w:szCs w:val="24"/>
          <w:lang w:val="es-ES"/>
        </w:rPr>
        <w:t xml:space="preserve"> Principales características</w:t>
      </w:r>
      <w:r w:rsidR="00D5508B">
        <w:rPr>
          <w:rFonts w:ascii="Arial" w:eastAsia="Calibri" w:hAnsi="Arial" w:cs="Arial"/>
          <w:sz w:val="24"/>
          <w:szCs w:val="24"/>
          <w:lang w:val="es-ES"/>
        </w:rPr>
        <w:t xml:space="preserve"> del cultivar Elbita</w:t>
      </w:r>
    </w:p>
    <w:tbl>
      <w:tblPr>
        <w:tblStyle w:val="Tablaconcuadrcula"/>
        <w:tblW w:w="0" w:type="auto"/>
        <w:tblInd w:w="0" w:type="dxa"/>
        <w:tblLook w:val="04A0" w:firstRow="1" w:lastRow="0" w:firstColumn="1" w:lastColumn="0" w:noHBand="0" w:noVBand="1"/>
      </w:tblPr>
      <w:tblGrid>
        <w:gridCol w:w="2942"/>
        <w:gridCol w:w="4708"/>
      </w:tblGrid>
      <w:tr w:rsidR="008403BD" w14:paraId="4594FECC" w14:textId="77777777">
        <w:tc>
          <w:tcPr>
            <w:tcW w:w="2942" w:type="dxa"/>
          </w:tcPr>
          <w:p w14:paraId="11ABBDEB"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Progenitores</w:t>
            </w:r>
          </w:p>
        </w:tc>
        <w:tc>
          <w:tcPr>
            <w:tcW w:w="4708" w:type="dxa"/>
          </w:tcPr>
          <w:p w14:paraId="04A1931A"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proofErr w:type="spellStart"/>
            <w:r>
              <w:rPr>
                <w:rFonts w:ascii="Arial" w:eastAsia="Calibri" w:hAnsi="Arial" w:cs="Arial"/>
                <w:color w:val="000000"/>
                <w:sz w:val="24"/>
                <w:szCs w:val="24"/>
                <w:lang w:val="es-ES"/>
              </w:rPr>
              <w:t>Vyta</w:t>
            </w:r>
            <w:proofErr w:type="spellEnd"/>
            <w:r>
              <w:rPr>
                <w:rFonts w:ascii="Arial" w:eastAsia="Calibri" w:hAnsi="Arial" w:cs="Arial"/>
                <w:color w:val="000000"/>
                <w:sz w:val="24"/>
                <w:szCs w:val="24"/>
                <w:lang w:val="es-ES"/>
              </w:rPr>
              <w:t xml:space="preserve"> x Mariela</w:t>
            </w:r>
          </w:p>
        </w:tc>
      </w:tr>
      <w:tr w:rsidR="008403BD" w14:paraId="6811E851" w14:textId="77777777">
        <w:tc>
          <w:tcPr>
            <w:tcW w:w="2942" w:type="dxa"/>
          </w:tcPr>
          <w:p w14:paraId="7FFFB458"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Tipo de crecimiento</w:t>
            </w:r>
          </w:p>
        </w:tc>
        <w:tc>
          <w:tcPr>
            <w:tcW w:w="4708" w:type="dxa"/>
          </w:tcPr>
          <w:p w14:paraId="0FB684D0"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determinado</w:t>
            </w:r>
          </w:p>
        </w:tc>
      </w:tr>
      <w:tr w:rsidR="008403BD" w14:paraId="5D4D2461" w14:textId="77777777">
        <w:tc>
          <w:tcPr>
            <w:tcW w:w="2942" w:type="dxa"/>
          </w:tcPr>
          <w:p w14:paraId="120A5394"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Cantidad de follaje</w:t>
            </w:r>
          </w:p>
        </w:tc>
        <w:tc>
          <w:tcPr>
            <w:tcW w:w="4708" w:type="dxa"/>
          </w:tcPr>
          <w:p w14:paraId="31351AAD"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abundante</w:t>
            </w:r>
          </w:p>
        </w:tc>
      </w:tr>
      <w:tr w:rsidR="008403BD" w14:paraId="783FF03C" w14:textId="77777777">
        <w:tc>
          <w:tcPr>
            <w:tcW w:w="2942" w:type="dxa"/>
          </w:tcPr>
          <w:p w14:paraId="73798CA7"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Masa promedio (g)</w:t>
            </w:r>
          </w:p>
        </w:tc>
        <w:tc>
          <w:tcPr>
            <w:tcW w:w="4708" w:type="dxa"/>
          </w:tcPr>
          <w:p w14:paraId="1915E6B2"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130</w:t>
            </w:r>
          </w:p>
        </w:tc>
      </w:tr>
      <w:tr w:rsidR="008403BD" w14:paraId="758387B8" w14:textId="77777777">
        <w:tc>
          <w:tcPr>
            <w:tcW w:w="2942" w:type="dxa"/>
          </w:tcPr>
          <w:p w14:paraId="47F02921"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Color del fruto maduro</w:t>
            </w:r>
          </w:p>
        </w:tc>
        <w:tc>
          <w:tcPr>
            <w:tcW w:w="4708" w:type="dxa"/>
          </w:tcPr>
          <w:p w14:paraId="6366B03A"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Rojo-naranja</w:t>
            </w:r>
          </w:p>
        </w:tc>
      </w:tr>
      <w:tr w:rsidR="008403BD" w14:paraId="47CC1CB2" w14:textId="77777777">
        <w:tc>
          <w:tcPr>
            <w:tcW w:w="2942" w:type="dxa"/>
          </w:tcPr>
          <w:p w14:paraId="51FA9833"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lastRenderedPageBreak/>
              <w:t>Presencia de hombros</w:t>
            </w:r>
          </w:p>
        </w:tc>
        <w:tc>
          <w:tcPr>
            <w:tcW w:w="4708" w:type="dxa"/>
          </w:tcPr>
          <w:p w14:paraId="15ADCE32"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Sí</w:t>
            </w:r>
          </w:p>
        </w:tc>
      </w:tr>
      <w:tr w:rsidR="008403BD" w14:paraId="3E118AEE" w14:textId="77777777">
        <w:tc>
          <w:tcPr>
            <w:tcW w:w="2942" w:type="dxa"/>
          </w:tcPr>
          <w:p w14:paraId="7C75ABE8"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proofErr w:type="spellStart"/>
            <w:r>
              <w:rPr>
                <w:rFonts w:ascii="Arial" w:eastAsia="Calibri" w:hAnsi="Arial" w:cs="Arial"/>
                <w:color w:val="000000"/>
                <w:sz w:val="24"/>
                <w:szCs w:val="24"/>
                <w:lang w:val="es-ES"/>
              </w:rPr>
              <w:t>Brix</w:t>
            </w:r>
            <w:proofErr w:type="spellEnd"/>
            <w:r>
              <w:rPr>
                <w:rFonts w:ascii="Arial" w:eastAsia="Calibri" w:hAnsi="Arial" w:cs="Arial"/>
                <w:color w:val="000000"/>
                <w:sz w:val="24"/>
                <w:szCs w:val="24"/>
                <w:lang w:val="es-ES"/>
              </w:rPr>
              <w:t xml:space="preserve"> (grados)</w:t>
            </w:r>
          </w:p>
        </w:tc>
        <w:tc>
          <w:tcPr>
            <w:tcW w:w="4708" w:type="dxa"/>
          </w:tcPr>
          <w:p w14:paraId="4950DBEA"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4,5</w:t>
            </w:r>
          </w:p>
        </w:tc>
      </w:tr>
      <w:tr w:rsidR="008403BD" w14:paraId="0E96B592" w14:textId="77777777">
        <w:tc>
          <w:tcPr>
            <w:tcW w:w="2942" w:type="dxa"/>
          </w:tcPr>
          <w:p w14:paraId="420BAE05"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Rendimiento (t</w:t>
            </w:r>
            <w:r w:rsidR="003E0775">
              <w:rPr>
                <w:rFonts w:ascii="Arial" w:eastAsia="Calibri" w:hAnsi="Arial" w:cs="Arial"/>
                <w:color w:val="000000"/>
                <w:sz w:val="24"/>
                <w:szCs w:val="24"/>
                <w:lang w:val="es-ES"/>
              </w:rPr>
              <w:t xml:space="preserve"> </w:t>
            </w:r>
            <w:r>
              <w:rPr>
                <w:rFonts w:ascii="Arial" w:eastAsia="Calibri" w:hAnsi="Arial" w:cs="Arial"/>
                <w:color w:val="000000"/>
                <w:sz w:val="24"/>
                <w:szCs w:val="24"/>
                <w:lang w:val="es-ES"/>
              </w:rPr>
              <w:t>ha</w:t>
            </w:r>
            <w:r>
              <w:rPr>
                <w:rFonts w:ascii="Arial" w:eastAsia="Calibri" w:hAnsi="Arial" w:cs="Arial"/>
                <w:color w:val="000000"/>
                <w:sz w:val="24"/>
                <w:szCs w:val="24"/>
                <w:vertAlign w:val="superscript"/>
                <w:lang w:val="es-ES"/>
              </w:rPr>
              <w:t>-1</w:t>
            </w:r>
            <w:r>
              <w:rPr>
                <w:rFonts w:ascii="Arial" w:eastAsia="Calibri" w:hAnsi="Arial" w:cs="Arial"/>
                <w:color w:val="000000"/>
                <w:sz w:val="24"/>
                <w:szCs w:val="24"/>
                <w:lang w:val="es-ES"/>
              </w:rPr>
              <w:t>)</w:t>
            </w:r>
          </w:p>
        </w:tc>
        <w:tc>
          <w:tcPr>
            <w:tcW w:w="4708" w:type="dxa"/>
          </w:tcPr>
          <w:p w14:paraId="551FBC53"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Óptimo: &gt;50</w:t>
            </w:r>
          </w:p>
          <w:p w14:paraId="3D889312"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Tardío: 38</w:t>
            </w:r>
          </w:p>
          <w:p w14:paraId="3B7EE7FD"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Temprano: 27</w:t>
            </w:r>
          </w:p>
        </w:tc>
      </w:tr>
      <w:tr w:rsidR="008403BD" w14:paraId="0C0527CE" w14:textId="77777777">
        <w:tc>
          <w:tcPr>
            <w:tcW w:w="2942" w:type="dxa"/>
          </w:tcPr>
          <w:p w14:paraId="46C061A7"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Acidez (%)</w:t>
            </w:r>
          </w:p>
        </w:tc>
        <w:tc>
          <w:tcPr>
            <w:tcW w:w="4708" w:type="dxa"/>
          </w:tcPr>
          <w:p w14:paraId="5D6F25AC"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22,3</w:t>
            </w:r>
          </w:p>
        </w:tc>
      </w:tr>
      <w:tr w:rsidR="008403BD" w14:paraId="68065AC6" w14:textId="77777777">
        <w:tc>
          <w:tcPr>
            <w:tcW w:w="2942" w:type="dxa"/>
          </w:tcPr>
          <w:p w14:paraId="3CD4C807"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Resistencia genética</w:t>
            </w:r>
          </w:p>
        </w:tc>
        <w:tc>
          <w:tcPr>
            <w:tcW w:w="4708" w:type="dxa"/>
          </w:tcPr>
          <w:p w14:paraId="4A0A853E"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proofErr w:type="spellStart"/>
            <w:r>
              <w:rPr>
                <w:rFonts w:ascii="Arial" w:eastAsia="Calibri" w:hAnsi="Arial" w:cs="Arial"/>
                <w:color w:val="000000"/>
                <w:sz w:val="24"/>
                <w:szCs w:val="24"/>
                <w:lang w:val="es-ES"/>
              </w:rPr>
              <w:t>Begomovirus</w:t>
            </w:r>
            <w:proofErr w:type="spellEnd"/>
            <w:r>
              <w:rPr>
                <w:rFonts w:ascii="Arial" w:eastAsia="Calibri" w:hAnsi="Arial" w:cs="Arial"/>
                <w:color w:val="000000"/>
                <w:sz w:val="24"/>
                <w:szCs w:val="24"/>
                <w:lang w:val="es-ES"/>
              </w:rPr>
              <w:t xml:space="preserve"> (gen ty-1)</w:t>
            </w:r>
          </w:p>
          <w:p w14:paraId="10A6670E"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proofErr w:type="spellStart"/>
            <w:r>
              <w:rPr>
                <w:rFonts w:ascii="Arial" w:eastAsia="Calibri" w:hAnsi="Arial" w:cs="Arial"/>
                <w:color w:val="000000"/>
                <w:sz w:val="24"/>
                <w:szCs w:val="24"/>
                <w:lang w:val="es-ES"/>
              </w:rPr>
              <w:t>Alternariosis</w:t>
            </w:r>
            <w:proofErr w:type="spellEnd"/>
            <w:r>
              <w:rPr>
                <w:rFonts w:ascii="Arial" w:eastAsia="Calibri" w:hAnsi="Arial" w:cs="Arial"/>
                <w:color w:val="000000"/>
                <w:sz w:val="24"/>
                <w:szCs w:val="24"/>
                <w:lang w:val="es-ES"/>
              </w:rPr>
              <w:t xml:space="preserve"> en condiciones de campo</w:t>
            </w:r>
          </w:p>
          <w:p w14:paraId="5ACC3B28" w14:textId="77777777" w:rsidR="008403BD" w:rsidRDefault="007D49D9">
            <w:pPr>
              <w:widowControl w:val="0"/>
              <w:autoSpaceDE w:val="0"/>
              <w:autoSpaceDN w:val="0"/>
              <w:adjustRightInd w:val="0"/>
              <w:spacing w:before="120" w:line="360" w:lineRule="auto"/>
              <w:jc w:val="both"/>
              <w:rPr>
                <w:rFonts w:ascii="Arial" w:eastAsia="Calibri" w:hAnsi="Arial" w:cs="Arial"/>
                <w:color w:val="000000"/>
                <w:sz w:val="24"/>
                <w:szCs w:val="24"/>
                <w:lang w:val="es-ES"/>
              </w:rPr>
            </w:pPr>
            <w:r>
              <w:rPr>
                <w:rFonts w:ascii="Arial" w:eastAsia="Calibri" w:hAnsi="Arial" w:cs="Arial"/>
                <w:color w:val="000000"/>
                <w:sz w:val="24"/>
                <w:szCs w:val="24"/>
                <w:lang w:val="es-ES"/>
              </w:rPr>
              <w:t>Tolerancia al calor</w:t>
            </w:r>
          </w:p>
        </w:tc>
      </w:tr>
    </w:tbl>
    <w:p w14:paraId="56D557B0" w14:textId="77777777" w:rsidR="008403BD" w:rsidRDefault="007D49D9">
      <w:pPr>
        <w:widowControl w:val="0"/>
        <w:autoSpaceDE w:val="0"/>
        <w:autoSpaceDN w:val="0"/>
        <w:adjustRightInd w:val="0"/>
        <w:spacing w:before="120" w:after="0" w:line="360" w:lineRule="auto"/>
        <w:jc w:val="both"/>
        <w:rPr>
          <w:rFonts w:ascii="Arial" w:eastAsia="Calibri" w:hAnsi="Arial" w:cs="Arial"/>
          <w:sz w:val="24"/>
          <w:szCs w:val="24"/>
          <w:lang w:val="es-ES"/>
        </w:rPr>
      </w:pPr>
      <w:r>
        <w:rPr>
          <w:rFonts w:ascii="Arial" w:eastAsia="Calibri" w:hAnsi="Arial" w:cs="Arial"/>
          <w:sz w:val="24"/>
          <w:szCs w:val="24"/>
          <w:lang w:val="es-ES"/>
        </w:rPr>
        <w:t xml:space="preserve">Fuente: </w:t>
      </w:r>
      <w:r>
        <w:rPr>
          <w:rFonts w:ascii="Arial" w:eastAsia="Calibri" w:hAnsi="Arial" w:cs="Arial"/>
          <w:sz w:val="24"/>
          <w:szCs w:val="24"/>
          <w:lang w:val="es-ES"/>
        </w:rPr>
        <w:fldChar w:fldCharType="begin"/>
      </w:r>
      <w:r>
        <w:rPr>
          <w:rFonts w:ascii="Arial" w:eastAsia="Calibri" w:hAnsi="Arial" w:cs="Arial"/>
          <w:sz w:val="24"/>
          <w:szCs w:val="24"/>
          <w:lang w:val="es-ES"/>
        </w:rPr>
        <w:instrText xml:space="preserve"> ADDIN ZOTERO_ITEM CSL_CITATION {"citationID":"bshk4TBc","properties":{"custom":"(\\uc0\\u193{}lvarez {\\i{}et al}., 2018)","formattedCitation":"(\\uc0\\u193{}lvarez {\\i{}et al}., 2018)","plainCitation":"(Álvarez et al., 2018)","noteIndex":0},"citationItems":[{"id":1241,"uris":["http://zotero.org/users/12642312/items/TRDA4BWB"],"itemData":{"id":1241,"type":"article-journal","source":"Google Scholar","title":"'Elbita': begomovirus resistant tomato variety for tropical conditions.","title-short":"'Elbita'","URL":"https://www.cabidigitallibrary.org/doi/full/10.5555/20193031714","author":[{"family":"Álvarez","given":"M."},{"family":"Martínez-Zubiaur","given":"Y."},{"family":"Carabeo","given":"José A."},{"family":"Florido-Bacallao","given":"M."},{"family":"Dueñas-Hurtado","given":"F."}],"accessed":{"date-parts":[["2025",4,2]]},"issued":{"date-parts":[["2018"]]}}}],"schema":"https://github.com/citation-style-language/schema/raw/master/csl-citation.json"} </w:instrText>
      </w:r>
      <w:r>
        <w:rPr>
          <w:rFonts w:ascii="Arial" w:eastAsia="Calibri" w:hAnsi="Arial" w:cs="Arial"/>
          <w:sz w:val="24"/>
          <w:szCs w:val="24"/>
          <w:lang w:val="es-ES"/>
        </w:rPr>
        <w:fldChar w:fldCharType="separate"/>
      </w:r>
      <w:r>
        <w:rPr>
          <w:rFonts w:ascii="Arial" w:hAnsi="Arial" w:cs="Arial"/>
          <w:sz w:val="24"/>
          <w:szCs w:val="24"/>
        </w:rPr>
        <w:t xml:space="preserve">(Álvarez </w:t>
      </w:r>
      <w:r>
        <w:rPr>
          <w:rFonts w:ascii="Arial" w:hAnsi="Arial" w:cs="Arial"/>
          <w:i/>
          <w:iCs/>
          <w:sz w:val="24"/>
          <w:szCs w:val="24"/>
        </w:rPr>
        <w:t>et al</w:t>
      </w:r>
      <w:r>
        <w:rPr>
          <w:rFonts w:ascii="Arial" w:hAnsi="Arial" w:cs="Arial"/>
          <w:sz w:val="24"/>
          <w:szCs w:val="24"/>
        </w:rPr>
        <w:t>., 2018)</w:t>
      </w:r>
      <w:r>
        <w:rPr>
          <w:rFonts w:ascii="Arial" w:eastAsia="Calibri" w:hAnsi="Arial" w:cs="Arial"/>
          <w:sz w:val="24"/>
          <w:szCs w:val="24"/>
          <w:lang w:val="es-ES"/>
        </w:rPr>
        <w:fldChar w:fldCharType="end"/>
      </w:r>
      <w:r>
        <w:rPr>
          <w:rFonts w:ascii="Arial" w:eastAsia="Calibri" w:hAnsi="Arial" w:cs="Arial"/>
          <w:sz w:val="24"/>
          <w:szCs w:val="24"/>
          <w:lang w:val="es-ES"/>
        </w:rPr>
        <w:t xml:space="preserve"> </w:t>
      </w:r>
    </w:p>
    <w:p w14:paraId="5191DB25" w14:textId="05255911" w:rsidR="00AE34EA" w:rsidRDefault="003E0775" w:rsidP="00AE34EA">
      <w:pPr>
        <w:spacing w:before="120" w:line="360" w:lineRule="auto"/>
        <w:contextualSpacing/>
        <w:jc w:val="both"/>
        <w:rPr>
          <w:rFonts w:ascii="Arial" w:eastAsia="Calibri" w:hAnsi="Arial" w:cs="Arial"/>
          <w:bCs/>
          <w:sz w:val="24"/>
          <w:szCs w:val="24"/>
          <w:lang w:val="es-ES"/>
        </w:rPr>
      </w:pPr>
      <w:r>
        <w:rPr>
          <w:rFonts w:ascii="Arial" w:eastAsia="Calibri" w:hAnsi="Arial" w:cs="Arial"/>
          <w:sz w:val="24"/>
          <w:szCs w:val="24"/>
          <w:lang w:val="es-ES"/>
        </w:rPr>
        <w:t>Las s</w:t>
      </w:r>
      <w:r w:rsidR="007D49D9">
        <w:rPr>
          <w:rFonts w:ascii="Arial" w:eastAsia="Calibri" w:hAnsi="Arial" w:cs="Arial"/>
          <w:sz w:val="24"/>
          <w:szCs w:val="24"/>
          <w:lang w:val="es-ES"/>
        </w:rPr>
        <w:t xml:space="preserve">emillas de este cultivar se sembraron en un cepellón de 196 alveolos, que contenía un sustrato compuesto por suelo Ferralítico Rojo </w:t>
      </w:r>
      <w:r w:rsidR="00260F62" w:rsidRPr="00260F62">
        <w:rPr>
          <w:rFonts w:ascii="Arial" w:eastAsia="Calibri" w:hAnsi="Arial" w:cs="Arial"/>
          <w:sz w:val="24"/>
          <w:szCs w:val="24"/>
          <w:lang w:val="es-ES"/>
        </w:rPr>
        <w:t>Compactado, cachaza</w:t>
      </w:r>
      <w:r w:rsidR="007B43BC">
        <w:rPr>
          <w:rFonts w:ascii="Arial" w:eastAsia="Calibri" w:hAnsi="Arial" w:cs="Arial"/>
          <w:sz w:val="24"/>
          <w:szCs w:val="24"/>
          <w:lang w:val="es-ES"/>
        </w:rPr>
        <w:t>:</w:t>
      </w:r>
      <w:r w:rsidR="007D49D9">
        <w:rPr>
          <w:rFonts w:ascii="Arial" w:eastAsia="Calibri" w:hAnsi="Arial" w:cs="Arial"/>
          <w:sz w:val="24"/>
          <w:szCs w:val="24"/>
          <w:lang w:val="es-ES"/>
        </w:rPr>
        <w:t xml:space="preserve"> zeolita, en proporción 1:2:1; en el cepellón la capacidad de cada alveolo es de 30 cm</w:t>
      </w:r>
      <w:r w:rsidR="007D49D9">
        <w:rPr>
          <w:rFonts w:ascii="Arial" w:eastAsia="Calibri" w:hAnsi="Arial" w:cs="Arial"/>
          <w:sz w:val="24"/>
          <w:szCs w:val="24"/>
          <w:vertAlign w:val="superscript"/>
          <w:lang w:val="es-ES"/>
        </w:rPr>
        <w:t>3</w:t>
      </w:r>
      <w:r w:rsidR="007D49D9">
        <w:rPr>
          <w:rFonts w:ascii="Arial" w:eastAsia="Calibri" w:hAnsi="Arial" w:cs="Arial"/>
          <w:sz w:val="24"/>
          <w:szCs w:val="24"/>
          <w:lang w:val="es-ES"/>
        </w:rPr>
        <w:t xml:space="preserve">. Aproximadamente a los 25 días después de germinadas las plántulas </w:t>
      </w:r>
      <w:r w:rsidR="007D49D9">
        <w:rPr>
          <w:rFonts w:ascii="Arial" w:eastAsia="Calibri" w:hAnsi="Arial" w:cs="Arial"/>
          <w:bCs/>
          <w:sz w:val="24"/>
          <w:szCs w:val="24"/>
          <w:lang w:val="es-ES"/>
        </w:rPr>
        <w:t>se trasplantaron a canteros de asbesto cemento al aire libre, que contenían una mezcla de suelo Ferralítico Rojo</w:t>
      </w:r>
      <w:r w:rsidR="007D49D9">
        <w:rPr>
          <w:rFonts w:ascii="Arial" w:eastAsia="Calibri" w:hAnsi="Arial" w:cs="Arial"/>
          <w:sz w:val="24"/>
          <w:szCs w:val="24"/>
          <w:lang w:val="es-ES"/>
        </w:rPr>
        <w:t xml:space="preserve"> Lixiviado eútrico, caracterizado por una fertilidad de media a alta, según lo señalado por </w:t>
      </w:r>
      <w:r w:rsidR="007D49D9">
        <w:rPr>
          <w:rFonts w:ascii="Arial" w:eastAsia="Calibri" w:hAnsi="Arial" w:cs="Arial"/>
          <w:sz w:val="24"/>
          <w:szCs w:val="24"/>
          <w:lang w:val="es-ES"/>
        </w:rPr>
        <w:fldChar w:fldCharType="begin"/>
      </w:r>
      <w:r w:rsidR="007D49D9">
        <w:rPr>
          <w:rFonts w:ascii="Arial" w:eastAsia="Calibri" w:hAnsi="Arial" w:cs="Arial"/>
          <w:sz w:val="24"/>
          <w:szCs w:val="24"/>
          <w:lang w:val="es-ES"/>
        </w:rPr>
        <w:instrText xml:space="preserve"> ADDIN ZOTERO_ITEM CSL_CITATION {"citationID":"xoZup6Xg","properties":{"custom":"(Hern\\uc0\\u225{}ndez {\\i{}et al}., 2015)","formattedCitation":"(Hern\\uc0\\u225{}ndez {\\i{}et al}., 2015)","plainCitation":"(Hernández et al., 2015)","noteIndex":0},"citationItems":[{"id":1255,"uris":["http://zotero.org/users/12642312/items/8YA72M7I"],"itemData":{"id":1255,"type":"book","event-place":"Mayabeque","ISBN":"978-959-7023-77-7","language":"es","note":"OCLC: 1032721824","publisher":"D - Instituto Nacional de Ciencias Agrícolas","publisher-place":"Mayabeque","source":"Open WorldCat","title":"Clasificación de los suelos de Cuba.","URL":"https://public.ebookcentral.proquest.com/choice/publicfullrecord.aspx?p=5349549","author":[{"family":"Hernández Jiménez","given":"Alberto"},{"family":"Pérez Jiménez","given":"Juan Miguel"},{"family":"Bosch Infante","given":"Dalmacio"}],"accessed":{"date-parts":[["2020",7,23]]},"issued":{"date-parts":[["2015"]]}}}],"schema":"https://github.com/citation-style-language/schema/raw/master/csl-citation.json"} </w:instrText>
      </w:r>
      <w:r w:rsidR="007D49D9">
        <w:rPr>
          <w:rFonts w:ascii="Arial" w:eastAsia="Calibri" w:hAnsi="Arial" w:cs="Arial"/>
          <w:sz w:val="24"/>
          <w:szCs w:val="24"/>
          <w:lang w:val="es-ES"/>
        </w:rPr>
        <w:fldChar w:fldCharType="separate"/>
      </w:r>
      <w:r w:rsidR="00230B72" w:rsidRPr="00230B72">
        <w:rPr>
          <w:rFonts w:ascii="Arial" w:hAnsi="Arial" w:cs="Arial"/>
          <w:sz w:val="24"/>
          <w:szCs w:val="24"/>
          <w:lang w:val="es-ES"/>
        </w:rPr>
        <w:t xml:space="preserve">(Hernández </w:t>
      </w:r>
      <w:r w:rsidR="00230B72" w:rsidRPr="00230B72">
        <w:rPr>
          <w:rFonts w:ascii="Arial" w:hAnsi="Arial" w:cs="Arial"/>
          <w:i/>
          <w:iCs/>
          <w:sz w:val="24"/>
          <w:szCs w:val="24"/>
          <w:lang w:val="es-ES"/>
        </w:rPr>
        <w:t>et al</w:t>
      </w:r>
      <w:r w:rsidR="00230B72" w:rsidRPr="00230B72">
        <w:rPr>
          <w:rFonts w:ascii="Arial" w:hAnsi="Arial" w:cs="Arial"/>
          <w:sz w:val="24"/>
          <w:szCs w:val="24"/>
          <w:lang w:val="es-ES"/>
        </w:rPr>
        <w:t>., 2015)</w:t>
      </w:r>
      <w:r w:rsidR="007D49D9">
        <w:rPr>
          <w:rFonts w:ascii="Arial" w:eastAsia="Calibri" w:hAnsi="Arial" w:cs="Arial"/>
          <w:sz w:val="24"/>
          <w:szCs w:val="24"/>
          <w:lang w:val="es-ES"/>
        </w:rPr>
        <w:fldChar w:fldCharType="end"/>
      </w:r>
      <w:r w:rsidR="007D49D9">
        <w:rPr>
          <w:rFonts w:ascii="Arial" w:eastAsia="Calibri" w:hAnsi="Arial" w:cs="Arial"/>
          <w:bCs/>
          <w:sz w:val="24"/>
          <w:szCs w:val="24"/>
          <w:lang w:val="es-ES"/>
        </w:rPr>
        <w:t xml:space="preserve"> y cachaza en proporción 3:1.</w:t>
      </w:r>
      <w:r w:rsidR="00AE34EA">
        <w:rPr>
          <w:rFonts w:ascii="Arial" w:eastAsia="Calibri" w:hAnsi="Arial" w:cs="Arial"/>
          <w:bCs/>
          <w:sz w:val="24"/>
          <w:szCs w:val="24"/>
          <w:lang w:val="es-ES"/>
        </w:rPr>
        <w:t xml:space="preserve"> Las propiedades físicas y químic</w:t>
      </w:r>
      <w:r w:rsidR="00CB59D0">
        <w:rPr>
          <w:rFonts w:ascii="Arial" w:eastAsia="Calibri" w:hAnsi="Arial" w:cs="Arial"/>
          <w:bCs/>
          <w:sz w:val="24"/>
          <w:szCs w:val="24"/>
          <w:lang w:val="es-ES"/>
        </w:rPr>
        <w:t>as del suelo se muestran en el a</w:t>
      </w:r>
      <w:r w:rsidR="00AE34EA">
        <w:rPr>
          <w:rFonts w:ascii="Arial" w:eastAsia="Calibri" w:hAnsi="Arial" w:cs="Arial"/>
          <w:bCs/>
          <w:sz w:val="24"/>
          <w:szCs w:val="24"/>
          <w:lang w:val="es-ES"/>
        </w:rPr>
        <w:t>nexo 3.</w:t>
      </w:r>
    </w:p>
    <w:p w14:paraId="6390FCF8" w14:textId="77777777" w:rsidR="008403BD" w:rsidRDefault="00EE321D">
      <w:pPr>
        <w:widowControl w:val="0"/>
        <w:autoSpaceDE w:val="0"/>
        <w:autoSpaceDN w:val="0"/>
        <w:adjustRightInd w:val="0"/>
        <w:spacing w:before="120" w:after="0" w:line="360" w:lineRule="auto"/>
        <w:jc w:val="both"/>
        <w:rPr>
          <w:rFonts w:ascii="Arial" w:eastAsia="Calibri" w:hAnsi="Arial" w:cs="Arial"/>
          <w:bCs/>
          <w:sz w:val="24"/>
          <w:szCs w:val="24"/>
          <w:lang w:val="es-ES"/>
        </w:rPr>
      </w:pPr>
      <w:r>
        <w:rPr>
          <w:rFonts w:ascii="Arial" w:eastAsia="Calibri" w:hAnsi="Arial" w:cs="Arial"/>
          <w:bCs/>
          <w:sz w:val="24"/>
          <w:szCs w:val="24"/>
          <w:lang w:val="es-ES"/>
        </w:rPr>
        <w:t xml:space="preserve">Para la </w:t>
      </w:r>
      <w:r w:rsidR="00EE0438">
        <w:rPr>
          <w:rFonts w:ascii="Arial" w:eastAsia="Calibri" w:hAnsi="Arial" w:cs="Arial"/>
          <w:bCs/>
          <w:sz w:val="24"/>
          <w:szCs w:val="24"/>
          <w:lang w:val="es-ES"/>
        </w:rPr>
        <w:t>siembra</w:t>
      </w:r>
      <w:r>
        <w:rPr>
          <w:rFonts w:ascii="Arial" w:eastAsia="Calibri" w:hAnsi="Arial" w:cs="Arial"/>
          <w:bCs/>
          <w:sz w:val="24"/>
          <w:szCs w:val="24"/>
          <w:lang w:val="es-ES"/>
        </w:rPr>
        <w:t xml:space="preserve"> se utilizó una distancia</w:t>
      </w:r>
      <w:r w:rsidR="007D49D9">
        <w:rPr>
          <w:rFonts w:ascii="Arial" w:eastAsia="Calibri" w:hAnsi="Arial" w:cs="Arial"/>
          <w:bCs/>
          <w:sz w:val="24"/>
          <w:szCs w:val="24"/>
          <w:lang w:val="es-ES"/>
        </w:rPr>
        <w:t xml:space="preserve"> de 0,90 x 0,25 m. La fecha de sie</w:t>
      </w:r>
      <w:r w:rsidR="00DC4995">
        <w:rPr>
          <w:rFonts w:ascii="Arial" w:eastAsia="Calibri" w:hAnsi="Arial" w:cs="Arial"/>
          <w:bCs/>
          <w:sz w:val="24"/>
          <w:szCs w:val="24"/>
          <w:lang w:val="es-ES"/>
        </w:rPr>
        <w:t>mbra y de trasplante en los peri</w:t>
      </w:r>
      <w:r w:rsidR="007D49D9">
        <w:rPr>
          <w:rFonts w:ascii="Arial" w:eastAsia="Calibri" w:hAnsi="Arial" w:cs="Arial"/>
          <w:bCs/>
          <w:sz w:val="24"/>
          <w:szCs w:val="24"/>
          <w:lang w:val="es-ES"/>
        </w:rPr>
        <w:t xml:space="preserve">odos tardío, temprano y óptimo se muestran en la tabla 2. </w:t>
      </w:r>
    </w:p>
    <w:p w14:paraId="4C45B0D3" w14:textId="77777777" w:rsidR="008403BD" w:rsidRDefault="007D49D9">
      <w:pPr>
        <w:spacing w:after="160" w:line="259" w:lineRule="auto"/>
        <w:rPr>
          <w:rFonts w:ascii="Arial" w:eastAsia="Calibri" w:hAnsi="Arial" w:cs="Arial"/>
          <w:b/>
          <w:bCs/>
          <w:sz w:val="24"/>
          <w:szCs w:val="24"/>
          <w:lang w:val="es-ES"/>
        </w:rPr>
      </w:pPr>
      <w:r>
        <w:rPr>
          <w:rFonts w:ascii="Arial" w:eastAsia="Calibri" w:hAnsi="Arial" w:cs="Arial"/>
          <w:b/>
          <w:bCs/>
          <w:sz w:val="24"/>
          <w:szCs w:val="24"/>
          <w:lang w:val="es-ES"/>
        </w:rPr>
        <w:br w:type="page"/>
      </w:r>
    </w:p>
    <w:p w14:paraId="289D7CB9" w14:textId="77777777" w:rsidR="008403BD" w:rsidRDefault="00D5508B">
      <w:pPr>
        <w:widowControl w:val="0"/>
        <w:autoSpaceDE w:val="0"/>
        <w:autoSpaceDN w:val="0"/>
        <w:adjustRightInd w:val="0"/>
        <w:spacing w:before="120" w:after="0" w:line="360" w:lineRule="auto"/>
        <w:jc w:val="both"/>
        <w:rPr>
          <w:rFonts w:ascii="Arial" w:eastAsia="Calibri" w:hAnsi="Arial" w:cs="Arial"/>
          <w:b/>
          <w:bCs/>
          <w:sz w:val="24"/>
          <w:szCs w:val="24"/>
          <w:lang w:val="es-ES"/>
        </w:rPr>
      </w:pPr>
      <w:r>
        <w:rPr>
          <w:rFonts w:ascii="Arial" w:eastAsia="Calibri" w:hAnsi="Arial" w:cs="Arial"/>
          <w:b/>
          <w:bCs/>
          <w:sz w:val="24"/>
          <w:szCs w:val="24"/>
          <w:lang w:val="es-ES"/>
        </w:rPr>
        <w:lastRenderedPageBreak/>
        <w:t>Tabla 2.</w:t>
      </w:r>
      <w:r w:rsidR="007D49D9">
        <w:rPr>
          <w:rFonts w:ascii="Arial" w:eastAsia="Calibri" w:hAnsi="Arial" w:cs="Arial"/>
          <w:b/>
          <w:bCs/>
          <w:sz w:val="24"/>
          <w:szCs w:val="24"/>
          <w:lang w:val="es-ES"/>
        </w:rPr>
        <w:t xml:space="preserve"> </w:t>
      </w:r>
      <w:r w:rsidR="007D49D9" w:rsidRPr="00D5508B">
        <w:rPr>
          <w:rFonts w:ascii="Arial" w:eastAsia="Calibri" w:hAnsi="Arial" w:cs="Arial"/>
          <w:bCs/>
          <w:sz w:val="24"/>
          <w:szCs w:val="24"/>
          <w:lang w:val="es-ES"/>
        </w:rPr>
        <w:t>Fechas de siembra y</w:t>
      </w:r>
      <w:r>
        <w:rPr>
          <w:rFonts w:ascii="Arial" w:eastAsia="Calibri" w:hAnsi="Arial" w:cs="Arial"/>
          <w:bCs/>
          <w:sz w:val="24"/>
          <w:szCs w:val="24"/>
          <w:lang w:val="es-ES"/>
        </w:rPr>
        <w:t xml:space="preserve"> trasplante de los experimentos</w:t>
      </w:r>
    </w:p>
    <w:tbl>
      <w:tblPr>
        <w:tblStyle w:val="Tablaconcuadrcula"/>
        <w:tblW w:w="0" w:type="auto"/>
        <w:tblInd w:w="0" w:type="dxa"/>
        <w:tblLook w:val="04A0" w:firstRow="1" w:lastRow="0" w:firstColumn="1" w:lastColumn="0" w:noHBand="0" w:noVBand="1"/>
      </w:tblPr>
      <w:tblGrid>
        <w:gridCol w:w="2942"/>
        <w:gridCol w:w="2943"/>
        <w:gridCol w:w="2943"/>
      </w:tblGrid>
      <w:tr w:rsidR="008403BD" w14:paraId="3A447532" w14:textId="77777777">
        <w:tc>
          <w:tcPr>
            <w:tcW w:w="2942" w:type="dxa"/>
            <w:tcBorders>
              <w:top w:val="nil"/>
              <w:left w:val="nil"/>
            </w:tcBorders>
          </w:tcPr>
          <w:p w14:paraId="3CC69887" w14:textId="77777777" w:rsidR="008403BD" w:rsidRDefault="008403BD">
            <w:pPr>
              <w:widowControl w:val="0"/>
              <w:autoSpaceDE w:val="0"/>
              <w:autoSpaceDN w:val="0"/>
              <w:adjustRightInd w:val="0"/>
              <w:spacing w:before="120" w:line="360" w:lineRule="auto"/>
              <w:jc w:val="both"/>
              <w:rPr>
                <w:rFonts w:ascii="Arial" w:eastAsia="Calibri" w:hAnsi="Arial" w:cs="Arial"/>
                <w:bCs/>
                <w:sz w:val="24"/>
                <w:szCs w:val="24"/>
                <w:lang w:val="es-ES"/>
              </w:rPr>
            </w:pPr>
          </w:p>
        </w:tc>
        <w:tc>
          <w:tcPr>
            <w:tcW w:w="2943" w:type="dxa"/>
          </w:tcPr>
          <w:p w14:paraId="29D64C49" w14:textId="77777777" w:rsidR="008403BD" w:rsidRDefault="007D49D9">
            <w:pPr>
              <w:widowControl w:val="0"/>
              <w:autoSpaceDE w:val="0"/>
              <w:autoSpaceDN w:val="0"/>
              <w:adjustRightInd w:val="0"/>
              <w:spacing w:before="120" w:line="360" w:lineRule="auto"/>
              <w:jc w:val="both"/>
              <w:rPr>
                <w:rFonts w:ascii="Arial" w:eastAsia="Calibri" w:hAnsi="Arial" w:cs="Arial"/>
                <w:b/>
                <w:bCs/>
                <w:sz w:val="24"/>
                <w:szCs w:val="24"/>
                <w:lang w:val="es-ES"/>
              </w:rPr>
            </w:pPr>
            <w:r>
              <w:rPr>
                <w:rFonts w:ascii="Arial" w:eastAsia="Calibri" w:hAnsi="Arial" w:cs="Arial"/>
                <w:b/>
                <w:bCs/>
                <w:sz w:val="24"/>
                <w:szCs w:val="24"/>
                <w:lang w:val="es-ES"/>
              </w:rPr>
              <w:t>Fecha de siembra</w:t>
            </w:r>
          </w:p>
        </w:tc>
        <w:tc>
          <w:tcPr>
            <w:tcW w:w="2943" w:type="dxa"/>
          </w:tcPr>
          <w:p w14:paraId="1D394CCF" w14:textId="77777777" w:rsidR="008403BD" w:rsidRDefault="007D49D9">
            <w:pPr>
              <w:widowControl w:val="0"/>
              <w:autoSpaceDE w:val="0"/>
              <w:autoSpaceDN w:val="0"/>
              <w:adjustRightInd w:val="0"/>
              <w:spacing w:before="120" w:line="360" w:lineRule="auto"/>
              <w:jc w:val="both"/>
              <w:rPr>
                <w:rFonts w:ascii="Arial" w:eastAsia="Calibri" w:hAnsi="Arial" w:cs="Arial"/>
                <w:b/>
                <w:bCs/>
                <w:sz w:val="24"/>
                <w:szCs w:val="24"/>
                <w:lang w:val="es-ES"/>
              </w:rPr>
            </w:pPr>
            <w:r>
              <w:rPr>
                <w:rFonts w:ascii="Arial" w:eastAsia="Calibri" w:hAnsi="Arial" w:cs="Arial"/>
                <w:b/>
                <w:bCs/>
                <w:sz w:val="24"/>
                <w:szCs w:val="24"/>
                <w:lang w:val="es-ES"/>
              </w:rPr>
              <w:t>Fecha de trasplante</w:t>
            </w:r>
          </w:p>
        </w:tc>
      </w:tr>
      <w:tr w:rsidR="008403BD" w14:paraId="10FF08F4" w14:textId="77777777">
        <w:tc>
          <w:tcPr>
            <w:tcW w:w="2942" w:type="dxa"/>
          </w:tcPr>
          <w:p w14:paraId="6F50CA64" w14:textId="77777777" w:rsidR="008403BD" w:rsidRDefault="007D49D9">
            <w:pPr>
              <w:widowControl w:val="0"/>
              <w:autoSpaceDE w:val="0"/>
              <w:autoSpaceDN w:val="0"/>
              <w:adjustRightInd w:val="0"/>
              <w:spacing w:before="120" w:line="360" w:lineRule="auto"/>
              <w:jc w:val="both"/>
              <w:rPr>
                <w:rFonts w:ascii="Arial" w:eastAsia="Calibri" w:hAnsi="Arial" w:cs="Arial"/>
                <w:b/>
                <w:bCs/>
                <w:sz w:val="24"/>
                <w:szCs w:val="24"/>
                <w:lang w:val="es-ES"/>
              </w:rPr>
            </w:pPr>
            <w:r>
              <w:rPr>
                <w:rFonts w:ascii="Arial" w:eastAsia="Calibri" w:hAnsi="Arial" w:cs="Arial"/>
                <w:b/>
                <w:bCs/>
                <w:sz w:val="24"/>
                <w:szCs w:val="24"/>
                <w:lang w:val="es-ES"/>
              </w:rPr>
              <w:t>P</w:t>
            </w:r>
            <w:r w:rsidR="00C3318B">
              <w:rPr>
                <w:rFonts w:ascii="Arial" w:eastAsia="Calibri" w:hAnsi="Arial" w:cs="Arial"/>
                <w:b/>
                <w:bCs/>
                <w:sz w:val="24"/>
                <w:szCs w:val="24"/>
                <w:lang w:val="es-ES"/>
              </w:rPr>
              <w:t>eri</w:t>
            </w:r>
            <w:r>
              <w:rPr>
                <w:rFonts w:ascii="Arial" w:eastAsia="Calibri" w:hAnsi="Arial" w:cs="Arial"/>
                <w:b/>
                <w:bCs/>
                <w:sz w:val="24"/>
                <w:szCs w:val="24"/>
                <w:lang w:val="es-ES"/>
              </w:rPr>
              <w:t>odo tardío</w:t>
            </w:r>
          </w:p>
        </w:tc>
        <w:tc>
          <w:tcPr>
            <w:tcW w:w="2943" w:type="dxa"/>
          </w:tcPr>
          <w:p w14:paraId="09714642" w14:textId="77777777" w:rsidR="008403BD" w:rsidRDefault="007D49D9">
            <w:pPr>
              <w:widowControl w:val="0"/>
              <w:autoSpaceDE w:val="0"/>
              <w:autoSpaceDN w:val="0"/>
              <w:adjustRightInd w:val="0"/>
              <w:spacing w:before="120" w:line="360" w:lineRule="auto"/>
              <w:jc w:val="both"/>
              <w:rPr>
                <w:rFonts w:ascii="Arial" w:eastAsia="Calibri" w:hAnsi="Arial" w:cs="Arial"/>
                <w:bCs/>
                <w:sz w:val="24"/>
                <w:szCs w:val="24"/>
                <w:lang w:val="es-ES"/>
              </w:rPr>
            </w:pPr>
            <w:r>
              <w:rPr>
                <w:rFonts w:ascii="Arial" w:eastAsia="Calibri" w:hAnsi="Arial" w:cs="Arial"/>
                <w:bCs/>
                <w:sz w:val="24"/>
                <w:szCs w:val="24"/>
                <w:lang w:val="es-ES"/>
              </w:rPr>
              <w:t>28 de febrero de 2022</w:t>
            </w:r>
          </w:p>
        </w:tc>
        <w:tc>
          <w:tcPr>
            <w:tcW w:w="2943" w:type="dxa"/>
          </w:tcPr>
          <w:p w14:paraId="59A1030E" w14:textId="77777777" w:rsidR="008403BD" w:rsidRDefault="007D49D9">
            <w:pPr>
              <w:widowControl w:val="0"/>
              <w:autoSpaceDE w:val="0"/>
              <w:autoSpaceDN w:val="0"/>
              <w:adjustRightInd w:val="0"/>
              <w:spacing w:before="120" w:line="360" w:lineRule="auto"/>
              <w:jc w:val="both"/>
              <w:rPr>
                <w:rFonts w:ascii="Arial" w:eastAsia="Calibri" w:hAnsi="Arial" w:cs="Arial"/>
                <w:bCs/>
                <w:sz w:val="24"/>
                <w:szCs w:val="24"/>
                <w:lang w:val="es-ES"/>
              </w:rPr>
            </w:pPr>
            <w:r>
              <w:rPr>
                <w:rFonts w:ascii="Arial" w:eastAsia="Calibri" w:hAnsi="Arial" w:cs="Arial"/>
                <w:bCs/>
                <w:sz w:val="24"/>
                <w:szCs w:val="24"/>
                <w:lang w:val="es-ES"/>
              </w:rPr>
              <w:t>28 de marzo de 2022</w:t>
            </w:r>
          </w:p>
        </w:tc>
      </w:tr>
      <w:tr w:rsidR="008403BD" w14:paraId="337ED464" w14:textId="77777777">
        <w:tc>
          <w:tcPr>
            <w:tcW w:w="2942" w:type="dxa"/>
          </w:tcPr>
          <w:p w14:paraId="23073C74" w14:textId="77777777" w:rsidR="008403BD" w:rsidRDefault="007D49D9">
            <w:pPr>
              <w:widowControl w:val="0"/>
              <w:autoSpaceDE w:val="0"/>
              <w:autoSpaceDN w:val="0"/>
              <w:adjustRightInd w:val="0"/>
              <w:spacing w:before="120" w:line="360" w:lineRule="auto"/>
              <w:jc w:val="both"/>
              <w:rPr>
                <w:rFonts w:ascii="Arial" w:eastAsia="Calibri" w:hAnsi="Arial" w:cs="Arial"/>
                <w:b/>
                <w:bCs/>
                <w:sz w:val="24"/>
                <w:szCs w:val="24"/>
                <w:lang w:val="es-ES"/>
              </w:rPr>
            </w:pPr>
            <w:r>
              <w:rPr>
                <w:rFonts w:ascii="Arial" w:eastAsia="Calibri" w:hAnsi="Arial" w:cs="Arial"/>
                <w:b/>
                <w:bCs/>
                <w:sz w:val="24"/>
                <w:szCs w:val="24"/>
                <w:lang w:val="es-ES"/>
              </w:rPr>
              <w:t>Periodo temprano</w:t>
            </w:r>
          </w:p>
        </w:tc>
        <w:tc>
          <w:tcPr>
            <w:tcW w:w="2943" w:type="dxa"/>
          </w:tcPr>
          <w:p w14:paraId="67A6F060" w14:textId="77777777" w:rsidR="008403BD" w:rsidRDefault="007D49D9">
            <w:pPr>
              <w:widowControl w:val="0"/>
              <w:autoSpaceDE w:val="0"/>
              <w:autoSpaceDN w:val="0"/>
              <w:adjustRightInd w:val="0"/>
              <w:spacing w:before="120" w:line="360" w:lineRule="auto"/>
              <w:jc w:val="both"/>
              <w:rPr>
                <w:rFonts w:ascii="Arial" w:eastAsia="Calibri" w:hAnsi="Arial" w:cs="Arial"/>
                <w:bCs/>
                <w:sz w:val="24"/>
                <w:szCs w:val="24"/>
                <w:lang w:val="es-ES"/>
              </w:rPr>
            </w:pPr>
            <w:r>
              <w:rPr>
                <w:rFonts w:ascii="Arial" w:eastAsia="Calibri" w:hAnsi="Arial" w:cs="Arial"/>
                <w:bCs/>
                <w:sz w:val="24"/>
                <w:szCs w:val="24"/>
                <w:lang w:val="es-ES"/>
              </w:rPr>
              <w:t>16 de agosto de 2022</w:t>
            </w:r>
          </w:p>
        </w:tc>
        <w:tc>
          <w:tcPr>
            <w:tcW w:w="2943" w:type="dxa"/>
          </w:tcPr>
          <w:p w14:paraId="0A608299" w14:textId="77777777" w:rsidR="008403BD" w:rsidRDefault="007D49D9">
            <w:pPr>
              <w:widowControl w:val="0"/>
              <w:autoSpaceDE w:val="0"/>
              <w:autoSpaceDN w:val="0"/>
              <w:adjustRightInd w:val="0"/>
              <w:spacing w:before="120" w:line="360" w:lineRule="auto"/>
              <w:jc w:val="both"/>
              <w:rPr>
                <w:rFonts w:ascii="Arial" w:eastAsia="Calibri" w:hAnsi="Arial" w:cs="Arial"/>
                <w:bCs/>
                <w:sz w:val="24"/>
                <w:szCs w:val="24"/>
                <w:lang w:val="es-ES"/>
              </w:rPr>
            </w:pPr>
            <w:r>
              <w:rPr>
                <w:rFonts w:ascii="Arial" w:eastAsia="Calibri" w:hAnsi="Arial" w:cs="Arial"/>
                <w:bCs/>
                <w:sz w:val="24"/>
                <w:szCs w:val="24"/>
                <w:lang w:val="es-ES"/>
              </w:rPr>
              <w:t>13 de septiembre de 2022</w:t>
            </w:r>
          </w:p>
        </w:tc>
      </w:tr>
      <w:tr w:rsidR="008403BD" w14:paraId="387D4F1B" w14:textId="77777777">
        <w:tc>
          <w:tcPr>
            <w:tcW w:w="2942" w:type="dxa"/>
          </w:tcPr>
          <w:p w14:paraId="23A6CBA2" w14:textId="77777777" w:rsidR="008403BD" w:rsidRDefault="007D49D9">
            <w:pPr>
              <w:widowControl w:val="0"/>
              <w:autoSpaceDE w:val="0"/>
              <w:autoSpaceDN w:val="0"/>
              <w:adjustRightInd w:val="0"/>
              <w:spacing w:before="120" w:line="360" w:lineRule="auto"/>
              <w:jc w:val="both"/>
              <w:rPr>
                <w:rFonts w:ascii="Arial" w:eastAsia="Calibri" w:hAnsi="Arial" w:cs="Arial"/>
                <w:b/>
                <w:bCs/>
                <w:sz w:val="24"/>
                <w:szCs w:val="24"/>
                <w:lang w:val="es-ES"/>
              </w:rPr>
            </w:pPr>
            <w:r>
              <w:rPr>
                <w:rFonts w:ascii="Arial" w:eastAsia="Calibri" w:hAnsi="Arial" w:cs="Arial"/>
                <w:b/>
                <w:bCs/>
                <w:sz w:val="24"/>
                <w:szCs w:val="24"/>
                <w:lang w:val="es-ES"/>
              </w:rPr>
              <w:t>Periodo óptimo</w:t>
            </w:r>
          </w:p>
        </w:tc>
        <w:tc>
          <w:tcPr>
            <w:tcW w:w="2943" w:type="dxa"/>
          </w:tcPr>
          <w:p w14:paraId="50DECE62" w14:textId="77777777" w:rsidR="008403BD" w:rsidRDefault="007D49D9">
            <w:pPr>
              <w:widowControl w:val="0"/>
              <w:autoSpaceDE w:val="0"/>
              <w:autoSpaceDN w:val="0"/>
              <w:adjustRightInd w:val="0"/>
              <w:spacing w:before="120" w:line="360" w:lineRule="auto"/>
              <w:jc w:val="both"/>
              <w:rPr>
                <w:rFonts w:ascii="Arial" w:eastAsia="Calibri" w:hAnsi="Arial" w:cs="Arial"/>
                <w:bCs/>
                <w:sz w:val="24"/>
                <w:szCs w:val="24"/>
                <w:lang w:val="es-ES"/>
              </w:rPr>
            </w:pPr>
            <w:r>
              <w:rPr>
                <w:rFonts w:ascii="Arial" w:eastAsia="Calibri" w:hAnsi="Arial" w:cs="Arial"/>
                <w:bCs/>
                <w:sz w:val="24"/>
                <w:szCs w:val="24"/>
                <w:lang w:val="es-ES"/>
              </w:rPr>
              <w:t>15 de diciembre de 2022</w:t>
            </w:r>
          </w:p>
        </w:tc>
        <w:tc>
          <w:tcPr>
            <w:tcW w:w="2943" w:type="dxa"/>
          </w:tcPr>
          <w:p w14:paraId="0EA058DA" w14:textId="77777777" w:rsidR="008403BD" w:rsidRDefault="007D49D9">
            <w:pPr>
              <w:widowControl w:val="0"/>
              <w:autoSpaceDE w:val="0"/>
              <w:autoSpaceDN w:val="0"/>
              <w:adjustRightInd w:val="0"/>
              <w:spacing w:before="120" w:line="360" w:lineRule="auto"/>
              <w:jc w:val="both"/>
              <w:rPr>
                <w:rFonts w:ascii="Arial" w:eastAsia="Calibri" w:hAnsi="Arial" w:cs="Arial"/>
                <w:bCs/>
                <w:sz w:val="24"/>
                <w:szCs w:val="24"/>
                <w:lang w:val="es-ES"/>
              </w:rPr>
            </w:pPr>
            <w:r>
              <w:rPr>
                <w:rFonts w:ascii="Arial" w:eastAsia="Calibri" w:hAnsi="Arial" w:cs="Arial"/>
                <w:bCs/>
                <w:sz w:val="24"/>
                <w:szCs w:val="24"/>
                <w:lang w:val="es-ES"/>
              </w:rPr>
              <w:t>11 de enero de 2023</w:t>
            </w:r>
          </w:p>
        </w:tc>
      </w:tr>
    </w:tbl>
    <w:p w14:paraId="3A508338" w14:textId="77777777" w:rsidR="008403BD" w:rsidRDefault="008403BD">
      <w:pPr>
        <w:widowControl w:val="0"/>
        <w:autoSpaceDE w:val="0"/>
        <w:autoSpaceDN w:val="0"/>
        <w:adjustRightInd w:val="0"/>
        <w:spacing w:before="120" w:after="0" w:line="360" w:lineRule="auto"/>
        <w:jc w:val="both"/>
        <w:rPr>
          <w:rFonts w:ascii="Arial" w:eastAsia="Calibri" w:hAnsi="Arial" w:cs="Arial"/>
          <w:bCs/>
          <w:sz w:val="24"/>
          <w:szCs w:val="24"/>
          <w:lang w:val="es-ES"/>
        </w:rPr>
      </w:pPr>
    </w:p>
    <w:p w14:paraId="3DC6CEF7" w14:textId="77777777" w:rsidR="008403BD" w:rsidRDefault="007D49D9">
      <w:pPr>
        <w:pStyle w:val="Ttulo3"/>
        <w:rPr>
          <w:rFonts w:ascii="Arial" w:hAnsi="Arial" w:cs="Arial"/>
          <w:b/>
          <w:color w:val="auto"/>
        </w:rPr>
      </w:pPr>
      <w:bookmarkStart w:id="18" w:name="_Toc195014956"/>
      <w:r>
        <w:rPr>
          <w:rFonts w:ascii="Arial" w:hAnsi="Arial" w:cs="Arial"/>
          <w:b/>
          <w:color w:val="auto"/>
        </w:rPr>
        <w:t xml:space="preserve">2.1.1 </w:t>
      </w:r>
      <w:proofErr w:type="spellStart"/>
      <w:r>
        <w:rPr>
          <w:rFonts w:ascii="Arial" w:hAnsi="Arial" w:cs="Arial"/>
          <w:b/>
          <w:color w:val="auto"/>
        </w:rPr>
        <w:t>Recolección</w:t>
      </w:r>
      <w:proofErr w:type="spellEnd"/>
      <w:r>
        <w:rPr>
          <w:rFonts w:ascii="Arial" w:hAnsi="Arial" w:cs="Arial"/>
          <w:b/>
          <w:color w:val="auto"/>
        </w:rPr>
        <w:t xml:space="preserve"> de </w:t>
      </w:r>
      <w:proofErr w:type="spellStart"/>
      <w:r>
        <w:rPr>
          <w:rFonts w:ascii="Arial" w:hAnsi="Arial" w:cs="Arial"/>
          <w:b/>
          <w:color w:val="auto"/>
        </w:rPr>
        <w:t>los</w:t>
      </w:r>
      <w:proofErr w:type="spellEnd"/>
      <w:r>
        <w:rPr>
          <w:rFonts w:ascii="Arial" w:hAnsi="Arial" w:cs="Arial"/>
          <w:b/>
          <w:color w:val="auto"/>
        </w:rPr>
        <w:t xml:space="preserve"> </w:t>
      </w:r>
      <w:proofErr w:type="spellStart"/>
      <w:r>
        <w:rPr>
          <w:rFonts w:ascii="Arial" w:hAnsi="Arial" w:cs="Arial"/>
          <w:b/>
          <w:color w:val="auto"/>
        </w:rPr>
        <w:t>datos</w:t>
      </w:r>
      <w:bookmarkEnd w:id="18"/>
      <w:proofErr w:type="spellEnd"/>
    </w:p>
    <w:p w14:paraId="0EFEA87C" w14:textId="77777777" w:rsidR="008403BD" w:rsidRDefault="007D49D9">
      <w:pPr>
        <w:spacing w:before="120" w:after="0" w:line="360" w:lineRule="auto"/>
        <w:jc w:val="both"/>
        <w:rPr>
          <w:rFonts w:ascii="Arial" w:eastAsia="MS Mincho" w:hAnsi="Arial" w:cs="Arial"/>
          <w:bCs/>
          <w:sz w:val="24"/>
          <w:szCs w:val="24"/>
          <w:lang w:val="es-ES" w:eastAsia="es-ES"/>
        </w:rPr>
      </w:pPr>
      <w:r>
        <w:rPr>
          <w:rFonts w:ascii="Arial" w:hAnsi="Arial" w:cs="Arial"/>
          <w:sz w:val="24"/>
          <w:szCs w:val="24"/>
          <w:lang w:val="es-ES"/>
        </w:rPr>
        <w:t xml:space="preserve">Se utilizaron los datos correspondientes a los periodos temprano y tardío para la calibración, mientras la validación se realizó en el periodo óptimo. La duración en días de los días a la antesis y a la maduración se evaluó en los tres periodos de siembra. </w:t>
      </w:r>
      <w:r>
        <w:rPr>
          <w:rFonts w:ascii="Arial" w:eastAsia="MS Mincho" w:hAnsi="Arial" w:cs="Arial"/>
          <w:bCs/>
          <w:color w:val="FF0000"/>
          <w:sz w:val="24"/>
          <w:szCs w:val="24"/>
          <w:lang w:val="es-ES" w:eastAsia="es-ES"/>
        </w:rPr>
        <w:t xml:space="preserve"> </w:t>
      </w:r>
    </w:p>
    <w:p w14:paraId="5A924CDA" w14:textId="77777777" w:rsidR="008403BD" w:rsidRDefault="007D49D9">
      <w:pPr>
        <w:tabs>
          <w:tab w:val="left" w:pos="720"/>
        </w:tabs>
        <w:spacing w:before="120" w:after="0" w:line="360" w:lineRule="auto"/>
        <w:contextualSpacing/>
        <w:jc w:val="both"/>
        <w:rPr>
          <w:rFonts w:ascii="Arial" w:hAnsi="Arial" w:cs="Arial"/>
          <w:color w:val="000000"/>
          <w:sz w:val="24"/>
          <w:szCs w:val="24"/>
          <w:lang w:val="es-ES"/>
        </w:rPr>
      </w:pPr>
      <w:r>
        <w:rPr>
          <w:rFonts w:ascii="Arial" w:hAnsi="Arial" w:cs="Arial"/>
          <w:color w:val="000000"/>
          <w:sz w:val="24"/>
          <w:szCs w:val="24"/>
          <w:lang w:val="es-ES"/>
        </w:rPr>
        <w:t>Se evaluó, además, la biomasa seca de hojas, tallos y raíces, el índice de área foliar, el número de frutos por metro cuadrado y el rendimiento (kg ha</w:t>
      </w:r>
      <w:r>
        <w:rPr>
          <w:rFonts w:ascii="Arial" w:hAnsi="Arial" w:cs="Arial"/>
          <w:color w:val="000000"/>
          <w:sz w:val="24"/>
          <w:szCs w:val="24"/>
          <w:vertAlign w:val="superscript"/>
          <w:lang w:val="es-ES"/>
        </w:rPr>
        <w:t>-1</w:t>
      </w:r>
      <w:r>
        <w:rPr>
          <w:rFonts w:ascii="Arial" w:hAnsi="Arial" w:cs="Arial"/>
          <w:color w:val="000000"/>
          <w:sz w:val="24"/>
          <w:szCs w:val="24"/>
          <w:lang w:val="es-ES"/>
        </w:rPr>
        <w:t xml:space="preserve">). Para ello se tomaron aleatoriamente </w:t>
      </w:r>
      <w:r>
        <w:rPr>
          <w:rFonts w:ascii="Arial" w:hAnsi="Arial" w:cs="Arial"/>
          <w:bCs/>
          <w:sz w:val="24"/>
          <w:szCs w:val="24"/>
          <w:lang w:val="es-ES"/>
        </w:rPr>
        <w:t>tres</w:t>
      </w:r>
      <w:r>
        <w:rPr>
          <w:rFonts w:ascii="Arial" w:hAnsi="Arial" w:cs="Arial"/>
          <w:bCs/>
          <w:color w:val="000000"/>
          <w:sz w:val="24"/>
          <w:szCs w:val="24"/>
          <w:lang w:val="es-ES"/>
        </w:rPr>
        <w:t xml:space="preserve"> plantas </w:t>
      </w:r>
      <w:r>
        <w:rPr>
          <w:rFonts w:ascii="Arial" w:hAnsi="Arial" w:cs="Arial"/>
          <w:color w:val="000000"/>
          <w:sz w:val="24"/>
          <w:szCs w:val="24"/>
          <w:lang w:val="es-ES"/>
        </w:rPr>
        <w:t xml:space="preserve">del cultivar Elbita con intervalos de aproximadamente 10 días, en todos los periodos, desde el inicio del trasplante hasta el cuajado de los frutos. Este muestreo fue destructivo. </w:t>
      </w:r>
    </w:p>
    <w:p w14:paraId="399B1CB0" w14:textId="77777777" w:rsidR="008403BD" w:rsidRDefault="007D49D9">
      <w:pPr>
        <w:tabs>
          <w:tab w:val="left" w:pos="720"/>
        </w:tabs>
        <w:spacing w:before="120" w:after="0" w:line="360" w:lineRule="auto"/>
        <w:contextualSpacing/>
        <w:jc w:val="both"/>
        <w:rPr>
          <w:rFonts w:ascii="Arial" w:hAnsi="Arial" w:cs="Arial"/>
          <w:color w:val="000000"/>
          <w:sz w:val="24"/>
          <w:szCs w:val="24"/>
          <w:lang w:val="es-ES"/>
        </w:rPr>
      </w:pPr>
      <w:r>
        <w:rPr>
          <w:rFonts w:ascii="Arial" w:hAnsi="Arial" w:cs="Arial"/>
          <w:color w:val="000000"/>
          <w:sz w:val="24"/>
          <w:szCs w:val="24"/>
          <w:lang w:val="es-ES"/>
        </w:rPr>
        <w:t xml:space="preserve">Se calcularon las medias, la desviación estándar y el coeficiente de variación de los caracteres cuantitativos estudiados en cada experimento. Se aplicó un análisis de varianza simple y las diferencias significativas entre los periodos de siembra se verificaron por la prueba de rango múltiple de </w:t>
      </w:r>
      <w:r w:rsidRPr="008E7C91">
        <w:rPr>
          <w:rFonts w:ascii="Arial" w:hAnsi="Arial" w:cs="Arial"/>
          <w:color w:val="000000"/>
          <w:sz w:val="24"/>
          <w:szCs w:val="24"/>
          <w:lang w:val="es-ES"/>
        </w:rPr>
        <w:t>Tukey</w:t>
      </w:r>
      <w:r>
        <w:rPr>
          <w:rFonts w:ascii="Arial" w:hAnsi="Arial" w:cs="Arial"/>
          <w:color w:val="000000"/>
          <w:sz w:val="24"/>
          <w:szCs w:val="24"/>
          <w:lang w:val="es-ES"/>
        </w:rPr>
        <w:t xml:space="preserve"> 0,05. Para el análisis estadístico de los datos se utilizó el software SPSS para Windows, versión 22.0 (IBM, 2007).</w:t>
      </w:r>
    </w:p>
    <w:p w14:paraId="0EA86F72" w14:textId="77777777" w:rsidR="008403BD" w:rsidRDefault="007D49D9">
      <w:pPr>
        <w:pStyle w:val="Ttulo3"/>
        <w:rPr>
          <w:rFonts w:ascii="Arial" w:hAnsi="Arial" w:cs="Arial"/>
          <w:b/>
          <w:color w:val="auto"/>
          <w:lang w:val="es-ES"/>
        </w:rPr>
      </w:pPr>
      <w:bookmarkStart w:id="19" w:name="_Toc195014957"/>
      <w:r>
        <w:rPr>
          <w:rFonts w:ascii="Arial" w:hAnsi="Arial" w:cs="Arial"/>
          <w:b/>
          <w:color w:val="auto"/>
          <w:lang w:val="es-ES"/>
        </w:rPr>
        <w:t>2.1.2 Preparación de los ficheros de entrada</w:t>
      </w:r>
      <w:bookmarkEnd w:id="19"/>
    </w:p>
    <w:p w14:paraId="6EC82447" w14:textId="77777777" w:rsidR="008403BD" w:rsidRDefault="007D49D9">
      <w:pPr>
        <w:spacing w:before="120" w:line="360" w:lineRule="auto"/>
        <w:contextualSpacing/>
        <w:jc w:val="both"/>
        <w:rPr>
          <w:rFonts w:ascii="Arial" w:hAnsi="Arial" w:cs="Arial"/>
          <w:color w:val="000000"/>
          <w:sz w:val="24"/>
          <w:szCs w:val="24"/>
          <w:lang w:val="es-ES"/>
        </w:rPr>
      </w:pPr>
      <w:r>
        <w:rPr>
          <w:rFonts w:ascii="Arial" w:hAnsi="Arial" w:cs="Arial"/>
          <w:color w:val="000000"/>
          <w:sz w:val="24"/>
          <w:szCs w:val="24"/>
          <w:lang w:val="es-ES"/>
        </w:rPr>
        <w:t xml:space="preserve">La información de los datos meteorológicos colectados en </w:t>
      </w:r>
      <w:r>
        <w:rPr>
          <w:rFonts w:ascii="Arial" w:hAnsi="Arial" w:cs="Arial"/>
          <w:sz w:val="24"/>
          <w:szCs w:val="24"/>
          <w:lang w:val="es-ES"/>
        </w:rPr>
        <w:t xml:space="preserve">ambos periodos </w:t>
      </w:r>
      <w:r>
        <w:rPr>
          <w:rFonts w:ascii="Arial" w:hAnsi="Arial" w:cs="Arial"/>
          <w:color w:val="000000"/>
          <w:sz w:val="24"/>
          <w:szCs w:val="24"/>
          <w:lang w:val="es-ES"/>
        </w:rPr>
        <w:t xml:space="preserve">se introdujeron en el modelo DSSAT V4.8.2 </w:t>
      </w:r>
      <w:r>
        <w:rPr>
          <w:rFonts w:ascii="Arial" w:hAnsi="Arial" w:cs="Arial"/>
          <w:color w:val="000000"/>
          <w:sz w:val="24"/>
          <w:szCs w:val="24"/>
          <w:lang w:val="es-ES"/>
        </w:rPr>
        <w:fldChar w:fldCharType="begin"/>
      </w:r>
      <w:r>
        <w:rPr>
          <w:rFonts w:ascii="Arial" w:hAnsi="Arial" w:cs="Arial"/>
          <w:color w:val="000000"/>
          <w:sz w:val="24"/>
          <w:szCs w:val="24"/>
          <w:lang w:val="es-ES"/>
        </w:rPr>
        <w:instrText xml:space="preserve"> ADDIN ZOTERO_ITEM CSL_CITATION {"citationID":"GroJRqFF","properties":{"custom":"(Hoogenboom {\\i{}et al}., 2023)","formattedCitation":"(Hoogenboom {\\i{}et al}., 2023)","plainCitation":"(Hoogenboom et al., 2023)","noteIndex":0},"citationItems":[{"id":1091,"uris":["http://zotero.org/users/12642312/items/GD6H5K4H"],"itemData":{"id":1091,"type":"webpage","abstract":"Official Home of the DSSAT Cropping Systems Model","container-title":"DSSAT.net","title":"DSSAT.net - Official Home of the DSSAT Cropping Systems Model","URL":"https://dssat.net/","author":[{"family":"Hoogenboom","given":"G"},{"family":"Porter","given":"C.H."},{"family":"Sheila","given":"V."},{"family":"Boote","given":"K.J."},{"family":"Singh","given":"U."},{"family":"Pavan","given":"W."},{"family":"Oliveira","given":"F.A.A."},{"family":"Jones","given":"J.W"}],"accessed":{"date-parts":[["2025",4,1]]},"issued":{"date-parts":[["2023"]]}}}],"schema":"https://github.com/citation-style-language/schema/raw/master/csl-citation.json"} </w:instrText>
      </w:r>
      <w:r>
        <w:rPr>
          <w:rFonts w:ascii="Arial" w:hAnsi="Arial" w:cs="Arial"/>
          <w:color w:val="000000"/>
          <w:sz w:val="24"/>
          <w:szCs w:val="24"/>
          <w:lang w:val="es-ES"/>
        </w:rPr>
        <w:fldChar w:fldCharType="separate"/>
      </w:r>
      <w:r>
        <w:rPr>
          <w:rFonts w:ascii="Arial" w:hAnsi="Arial" w:cs="Arial"/>
          <w:sz w:val="24"/>
          <w:szCs w:val="24"/>
          <w:lang w:val="es-ES"/>
        </w:rPr>
        <w:t xml:space="preserve">(Hoogenboom </w:t>
      </w:r>
      <w:r>
        <w:rPr>
          <w:rFonts w:ascii="Arial" w:hAnsi="Arial" w:cs="Arial"/>
          <w:i/>
          <w:iCs/>
          <w:sz w:val="24"/>
          <w:szCs w:val="24"/>
          <w:lang w:val="es-ES"/>
        </w:rPr>
        <w:t>et al</w:t>
      </w:r>
      <w:r>
        <w:rPr>
          <w:rFonts w:ascii="Arial" w:hAnsi="Arial" w:cs="Arial"/>
          <w:sz w:val="24"/>
          <w:szCs w:val="24"/>
          <w:lang w:val="es-ES"/>
        </w:rPr>
        <w:t>., 2023)</w:t>
      </w:r>
      <w:r>
        <w:rPr>
          <w:rFonts w:ascii="Arial" w:hAnsi="Arial" w:cs="Arial"/>
          <w:color w:val="000000"/>
          <w:sz w:val="24"/>
          <w:szCs w:val="24"/>
          <w:lang w:val="es-ES"/>
        </w:rPr>
        <w:fldChar w:fldCharType="end"/>
      </w:r>
      <w:r>
        <w:rPr>
          <w:rFonts w:ascii="Arial" w:hAnsi="Arial" w:cs="Arial"/>
          <w:color w:val="000000"/>
          <w:sz w:val="24"/>
          <w:szCs w:val="24"/>
          <w:lang w:val="es-ES"/>
        </w:rPr>
        <w:t xml:space="preserve">, así como los perfiles de suelo correspondientes al sitio experimental y las evaluaciones de </w:t>
      </w:r>
      <w:r>
        <w:rPr>
          <w:rFonts w:ascii="Arial" w:hAnsi="Arial" w:cs="Arial"/>
          <w:color w:val="000000"/>
          <w:sz w:val="24"/>
          <w:szCs w:val="24"/>
          <w:lang w:val="es-ES"/>
        </w:rPr>
        <w:lastRenderedPageBreak/>
        <w:t xml:space="preserve">crecimiento del cultivo y rendimiento colectados en los experimentos, </w:t>
      </w:r>
      <w:r w:rsidR="00EF4B77">
        <w:rPr>
          <w:rFonts w:ascii="Arial" w:hAnsi="Arial" w:cs="Arial"/>
          <w:color w:val="000000"/>
          <w:sz w:val="24"/>
          <w:szCs w:val="24"/>
          <w:lang w:val="es-ES"/>
        </w:rPr>
        <w:t>los cuales</w:t>
      </w:r>
      <w:r>
        <w:rPr>
          <w:rFonts w:ascii="Arial" w:hAnsi="Arial" w:cs="Arial"/>
          <w:color w:val="000000"/>
          <w:sz w:val="24"/>
          <w:szCs w:val="24"/>
          <w:lang w:val="es-ES"/>
        </w:rPr>
        <w:t xml:space="preserve"> son necesarios para la ejecución del modelo CROPGRO-Tomato.</w:t>
      </w:r>
    </w:p>
    <w:p w14:paraId="0F24BD05" w14:textId="77777777" w:rsidR="008403BD" w:rsidRDefault="007D49D9">
      <w:pPr>
        <w:spacing w:before="120" w:line="360" w:lineRule="auto"/>
        <w:contextualSpacing/>
        <w:jc w:val="both"/>
        <w:rPr>
          <w:rFonts w:ascii="Arial" w:hAnsi="Arial" w:cs="Arial"/>
          <w:sz w:val="24"/>
          <w:szCs w:val="24"/>
          <w:lang w:val="es-ES"/>
        </w:rPr>
      </w:pPr>
      <w:r>
        <w:rPr>
          <w:rFonts w:ascii="Arial" w:hAnsi="Arial" w:cs="Arial"/>
          <w:sz w:val="24"/>
          <w:szCs w:val="24"/>
          <w:lang w:val="es-ES"/>
        </w:rPr>
        <w:t xml:space="preserve">Se crearon en total seis ficheros de entrada para correr el modelo CROPGRO-Tomato insertado en DSSAT v4.8.2: fichero X (Anexo 2), fichero A, fichero T, fichero de suelo, fichero de clima y fichero de coeficientes genéticos.  </w:t>
      </w:r>
    </w:p>
    <w:p w14:paraId="0F741ACC" w14:textId="77777777" w:rsidR="008403BD" w:rsidRDefault="007D49D9">
      <w:pPr>
        <w:spacing w:before="120" w:line="360" w:lineRule="auto"/>
        <w:contextualSpacing/>
        <w:jc w:val="both"/>
        <w:rPr>
          <w:rFonts w:ascii="Arial" w:hAnsi="Arial" w:cs="Arial"/>
          <w:sz w:val="24"/>
          <w:szCs w:val="24"/>
          <w:lang w:val="es-ES"/>
        </w:rPr>
      </w:pPr>
      <w:r>
        <w:rPr>
          <w:rFonts w:ascii="Arial" w:hAnsi="Arial" w:cs="Arial"/>
          <w:sz w:val="24"/>
          <w:szCs w:val="24"/>
          <w:lang w:val="es-ES"/>
        </w:rPr>
        <w:t xml:space="preserve">En los ficheros A y T se almacenaron los valores de las variables fisiológicas observadas en los experimentos y, posteriormente, se compararon con los valores simulados por el modelo para la calibración. </w:t>
      </w:r>
    </w:p>
    <w:p w14:paraId="7434BD80" w14:textId="77777777" w:rsidR="008403BD" w:rsidRDefault="007D49D9">
      <w:pPr>
        <w:spacing w:before="120" w:line="360" w:lineRule="auto"/>
        <w:contextualSpacing/>
        <w:jc w:val="both"/>
        <w:rPr>
          <w:rFonts w:ascii="Arial" w:hAnsi="Arial" w:cs="Arial"/>
          <w:sz w:val="24"/>
          <w:szCs w:val="24"/>
          <w:lang w:val="es-ES"/>
        </w:rPr>
      </w:pPr>
      <w:r>
        <w:rPr>
          <w:rFonts w:ascii="Arial" w:hAnsi="Arial" w:cs="Arial"/>
          <w:sz w:val="24"/>
          <w:szCs w:val="24"/>
          <w:lang w:val="es-ES"/>
        </w:rPr>
        <w:t xml:space="preserve"> En el fichero X se almacenaron datos de las condiciones experimentales. La mayor parte de este fichero son los datos de manejo de la producción de cultivos, separados en varias secciones. </w:t>
      </w:r>
    </w:p>
    <w:p w14:paraId="2656DCF3" w14:textId="77777777"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Para la confección del fichero de clima se utilizaron los valores de las variables meteorológicas (temperaturas máximas y mínimas y precipitaciones diarias) de los meses en que se desarrollaron los experimentos, obtenidas de la Estación Meteorológica de Tapaste, en Mayabeque, a 1km aproximadamente del área experimental (Figura 2, 3 y 4).</w:t>
      </w:r>
    </w:p>
    <w:p w14:paraId="6D671D15" w14:textId="77777777" w:rsidR="008403BD" w:rsidRDefault="007D49D9">
      <w:pPr>
        <w:keepNext/>
        <w:autoSpaceDE w:val="0"/>
        <w:autoSpaceDN w:val="0"/>
        <w:adjustRightInd w:val="0"/>
        <w:spacing w:after="0" w:line="360" w:lineRule="auto"/>
        <w:jc w:val="both"/>
      </w:pPr>
      <w:r>
        <w:rPr>
          <w:rFonts w:ascii="Arial" w:hAnsi="Arial" w:cs="Arial"/>
          <w:noProof/>
          <w:color w:val="000000"/>
          <w:sz w:val="24"/>
          <w:szCs w:val="24"/>
        </w:rPr>
        <w:drawing>
          <wp:inline distT="0" distB="0" distL="0" distR="0" wp14:anchorId="33C3F163" wp14:editId="7F102D37">
            <wp:extent cx="5612130" cy="2805546"/>
            <wp:effectExtent l="0" t="0" r="7620" b="0"/>
            <wp:docPr id="1031" name="Imagen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n 26"/>
                    <pic:cNvPicPr/>
                  </pic:nvPicPr>
                  <pic:blipFill>
                    <a:blip r:embed="rId13" cstate="print"/>
                    <a:srcRect/>
                    <a:stretch/>
                  </pic:blipFill>
                  <pic:spPr>
                    <a:xfrm>
                      <a:off x="0" y="0"/>
                      <a:ext cx="5612130" cy="2805546"/>
                    </a:xfrm>
                    <a:prstGeom prst="rect">
                      <a:avLst/>
                    </a:prstGeom>
                  </pic:spPr>
                </pic:pic>
              </a:graphicData>
            </a:graphic>
          </wp:inline>
        </w:drawing>
      </w:r>
    </w:p>
    <w:p w14:paraId="27D3A16C" w14:textId="3E755DBC" w:rsidR="008403BD" w:rsidRPr="00CE4DBC" w:rsidRDefault="007D49D9">
      <w:pPr>
        <w:pStyle w:val="Descripcin"/>
        <w:jc w:val="both"/>
        <w:rPr>
          <w:rFonts w:ascii="Arial" w:hAnsi="Arial" w:cs="Arial"/>
          <w:color w:val="auto"/>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2</w:t>
      </w:r>
      <w:r>
        <w:rPr>
          <w:rFonts w:ascii="Arial" w:hAnsi="Arial" w:cs="Arial"/>
          <w:b/>
          <w:color w:val="auto"/>
        </w:rPr>
        <w:fldChar w:fldCharType="end"/>
      </w:r>
      <w:r w:rsidR="00CE4DBC">
        <w:rPr>
          <w:rFonts w:ascii="Arial" w:hAnsi="Arial" w:cs="Arial"/>
          <w:b/>
          <w:color w:val="auto"/>
          <w:lang w:val="es-ES"/>
        </w:rPr>
        <w:t>.</w:t>
      </w:r>
      <w:r w:rsidRPr="00CE4DBC">
        <w:rPr>
          <w:rFonts w:ascii="Arial" w:hAnsi="Arial" w:cs="Arial"/>
          <w:color w:val="auto"/>
          <w:lang w:val="es-ES"/>
        </w:rPr>
        <w:t xml:space="preserve"> Comportamiento de las variables meteorológicas diarias para el experimento realizado en p</w:t>
      </w:r>
      <w:r w:rsidR="00CE4DBC" w:rsidRPr="00CE4DBC">
        <w:rPr>
          <w:rFonts w:ascii="Arial" w:hAnsi="Arial" w:cs="Arial"/>
          <w:color w:val="auto"/>
          <w:lang w:val="es-ES"/>
        </w:rPr>
        <w:t>eriodo tardío (febrero de 2022)</w:t>
      </w:r>
    </w:p>
    <w:p w14:paraId="7CE46A32" w14:textId="77777777" w:rsidR="008403BD" w:rsidRDefault="007D49D9">
      <w:pPr>
        <w:keepNext/>
        <w:autoSpaceDE w:val="0"/>
        <w:autoSpaceDN w:val="0"/>
        <w:adjustRightInd w:val="0"/>
        <w:spacing w:after="0" w:line="360" w:lineRule="auto"/>
        <w:jc w:val="both"/>
      </w:pPr>
      <w:r>
        <w:rPr>
          <w:rFonts w:ascii="Arial" w:hAnsi="Arial" w:cs="Arial"/>
          <w:noProof/>
          <w:color w:val="000000"/>
          <w:sz w:val="24"/>
          <w:szCs w:val="24"/>
        </w:rPr>
        <w:lastRenderedPageBreak/>
        <w:drawing>
          <wp:inline distT="0" distB="0" distL="0" distR="0" wp14:anchorId="2AA39769" wp14:editId="60F45782">
            <wp:extent cx="5612130" cy="3249295"/>
            <wp:effectExtent l="0" t="0" r="7620" b="8255"/>
            <wp:docPr id="1032" name="Imagen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n 27"/>
                    <pic:cNvPicPr/>
                  </pic:nvPicPr>
                  <pic:blipFill>
                    <a:blip r:embed="rId14" cstate="print"/>
                    <a:srcRect/>
                    <a:stretch/>
                  </pic:blipFill>
                  <pic:spPr>
                    <a:xfrm>
                      <a:off x="0" y="0"/>
                      <a:ext cx="5612130" cy="3249295"/>
                    </a:xfrm>
                    <a:prstGeom prst="rect">
                      <a:avLst/>
                    </a:prstGeom>
                  </pic:spPr>
                </pic:pic>
              </a:graphicData>
            </a:graphic>
          </wp:inline>
        </w:drawing>
      </w:r>
    </w:p>
    <w:p w14:paraId="61CB08AF" w14:textId="729A2F77" w:rsidR="008403BD" w:rsidRDefault="007D49D9">
      <w:pPr>
        <w:pStyle w:val="Descripcin"/>
        <w:jc w:val="both"/>
        <w:rPr>
          <w:rFonts w:ascii="Arial" w:hAnsi="Arial" w:cs="Arial"/>
          <w:b/>
          <w:color w:val="auto"/>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3</w:t>
      </w:r>
      <w:r>
        <w:rPr>
          <w:rFonts w:ascii="Arial" w:hAnsi="Arial" w:cs="Arial"/>
          <w:b/>
          <w:color w:val="auto"/>
        </w:rPr>
        <w:fldChar w:fldCharType="end"/>
      </w:r>
      <w:r w:rsidR="001A24A3">
        <w:rPr>
          <w:rFonts w:ascii="Arial" w:hAnsi="Arial" w:cs="Arial"/>
          <w:b/>
          <w:color w:val="auto"/>
          <w:lang w:val="es-ES"/>
        </w:rPr>
        <w:t>.</w:t>
      </w:r>
      <w:r>
        <w:rPr>
          <w:rFonts w:ascii="Arial" w:hAnsi="Arial" w:cs="Arial"/>
          <w:b/>
          <w:color w:val="auto"/>
          <w:lang w:val="es-ES"/>
        </w:rPr>
        <w:t xml:space="preserve"> </w:t>
      </w:r>
      <w:r w:rsidRPr="001A24A3">
        <w:rPr>
          <w:rFonts w:ascii="Arial" w:hAnsi="Arial" w:cs="Arial"/>
          <w:color w:val="auto"/>
          <w:lang w:val="es-ES"/>
        </w:rPr>
        <w:t>Comportamiento de las variables meteorológicas diarias para el experimento realizado en pe</w:t>
      </w:r>
      <w:r w:rsidR="001A24A3" w:rsidRPr="001A24A3">
        <w:rPr>
          <w:rFonts w:ascii="Arial" w:hAnsi="Arial" w:cs="Arial"/>
          <w:color w:val="auto"/>
          <w:lang w:val="es-ES"/>
        </w:rPr>
        <w:t>riodo temprano (agosto de 2022)</w:t>
      </w:r>
    </w:p>
    <w:p w14:paraId="4518F99D" w14:textId="77777777" w:rsidR="008403BD" w:rsidRDefault="008403BD">
      <w:pPr>
        <w:autoSpaceDE w:val="0"/>
        <w:autoSpaceDN w:val="0"/>
        <w:adjustRightInd w:val="0"/>
        <w:spacing w:after="0" w:line="360" w:lineRule="auto"/>
        <w:jc w:val="both"/>
        <w:rPr>
          <w:rFonts w:ascii="Arial" w:hAnsi="Arial" w:cs="Arial"/>
          <w:sz w:val="24"/>
          <w:szCs w:val="24"/>
          <w:lang w:val="es-ES"/>
        </w:rPr>
      </w:pPr>
    </w:p>
    <w:p w14:paraId="6A2CE648" w14:textId="77777777" w:rsidR="008403BD" w:rsidRDefault="007D49D9">
      <w:pPr>
        <w:keepNext/>
        <w:autoSpaceDE w:val="0"/>
        <w:autoSpaceDN w:val="0"/>
        <w:adjustRightInd w:val="0"/>
        <w:spacing w:after="0" w:line="360" w:lineRule="auto"/>
        <w:jc w:val="both"/>
      </w:pPr>
      <w:r>
        <w:rPr>
          <w:rFonts w:ascii="Arial" w:hAnsi="Arial" w:cs="Arial"/>
          <w:noProof/>
          <w:sz w:val="24"/>
          <w:szCs w:val="24"/>
        </w:rPr>
        <w:drawing>
          <wp:inline distT="0" distB="0" distL="0" distR="0" wp14:anchorId="18CDF131" wp14:editId="2FAAABE9">
            <wp:extent cx="5612130" cy="2876550"/>
            <wp:effectExtent l="0" t="0" r="7620" b="0"/>
            <wp:docPr id="1033" name="Imagen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n 28"/>
                    <pic:cNvPicPr/>
                  </pic:nvPicPr>
                  <pic:blipFill>
                    <a:blip r:embed="rId15" cstate="print"/>
                    <a:srcRect/>
                    <a:stretch/>
                  </pic:blipFill>
                  <pic:spPr>
                    <a:xfrm>
                      <a:off x="0" y="0"/>
                      <a:ext cx="5612130" cy="2876550"/>
                    </a:xfrm>
                    <a:prstGeom prst="rect">
                      <a:avLst/>
                    </a:prstGeom>
                  </pic:spPr>
                </pic:pic>
              </a:graphicData>
            </a:graphic>
          </wp:inline>
        </w:drawing>
      </w:r>
    </w:p>
    <w:p w14:paraId="578B47B9" w14:textId="1C79B22B" w:rsidR="008403BD" w:rsidRDefault="007D49D9">
      <w:pPr>
        <w:pStyle w:val="Descripcin"/>
        <w:jc w:val="both"/>
        <w:rPr>
          <w:rFonts w:ascii="Arial" w:hAnsi="Arial" w:cs="Arial"/>
          <w:b/>
          <w:color w:val="auto"/>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4</w:t>
      </w:r>
      <w:r>
        <w:rPr>
          <w:rFonts w:ascii="Arial" w:hAnsi="Arial" w:cs="Arial"/>
          <w:b/>
          <w:color w:val="auto"/>
        </w:rPr>
        <w:fldChar w:fldCharType="end"/>
      </w:r>
      <w:r w:rsidR="00316720" w:rsidRPr="00316720">
        <w:rPr>
          <w:rFonts w:ascii="Arial" w:hAnsi="Arial" w:cs="Arial"/>
          <w:b/>
          <w:color w:val="auto"/>
          <w:lang w:val="es-ES"/>
        </w:rPr>
        <w:t>.</w:t>
      </w:r>
      <w:r>
        <w:rPr>
          <w:rFonts w:ascii="Arial" w:hAnsi="Arial" w:cs="Arial"/>
          <w:b/>
          <w:color w:val="auto"/>
          <w:lang w:val="es-ES"/>
        </w:rPr>
        <w:t xml:space="preserve"> </w:t>
      </w:r>
      <w:r w:rsidRPr="00316720">
        <w:rPr>
          <w:rFonts w:ascii="Arial" w:hAnsi="Arial" w:cs="Arial"/>
          <w:color w:val="auto"/>
          <w:lang w:val="es-ES"/>
        </w:rPr>
        <w:t>Comportamiento de las variables meteorológicas diarias para el experimento realizado en per</w:t>
      </w:r>
      <w:r w:rsidR="00316720" w:rsidRPr="00316720">
        <w:rPr>
          <w:rFonts w:ascii="Arial" w:hAnsi="Arial" w:cs="Arial"/>
          <w:color w:val="auto"/>
          <w:lang w:val="es-ES"/>
        </w:rPr>
        <w:t>iodo óptimo (diciembre de 2022)</w:t>
      </w:r>
    </w:p>
    <w:p w14:paraId="154B6FCF" w14:textId="77777777" w:rsidR="008403BD" w:rsidRDefault="008403BD">
      <w:pPr>
        <w:autoSpaceDE w:val="0"/>
        <w:autoSpaceDN w:val="0"/>
        <w:adjustRightInd w:val="0"/>
        <w:spacing w:after="0" w:line="360" w:lineRule="auto"/>
        <w:jc w:val="both"/>
        <w:rPr>
          <w:rFonts w:ascii="Arial" w:hAnsi="Arial" w:cs="Arial"/>
          <w:b/>
          <w:sz w:val="24"/>
          <w:szCs w:val="24"/>
          <w:lang w:val="es-ES"/>
        </w:rPr>
      </w:pPr>
    </w:p>
    <w:p w14:paraId="0A0D0562" w14:textId="77777777" w:rsidR="008403BD" w:rsidRDefault="007D49D9">
      <w:pPr>
        <w:spacing w:after="160" w:line="259" w:lineRule="auto"/>
        <w:rPr>
          <w:rFonts w:ascii="Arial" w:hAnsi="Arial" w:cs="Arial"/>
          <w:sz w:val="24"/>
          <w:szCs w:val="24"/>
          <w:lang w:val="es-ES"/>
        </w:rPr>
      </w:pPr>
      <w:r>
        <w:rPr>
          <w:rFonts w:ascii="Arial" w:hAnsi="Arial" w:cs="Arial"/>
          <w:sz w:val="24"/>
          <w:szCs w:val="24"/>
          <w:lang w:val="es-ES"/>
        </w:rPr>
        <w:br w:type="page"/>
      </w:r>
    </w:p>
    <w:p w14:paraId="30944862" w14:textId="77777777"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lastRenderedPageBreak/>
        <w:t>Los coeficientes se ajustaron mediante el método manual de prueba y error hasta que se logró un</w:t>
      </w:r>
      <w:r w:rsidR="00E9451B">
        <w:rPr>
          <w:rFonts w:ascii="Arial" w:hAnsi="Arial" w:cs="Arial"/>
          <w:sz w:val="24"/>
          <w:szCs w:val="24"/>
          <w:lang w:val="es-ES"/>
        </w:rPr>
        <w:t xml:space="preserve"> </w:t>
      </w:r>
      <w:r w:rsidR="00E9451B">
        <w:rPr>
          <w:rFonts w:ascii="Arial" w:hAnsi="Arial" w:cs="Arial"/>
          <w:color w:val="000000"/>
          <w:sz w:val="24"/>
          <w:szCs w:val="24"/>
          <w:lang w:val="es-ES"/>
        </w:rPr>
        <w:t>cuadrado medio del error normalizado</w:t>
      </w:r>
      <w:r>
        <w:rPr>
          <w:rFonts w:ascii="Arial" w:hAnsi="Arial" w:cs="Arial"/>
          <w:sz w:val="24"/>
          <w:szCs w:val="24"/>
          <w:lang w:val="es-ES"/>
        </w:rPr>
        <w:t xml:space="preserve"> </w:t>
      </w:r>
      <w:r w:rsidR="00E9451B">
        <w:rPr>
          <w:rFonts w:ascii="Arial" w:hAnsi="Arial" w:cs="Arial"/>
          <w:sz w:val="24"/>
          <w:szCs w:val="24"/>
          <w:lang w:val="es-ES"/>
        </w:rPr>
        <w:t>(</w:t>
      </w:r>
      <w:proofErr w:type="spellStart"/>
      <w:r>
        <w:rPr>
          <w:rFonts w:ascii="Arial" w:hAnsi="Arial" w:cs="Arial"/>
          <w:sz w:val="24"/>
          <w:szCs w:val="24"/>
          <w:lang w:val="es-ES"/>
        </w:rPr>
        <w:t>RMSEn</w:t>
      </w:r>
      <w:proofErr w:type="spellEnd"/>
      <w:r w:rsidR="00E9451B">
        <w:rPr>
          <w:rFonts w:ascii="Arial" w:hAnsi="Arial" w:cs="Arial"/>
          <w:sz w:val="24"/>
          <w:szCs w:val="24"/>
          <w:lang w:val="es-ES"/>
        </w:rPr>
        <w:t>)</w:t>
      </w:r>
      <w:r>
        <w:rPr>
          <w:rFonts w:ascii="Arial" w:hAnsi="Arial" w:cs="Arial"/>
          <w:sz w:val="24"/>
          <w:szCs w:val="24"/>
          <w:lang w:val="es-ES"/>
        </w:rPr>
        <w:t xml:space="preserve"> menor que 5% entre los valores observados en los experimentos y los simulados por el modelo, en las fechas de antesis y madurez fisiológica, </w:t>
      </w:r>
      <w:r w:rsidRPr="00C1029B">
        <w:rPr>
          <w:rFonts w:ascii="Arial" w:hAnsi="Arial" w:cs="Arial"/>
          <w:sz w:val="24"/>
          <w:szCs w:val="24"/>
          <w:lang w:val="es-ES"/>
        </w:rPr>
        <w:t>masa de 1000 granos y rendimiento del grano</w:t>
      </w:r>
      <w:r>
        <w:rPr>
          <w:rFonts w:ascii="Arial" w:hAnsi="Arial" w:cs="Arial"/>
          <w:sz w:val="24"/>
          <w:szCs w:val="24"/>
          <w:lang w:val="es-ES"/>
        </w:rPr>
        <w:t xml:space="preserve">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{"citationID":"dw3mXB2A","properties":{"custom":"(Lamsal {\\i{}et al}., 2013)","formattedCitation":"(Lamsal {\\i{}et al}., 2013)","plainCitation":"(Lamsal et al., 2013)","noteIndex":0},"citationItems":[{"id":1168,"uris":["http://zotero.org/users/12642312/items/VCQBDZKV"],"itemData":{"id":1168,"type":"article-journal","abstract":"Concern is growing about the effects of urbanization on air pollution and health. Nitrogen dioxide (NO2) released primarily from combustion processes, such as traffic, is a short-lived atmospheric pollutant that serves as an air-quality indicator and is itself a health concern. We derive a global distribution of ground-level NO2 concentrations from tropospheric NO2 columns retrieved from the Ozone Monitoring Instrument (OMI). Local scaling factors from a three-dimensional chemistry-transport model (GEOS-Chem) are used to relate the OMI NO2 columns to ground-level concentrations. The OMI-derived surface NO2 data are significantly correlated (r = 0.69) with in situ surface measurements. We examine how the OMI-derived ground-level NO2 concentrations, OMI NO2 columns, and bottom-up NOx emission inventories relate to urban population. Emission hot spots, such as power plants, are excluded to focus on urban relationships. The correlation of surface NO2 with population is significant for the three countries and one continent examined here: United States (r = 0.71), Europe (r = 0.67), China (r = 0.69), and India (r = 0.59). Urban NO2 pollution, like other urban properties, is a power law scaling function of the population size: NO2 concentration increases proportional to population raised to an exponent. The value of the exponent varies by region from 0.36 for India to 0.66 for China, reflecting regional differences in industrial development and per capita emissions. It has been generally established that energy efficiency increases and, therefore, per capita NOx emissions decrease with urban population; here, we show how outdoor ambient NO2 concentrations depend upon urban population in different global regions.","container-title":"Environmental Science &amp; Technology","DOI":"10.1021/es400744g","ISSN":"0013-936X","issue":"14","journalAbbreviation":"Environ. Sci. Technol.","note":"publisher: American Chemical Society","page":"7855-7861","source":"ACS Publications","title":"Scaling Relationship for NO2 Pollution and Urban Population Size: A Satellite Perspective","title-short":"Scaling Relationship for NO2 Pollution and Urban Population Size","URL":"https://doi.org/10.1021/es400744g","volume":"47","author":[{"family":"Lamsal","given":""},{"family":"Martin","given":"R. V."},{"family":"Parrish","given":"D. D."},{"family":"Krotkov","given":"N. A."}],"accessed":{"date-parts":[["2025",4,1]]},"issued":{"date-parts":[["2013",7,16]]}}}],"schema":"https://github.com/citation-style-language/schema/raw/master/csl-citation.json"}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(Lamsal </w:t>
      </w:r>
      <w:r>
        <w:rPr>
          <w:rFonts w:ascii="Arial" w:hAnsi="Arial" w:cs="Arial"/>
          <w:i/>
          <w:iCs/>
          <w:sz w:val="24"/>
          <w:szCs w:val="24"/>
          <w:lang w:val="es-ES"/>
        </w:rPr>
        <w:t>et al</w:t>
      </w:r>
      <w:r>
        <w:rPr>
          <w:rFonts w:ascii="Arial" w:hAnsi="Arial" w:cs="Arial"/>
          <w:sz w:val="24"/>
          <w:szCs w:val="24"/>
          <w:lang w:val="es-ES"/>
        </w:rPr>
        <w:t>., 2013)</w:t>
      </w:r>
      <w:r>
        <w:rPr>
          <w:rFonts w:ascii="Arial" w:hAnsi="Arial" w:cs="Arial"/>
          <w:sz w:val="24"/>
          <w:szCs w:val="24"/>
          <w:lang w:val="es-ES"/>
        </w:rPr>
        <w:fldChar w:fldCharType="end"/>
      </w:r>
      <w:r>
        <w:rPr>
          <w:rFonts w:ascii="Arial" w:hAnsi="Arial" w:cs="Arial"/>
          <w:sz w:val="24"/>
          <w:szCs w:val="24"/>
          <w:lang w:val="es-ES"/>
        </w:rPr>
        <w:t>.</w:t>
      </w:r>
    </w:p>
    <w:p w14:paraId="43A9B1E4" w14:textId="77777777" w:rsidR="008403BD" w:rsidRDefault="008403BD">
      <w:pPr>
        <w:autoSpaceDE w:val="0"/>
        <w:autoSpaceDN w:val="0"/>
        <w:adjustRightInd w:val="0"/>
        <w:spacing w:after="0" w:line="360" w:lineRule="auto"/>
        <w:jc w:val="both"/>
        <w:rPr>
          <w:rFonts w:ascii="Arial" w:hAnsi="Arial" w:cs="Arial"/>
          <w:sz w:val="24"/>
          <w:szCs w:val="24"/>
          <w:lang w:val="es-ES"/>
        </w:rPr>
      </w:pPr>
    </w:p>
    <w:p w14:paraId="601A4CF2" w14:textId="15263E5B" w:rsidR="008403BD" w:rsidRDefault="00042B3E">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 xml:space="preserve">Se calculó además el </w:t>
      </w:r>
      <w:r>
        <w:rPr>
          <w:rFonts w:ascii="Arial" w:hAnsi="Arial" w:cs="Arial"/>
          <w:color w:val="000000"/>
          <w:sz w:val="24"/>
          <w:szCs w:val="24"/>
          <w:lang w:val="es-ES"/>
        </w:rPr>
        <w:t>cuadrado medio del error</w:t>
      </w:r>
      <w:r w:rsidR="007D49D9">
        <w:rPr>
          <w:rFonts w:ascii="Arial" w:hAnsi="Arial" w:cs="Arial"/>
          <w:sz w:val="24"/>
          <w:szCs w:val="24"/>
          <w:lang w:val="es-ES"/>
        </w:rPr>
        <w:t xml:space="preserve"> </w:t>
      </w:r>
      <w:r>
        <w:rPr>
          <w:rFonts w:ascii="Arial" w:hAnsi="Arial" w:cs="Arial"/>
          <w:sz w:val="24"/>
          <w:szCs w:val="24"/>
          <w:lang w:val="es-ES"/>
        </w:rPr>
        <w:t>(</w:t>
      </w:r>
      <w:r w:rsidR="007D49D9">
        <w:rPr>
          <w:rFonts w:ascii="Arial" w:hAnsi="Arial" w:cs="Arial"/>
          <w:sz w:val="24"/>
          <w:szCs w:val="24"/>
          <w:lang w:val="es-ES"/>
        </w:rPr>
        <w:t>RMSE</w:t>
      </w:r>
      <w:r>
        <w:rPr>
          <w:rFonts w:ascii="Arial" w:hAnsi="Arial" w:cs="Arial"/>
          <w:sz w:val="24"/>
          <w:szCs w:val="24"/>
          <w:lang w:val="es-ES"/>
        </w:rPr>
        <w:t>)</w:t>
      </w:r>
      <w:r w:rsidR="007D49D9">
        <w:rPr>
          <w:rFonts w:ascii="Arial" w:hAnsi="Arial" w:cs="Arial"/>
          <w:sz w:val="24"/>
          <w:szCs w:val="24"/>
          <w:lang w:val="es-ES"/>
        </w:rPr>
        <w:t xml:space="preserve"> y el índice d</w:t>
      </w:r>
      <w:r w:rsidR="00F409C0">
        <w:rPr>
          <w:rFonts w:ascii="Arial" w:hAnsi="Arial" w:cs="Arial"/>
          <w:sz w:val="24"/>
          <w:szCs w:val="24"/>
          <w:lang w:val="es-ES"/>
        </w:rPr>
        <w:t xml:space="preserve"> </w:t>
      </w:r>
      <w:r w:rsidR="00F409C0">
        <w:rPr>
          <w:rFonts w:ascii="Arial" w:hAnsi="Arial" w:cs="Arial"/>
          <w:sz w:val="24"/>
          <w:szCs w:val="24"/>
          <w:lang w:val="es-ES"/>
        </w:rPr>
        <w:fldChar w:fldCharType="begin"/>
      </w:r>
      <w:r w:rsidR="00F409C0">
        <w:rPr>
          <w:rFonts w:ascii="Arial" w:hAnsi="Arial" w:cs="Arial"/>
          <w:sz w:val="24"/>
          <w:szCs w:val="24"/>
          <w:lang w:val="es-ES"/>
        </w:rPr>
        <w:instrText xml:space="preserve"> ADDIN ZOTERO_ITEM CSL_CITATION {"citationID":"FjD4XaUz","properties":{"custom":"(Willmott, 1982)","formattedCitation":"(Willmott, 1982)","plainCitation":"(Willmott, 1982)","noteIndex":0},"citationItems":[{"id":1253,"uris":["http://zotero.org/users/12642312/items/6J7L8Y58"],"itemData":{"id":1253,"type":"article-journal","container-title":"Physical Geography","DOI":"10.1080/02723646.1981.10642213","ISSN":"0272-3646, 1930-0557","issue":"2","journalAbbreviation":"Physical Geography","language":"en","page":"184-194","source":"DOI.org (Crossref)","title":"ON THE VALIDATION OF MODELS","URL":"https://www.tandfonline.com/doi/full/10.1080/02723646.1981.10642213","volume":"2","author":[{"family":"Willmott","given":""}],"accessed":{"date-parts":[["2025",4,2]]},"issued":{"date-parts":[["1982",7]]}}}],"schema":"https://github.com/citation-style-language/schema/raw/master/csl-citation.json"} </w:instrText>
      </w:r>
      <w:r w:rsidR="00F409C0">
        <w:rPr>
          <w:rFonts w:ascii="Arial" w:hAnsi="Arial" w:cs="Arial"/>
          <w:sz w:val="24"/>
          <w:szCs w:val="24"/>
          <w:lang w:val="es-ES"/>
        </w:rPr>
        <w:fldChar w:fldCharType="separate"/>
      </w:r>
      <w:r w:rsidR="00F409C0" w:rsidRPr="00F409C0">
        <w:rPr>
          <w:rFonts w:ascii="Arial" w:hAnsi="Arial" w:cs="Arial"/>
          <w:sz w:val="24"/>
          <w:lang w:val="es-ES"/>
        </w:rPr>
        <w:t>(Willmott, 1982)</w:t>
      </w:r>
      <w:r w:rsidR="00F409C0">
        <w:rPr>
          <w:rFonts w:ascii="Arial" w:hAnsi="Arial" w:cs="Arial"/>
          <w:sz w:val="24"/>
          <w:szCs w:val="24"/>
          <w:lang w:val="es-ES"/>
        </w:rPr>
        <w:fldChar w:fldCharType="end"/>
      </w:r>
      <w:r w:rsidR="007D49D9">
        <w:rPr>
          <w:rFonts w:ascii="Arial" w:hAnsi="Arial" w:cs="Arial"/>
          <w:sz w:val="24"/>
          <w:szCs w:val="24"/>
          <w:lang w:val="es-ES"/>
        </w:rPr>
        <w:t xml:space="preserve">, con las siguientes ecuaciones (Ecuaciones 1, 2 y 3): </w:t>
      </w:r>
    </w:p>
    <w:p w14:paraId="6C06C6F0" w14:textId="77777777"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hAnsi="Arial" w:cs="Arial"/>
          <w:noProof/>
          <w:sz w:val="24"/>
          <w:szCs w:val="24"/>
        </w:rPr>
        <mc:AlternateContent>
          <mc:Choice Requires="wps">
            <w:drawing>
              <wp:anchor distT="0" distB="0" distL="0" distR="0" simplePos="0" relativeHeight="6" behindDoc="0" locked="0" layoutInCell="1" allowOverlap="1" wp14:anchorId="4191CB95" wp14:editId="113BE6FA">
                <wp:simplePos x="0" y="0"/>
                <wp:positionH relativeFrom="column">
                  <wp:posOffset>4768215</wp:posOffset>
                </wp:positionH>
                <wp:positionV relativeFrom="paragraph">
                  <wp:posOffset>388620</wp:posOffset>
                </wp:positionV>
                <wp:extent cx="419100" cy="285749"/>
                <wp:effectExtent l="0" t="0" r="0" b="0"/>
                <wp:wrapNone/>
                <wp:docPr id="103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285749"/>
                        </a:xfrm>
                        <a:prstGeom prst="rect">
                          <a:avLst/>
                        </a:prstGeom>
                        <a:solidFill>
                          <a:srgbClr val="FFFFFF"/>
                        </a:solidFill>
                        <a:ln>
                          <a:noFill/>
                        </a:ln>
                      </wps:spPr>
                      <wps:txbx>
                        <w:txbxContent>
                          <w:p w14:paraId="62D4C84C" w14:textId="77777777" w:rsidR="00E51ED4" w:rsidRDefault="00E51ED4">
                            <w:pPr>
                              <w:rPr>
                                <w:rFonts w:ascii="Arial" w:hAnsi="Arial" w:cs="Arial"/>
                                <w:sz w:val="24"/>
                                <w:szCs w:val="24"/>
                              </w:rPr>
                            </w:pPr>
                            <w:r>
                              <w:rPr>
                                <w:rFonts w:ascii="Arial" w:hAnsi="Arial" w:cs="Arial"/>
                                <w:sz w:val="24"/>
                                <w:szCs w:val="24"/>
                              </w:rPr>
                              <w:t>(1)</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91CB95" id="Cuadro de texto 2" o:spid="_x0000_s1026" style="position:absolute;left:0;text-align:left;margin-left:375.45pt;margin-top:30.6pt;width:33pt;height:22.5pt;z-index: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" stroked="f">
                <v:path arrowok="t"/>
                <v:textbox>
                  <w:txbxContent>
                    <w:p w14:paraId="62D4C84C" w14:textId="77777777" w:rsidR="00E51ED4" w:rsidRDefault="00E51ED4">
                      <w:pPr>
                        <w:rPr>
                          <w:rFonts w:ascii="Arial" w:hAnsi="Arial" w:cs="Arial"/>
                          <w:sz w:val="24"/>
                          <w:szCs w:val="24"/>
                        </w:rPr>
                      </w:pPr>
                      <w:r>
                        <w:rPr>
                          <w:rFonts w:ascii="Arial" w:hAnsi="Arial" w:cs="Arial"/>
                          <w:sz w:val="24"/>
                          <w:szCs w:val="24"/>
                        </w:rPr>
                        <w:t>(1)</w:t>
                      </w:r>
                    </w:p>
                  </w:txbxContent>
                </v:textbox>
              </v:rect>
            </w:pict>
          </mc:Fallback>
        </mc:AlternateContent>
      </w:r>
    </w:p>
    <w:p w14:paraId="5B0ADC06" w14:textId="77777777" w:rsidR="008403BD" w:rsidRDefault="007D49D9">
      <w:pPr>
        <w:autoSpaceDE w:val="0"/>
        <w:autoSpaceDN w:val="0"/>
        <w:adjustRightInd w:val="0"/>
        <w:spacing w:after="0" w:line="360" w:lineRule="auto"/>
        <w:jc w:val="both"/>
        <w:rPr>
          <w:rFonts w:ascii="Arial" w:hAnsi="Arial" w:cs="Arial"/>
          <w:sz w:val="24"/>
          <w:szCs w:val="24"/>
        </w:rPr>
      </w:pPr>
      <m:oMathPara>
        <m:oMath>
          <m:r>
            <w:rPr>
              <w:rFonts w:ascii="Cambria Math" w:hAnsi="Cambria Math" w:cs="Arial"/>
              <w:sz w:val="24"/>
              <w:szCs w:val="24"/>
            </w:rPr>
            <m:t xml:space="preserve">RMSE= </m:t>
          </m:r>
          <m:rad>
            <m:radPr>
              <m:degHide m:val="1"/>
              <m:ctrlPr>
                <w:rPr>
                  <w:rFonts w:ascii="Cambria Math" w:hAnsi="Cambria Math" w:cs="Arial"/>
                  <w:i/>
                  <w:sz w:val="24"/>
                  <w:szCs w:val="24"/>
                </w:rPr>
              </m:ctrlPr>
            </m:radPr>
            <m:deg/>
            <m:e>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f>
                    <m:fPr>
                      <m:ctrlPr>
                        <w:rPr>
                          <w:rFonts w:ascii="Cambria Math" w:hAnsi="Cambria Math" w:cs="Arial"/>
                          <w:i/>
                          <w:sz w:val="24"/>
                          <w:szCs w:val="24"/>
                        </w:rPr>
                      </m:ctrlPr>
                    </m:fPr>
                    <m:num>
                      <m:sSup>
                        <m:sSupPr>
                          <m:ctrlPr>
                            <w:rPr>
                              <w:rFonts w:ascii="Cambria Math" w:hAnsi="Cambria Math" w:cs="Arial"/>
                              <w:i/>
                              <w:sz w:val="24"/>
                              <w:szCs w:val="24"/>
                            </w:rPr>
                          </m:ctrlPr>
                        </m:sSupPr>
                        <m:e>
                          <m:r>
                            <w:rPr>
                              <w:rFonts w:ascii="Cambria Math" w:hAnsi="Cambria Math" w:cs="Arial"/>
                              <w:sz w:val="24"/>
                              <w:szCs w:val="24"/>
                            </w:rPr>
                            <m:t>(Si-Oi)</m:t>
                          </m:r>
                        </m:e>
                        <m:sup>
                          <m:r>
                            <w:rPr>
                              <w:rFonts w:ascii="Cambria Math" w:hAnsi="Cambria Math" w:cs="Arial"/>
                              <w:sz w:val="24"/>
                              <w:szCs w:val="24"/>
                            </w:rPr>
                            <m:t>2</m:t>
                          </m:r>
                        </m:sup>
                      </m:sSup>
                    </m:num>
                    <m:den>
                      <m:r>
                        <w:rPr>
                          <w:rFonts w:ascii="Cambria Math" w:hAnsi="Cambria Math" w:cs="Arial"/>
                          <w:sz w:val="24"/>
                          <w:szCs w:val="24"/>
                        </w:rPr>
                        <m:t>n</m:t>
                      </m:r>
                    </m:den>
                  </m:f>
                </m:e>
              </m:nary>
            </m:e>
          </m:rad>
        </m:oMath>
      </m:oMathPara>
    </w:p>
    <w:p w14:paraId="4AA7AF51" w14:textId="77777777" w:rsidR="008403BD" w:rsidRDefault="007D49D9">
      <w:pPr>
        <w:autoSpaceDE w:val="0"/>
        <w:autoSpaceDN w:val="0"/>
        <w:adjustRightInd w:val="0"/>
        <w:spacing w:after="0"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0" distR="0" simplePos="0" relativeHeight="7" behindDoc="0" locked="0" layoutInCell="1" allowOverlap="1" wp14:anchorId="4218C21D" wp14:editId="4ADB9C57">
                <wp:simplePos x="0" y="0"/>
                <wp:positionH relativeFrom="column">
                  <wp:posOffset>4774565</wp:posOffset>
                </wp:positionH>
                <wp:positionV relativeFrom="paragraph">
                  <wp:posOffset>530860</wp:posOffset>
                </wp:positionV>
                <wp:extent cx="419100" cy="285750"/>
                <wp:effectExtent l="0" t="0" r="0" b="0"/>
                <wp:wrapNone/>
                <wp:docPr id="103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285750"/>
                        </a:xfrm>
                        <a:prstGeom prst="rect">
                          <a:avLst/>
                        </a:prstGeom>
                        <a:solidFill>
                          <a:srgbClr val="FFFFFF"/>
                        </a:solidFill>
                        <a:ln>
                          <a:noFill/>
                        </a:ln>
                      </wps:spPr>
                      <wps:txbx>
                        <w:txbxContent>
                          <w:p w14:paraId="760F0ECC" w14:textId="77777777" w:rsidR="00E51ED4" w:rsidRDefault="00E51ED4">
                            <w:pPr>
                              <w:rPr>
                                <w:rFonts w:ascii="Arial" w:hAnsi="Arial" w:cs="Arial"/>
                                <w:sz w:val="24"/>
                                <w:szCs w:val="24"/>
                              </w:rPr>
                            </w:pPr>
                            <w:r>
                              <w:rPr>
                                <w:rFonts w:ascii="Arial" w:hAnsi="Arial" w:cs="Arial"/>
                                <w:sz w:val="24"/>
                                <w:szCs w:val="24"/>
                              </w:rPr>
                              <w:t>(2)</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18C21D" id="_x0000_s1027" style="position:absolute;left:0;text-align:left;margin-left:375.95pt;margin-top:41.8pt;width:33pt;height:22.5pt;z-index:7;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" stroked="f">
                <v:path arrowok="t"/>
                <v:textbox>
                  <w:txbxContent>
                    <w:p w14:paraId="760F0ECC" w14:textId="77777777" w:rsidR="00E51ED4" w:rsidRDefault="00E51ED4">
                      <w:pPr>
                        <w:rPr>
                          <w:rFonts w:ascii="Arial" w:hAnsi="Arial" w:cs="Arial"/>
                          <w:sz w:val="24"/>
                          <w:szCs w:val="24"/>
                        </w:rPr>
                      </w:pPr>
                      <w:r>
                        <w:rPr>
                          <w:rFonts w:ascii="Arial" w:hAnsi="Arial" w:cs="Arial"/>
                          <w:sz w:val="24"/>
                          <w:szCs w:val="24"/>
                        </w:rPr>
                        <w:t>(2)</w:t>
                      </w:r>
                    </w:p>
                  </w:txbxContent>
                </v:textbox>
              </v:rect>
            </w:pict>
          </mc:Fallback>
        </mc:AlternateContent>
      </w:r>
    </w:p>
    <w:p w14:paraId="1DFD87CD" w14:textId="77777777" w:rsidR="008403BD" w:rsidRDefault="007D49D9">
      <w:pPr>
        <w:autoSpaceDE w:val="0"/>
        <w:autoSpaceDN w:val="0"/>
        <w:adjustRightInd w:val="0"/>
        <w:spacing w:after="0" w:line="360" w:lineRule="auto"/>
        <w:jc w:val="both"/>
        <w:rPr>
          <w:rFonts w:ascii="Arial" w:hAnsi="Arial" w:cs="Arial"/>
          <w:sz w:val="24"/>
          <w:szCs w:val="24"/>
        </w:rPr>
      </w:pPr>
      <m:oMathPara>
        <m:oMath>
          <m:r>
            <w:rPr>
              <w:rFonts w:ascii="Cambria Math" w:hAnsi="Cambria Math" w:cs="Arial"/>
              <w:sz w:val="24"/>
              <w:szCs w:val="24"/>
            </w:rPr>
            <m:t xml:space="preserve">RMSEn=100* </m:t>
          </m:r>
          <m:f>
            <m:fPr>
              <m:ctrlPr>
                <w:rPr>
                  <w:rFonts w:ascii="Cambria Math" w:hAnsi="Cambria Math" w:cs="Arial"/>
                  <w:i/>
                  <w:sz w:val="24"/>
                  <w:szCs w:val="24"/>
                </w:rPr>
              </m:ctrlPr>
            </m:fPr>
            <m:num>
              <m:rad>
                <m:radPr>
                  <m:degHide m:val="1"/>
                  <m:ctrlPr>
                    <w:rPr>
                      <w:rFonts w:ascii="Cambria Math" w:hAnsi="Cambria Math" w:cs="Arial"/>
                      <w:i/>
                      <w:sz w:val="24"/>
                      <w:szCs w:val="24"/>
                    </w:rPr>
                  </m:ctrlPr>
                </m:radPr>
                <m:deg/>
                <m:e>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f>
                        <m:fPr>
                          <m:ctrlPr>
                            <w:rPr>
                              <w:rFonts w:ascii="Cambria Math" w:hAnsi="Cambria Math" w:cs="Arial"/>
                              <w:i/>
                              <w:sz w:val="24"/>
                              <w:szCs w:val="24"/>
                            </w:rPr>
                          </m:ctrlPr>
                        </m:fPr>
                        <m:num>
                          <m:sSup>
                            <m:sSupPr>
                              <m:ctrlPr>
                                <w:rPr>
                                  <w:rFonts w:ascii="Cambria Math" w:hAnsi="Cambria Math" w:cs="Arial"/>
                                  <w:i/>
                                  <w:sz w:val="24"/>
                                  <w:szCs w:val="24"/>
                                </w:rPr>
                              </m:ctrlPr>
                            </m:sSupPr>
                            <m:e>
                              <m:r>
                                <w:rPr>
                                  <w:rFonts w:ascii="Cambria Math" w:hAnsi="Cambria Math" w:cs="Arial"/>
                                  <w:sz w:val="24"/>
                                  <w:szCs w:val="24"/>
                                </w:rPr>
                                <m:t>(Si-Oi)</m:t>
                              </m:r>
                            </m:e>
                            <m:sup>
                              <m:r>
                                <w:rPr>
                                  <w:rFonts w:ascii="Cambria Math" w:hAnsi="Cambria Math" w:cs="Arial"/>
                                  <w:sz w:val="24"/>
                                  <w:szCs w:val="24"/>
                                </w:rPr>
                                <m:t>2</m:t>
                              </m:r>
                            </m:sup>
                          </m:sSup>
                        </m:num>
                        <m:den>
                          <m:r>
                            <w:rPr>
                              <w:rFonts w:ascii="Cambria Math" w:hAnsi="Cambria Math" w:cs="Arial"/>
                              <w:sz w:val="24"/>
                              <w:szCs w:val="24"/>
                            </w:rPr>
                            <m:t>n</m:t>
                          </m:r>
                        </m:den>
                      </m:f>
                    </m:e>
                  </m:nary>
                </m:e>
              </m:rad>
            </m:num>
            <m:den>
              <m:acc>
                <m:accPr>
                  <m:chr m:val="̅"/>
                  <m:ctrlPr>
                    <w:rPr>
                      <w:rFonts w:ascii="Cambria Math" w:hAnsi="Cambria Math" w:cs="Arial"/>
                      <w:i/>
                      <w:sz w:val="24"/>
                      <w:szCs w:val="24"/>
                    </w:rPr>
                  </m:ctrlPr>
                </m:accPr>
                <m:e>
                  <m:r>
                    <w:rPr>
                      <w:rFonts w:ascii="Cambria Math" w:hAnsi="Cambria Math" w:cs="Arial"/>
                      <w:sz w:val="24"/>
                      <w:szCs w:val="24"/>
                    </w:rPr>
                    <m:t>Ob</m:t>
                  </m:r>
                </m:e>
              </m:acc>
            </m:den>
          </m:f>
        </m:oMath>
      </m:oMathPara>
    </w:p>
    <w:p w14:paraId="224F80FE" w14:textId="77777777" w:rsidR="008403BD" w:rsidRDefault="008403BD">
      <w:pPr>
        <w:autoSpaceDE w:val="0"/>
        <w:autoSpaceDN w:val="0"/>
        <w:adjustRightInd w:val="0"/>
        <w:spacing w:after="0" w:line="360" w:lineRule="auto"/>
        <w:jc w:val="both"/>
        <w:rPr>
          <w:rFonts w:ascii="Arial" w:hAnsi="Arial" w:cs="Arial"/>
          <w:sz w:val="24"/>
          <w:szCs w:val="24"/>
        </w:rPr>
      </w:pPr>
    </w:p>
    <w:p w14:paraId="5F14489E" w14:textId="77777777" w:rsidR="008403BD" w:rsidRDefault="007D49D9">
      <w:pPr>
        <w:autoSpaceDE w:val="0"/>
        <w:autoSpaceDN w:val="0"/>
        <w:adjustRightInd w:val="0"/>
        <w:spacing w:after="0" w:line="360" w:lineRule="auto"/>
        <w:jc w:val="both"/>
        <w:rPr>
          <w:rFonts w:ascii="Arial" w:hAnsi="Arial" w:cs="Arial"/>
          <w:sz w:val="24"/>
          <w:szCs w:val="24"/>
        </w:rPr>
      </w:pPr>
      <m:oMathPara>
        <m:oMath>
          <m:r>
            <w:rPr>
              <w:rFonts w:ascii="Cambria Math" w:hAnsi="Cambria Math" w:cs="Arial"/>
              <w:sz w:val="24"/>
              <w:szCs w:val="24"/>
            </w:rPr>
            <m:t>d=1-</m:t>
          </m:r>
          <m:f>
            <m:fPr>
              <m:ctrlPr>
                <w:rPr>
                  <w:rFonts w:ascii="Cambria Math" w:hAnsi="Cambria Math" w:cs="Arial"/>
                  <w:i/>
                  <w:sz w:val="24"/>
                  <w:szCs w:val="24"/>
                </w:rPr>
              </m:ctrlPr>
            </m:fPr>
            <m:num>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sSup>
                    <m:sSupPr>
                      <m:ctrlPr>
                        <w:rPr>
                          <w:rFonts w:ascii="Cambria Math" w:hAnsi="Cambria Math" w:cs="Arial"/>
                          <w:i/>
                          <w:sz w:val="24"/>
                          <w:szCs w:val="24"/>
                        </w:rPr>
                      </m:ctrlPr>
                    </m:sSupPr>
                    <m:e>
                      <m:r>
                        <w:rPr>
                          <w:rFonts w:ascii="Cambria Math" w:hAnsi="Cambria Math" w:cs="Arial"/>
                          <w:sz w:val="24"/>
                          <w:szCs w:val="24"/>
                        </w:rPr>
                        <m:t>(Si-Oi)</m:t>
                      </m:r>
                    </m:e>
                    <m:sup>
                      <m:r>
                        <w:rPr>
                          <w:rFonts w:ascii="Cambria Math" w:hAnsi="Cambria Math" w:cs="Arial"/>
                          <w:sz w:val="24"/>
                          <w:szCs w:val="24"/>
                        </w:rPr>
                        <m:t>2</m:t>
                      </m:r>
                    </m:sup>
                  </m:sSup>
                </m:e>
              </m:nary>
            </m:num>
            <m:den>
              <m:nary>
                <m:naryPr>
                  <m:chr m:val="∑"/>
                  <m:limLoc m:val="undOvr"/>
                  <m:ctrlPr>
                    <w:rPr>
                      <w:rFonts w:ascii="Cambria Math" w:hAnsi="Cambria Math" w:cs="Arial"/>
                      <w:i/>
                      <w:sz w:val="24"/>
                      <w:szCs w:val="24"/>
                    </w:rPr>
                  </m:ctrlPr>
                </m:naryPr>
                <m:sub>
                  <m:r>
                    <w:rPr>
                      <w:rFonts w:ascii="Cambria Math" w:hAnsi="Cambria Math" w:cs="Arial"/>
                      <w:sz w:val="24"/>
                      <w:szCs w:val="24"/>
                    </w:rPr>
                    <m:t>i=1</m:t>
                  </m:r>
                </m:sub>
                <m:sup>
                  <m:r>
                    <w:rPr>
                      <w:rFonts w:ascii="Cambria Math" w:hAnsi="Cambria Math" w:cs="Arial"/>
                      <w:sz w:val="24"/>
                      <w:szCs w:val="24"/>
                    </w:rPr>
                    <m:t>n</m:t>
                  </m:r>
                </m:sup>
                <m:e>
                  <m:sSup>
                    <m:sSupPr>
                      <m:ctrlPr>
                        <w:rPr>
                          <w:rFonts w:ascii="Cambria Math" w:hAnsi="Cambria Math" w:cs="Arial"/>
                          <w:i/>
                          <w:sz w:val="24"/>
                          <w:szCs w:val="24"/>
                        </w:rPr>
                      </m:ctrlPr>
                    </m:sSupPr>
                    <m:e>
                      <m:r>
                        <w:rPr>
                          <w:rFonts w:ascii="Cambria Math" w:hAnsi="Cambria Math" w:cs="Arial"/>
                          <w:sz w:val="24"/>
                          <w:szCs w:val="24"/>
                        </w:rPr>
                        <m:t>(</m:t>
                      </m:r>
                      <m:d>
                        <m:dPr>
                          <m:begChr m:val="|"/>
                          <m:endChr m:val="|"/>
                          <m:ctrlPr>
                            <w:rPr>
                              <w:rFonts w:ascii="Cambria Math" w:hAnsi="Cambria Math" w:cs="Arial"/>
                              <w:i/>
                              <w:sz w:val="24"/>
                              <w:szCs w:val="24"/>
                            </w:rPr>
                          </m:ctrlPr>
                        </m:dPr>
                        <m:e>
                          <m:r>
                            <w:rPr>
                              <w:rFonts w:ascii="Cambria Math" w:hAnsi="Cambria Math" w:cs="Arial"/>
                              <w:sz w:val="24"/>
                              <w:szCs w:val="24"/>
                            </w:rPr>
                            <m:t>Si-</m:t>
                          </m:r>
                          <m:acc>
                            <m:accPr>
                              <m:chr m:val="̅"/>
                              <m:ctrlPr>
                                <w:rPr>
                                  <w:rFonts w:ascii="Cambria Math" w:hAnsi="Cambria Math" w:cs="Arial"/>
                                  <w:i/>
                                  <w:sz w:val="24"/>
                                  <w:szCs w:val="24"/>
                                </w:rPr>
                              </m:ctrlPr>
                            </m:accPr>
                            <m:e>
                              <m:r>
                                <w:rPr>
                                  <w:rFonts w:ascii="Cambria Math" w:hAnsi="Cambria Math" w:cs="Arial"/>
                                  <w:sz w:val="24"/>
                                  <w:szCs w:val="24"/>
                                </w:rPr>
                                <m:t>Ob</m:t>
                              </m:r>
                            </m:e>
                          </m:acc>
                        </m:e>
                      </m:d>
                      <m:r>
                        <w:rPr>
                          <w:rFonts w:ascii="Cambria Math" w:hAnsi="Cambria Math" w:cs="Arial"/>
                          <w:sz w:val="24"/>
                          <w:szCs w:val="24"/>
                        </w:rPr>
                        <m:t>+</m:t>
                      </m:r>
                      <m:d>
                        <m:dPr>
                          <m:begChr m:val="|"/>
                          <m:endChr m:val="|"/>
                          <m:ctrlPr>
                            <w:rPr>
                              <w:rFonts w:ascii="Cambria Math" w:hAnsi="Cambria Math" w:cs="Arial"/>
                              <w:i/>
                              <w:sz w:val="24"/>
                              <w:szCs w:val="24"/>
                            </w:rPr>
                          </m:ctrlPr>
                        </m:dPr>
                        <m:e>
                          <m:r>
                            <w:rPr>
                              <w:rFonts w:ascii="Cambria Math" w:hAnsi="Cambria Math" w:cs="Arial"/>
                              <w:sz w:val="24"/>
                              <w:szCs w:val="24"/>
                            </w:rPr>
                            <m:t>Oi-</m:t>
                          </m:r>
                          <m:acc>
                            <m:accPr>
                              <m:chr m:val="̅"/>
                              <m:ctrlPr>
                                <w:rPr>
                                  <w:rFonts w:ascii="Cambria Math" w:hAnsi="Cambria Math" w:cs="Arial"/>
                                  <w:i/>
                                  <w:sz w:val="24"/>
                                  <w:szCs w:val="24"/>
                                </w:rPr>
                              </m:ctrlPr>
                            </m:accPr>
                            <m:e>
                              <m:r>
                                <w:rPr>
                                  <w:rFonts w:ascii="Cambria Math" w:hAnsi="Cambria Math" w:cs="Arial"/>
                                  <w:sz w:val="24"/>
                                  <w:szCs w:val="24"/>
                                </w:rPr>
                                <m:t>Ob</m:t>
                              </m:r>
                            </m:e>
                          </m:acc>
                        </m:e>
                      </m:d>
                      <m:r>
                        <w:rPr>
                          <w:rFonts w:ascii="Cambria Math" w:hAnsi="Cambria Math" w:cs="Arial"/>
                          <w:sz w:val="24"/>
                          <w:szCs w:val="24"/>
                        </w:rPr>
                        <m:t>)</m:t>
                      </m:r>
                    </m:e>
                    <m:sup>
                      <m:r>
                        <w:rPr>
                          <w:rFonts w:ascii="Cambria Math" w:hAnsi="Cambria Math" w:cs="Arial"/>
                          <w:sz w:val="24"/>
                          <w:szCs w:val="24"/>
                        </w:rPr>
                        <m:t>2</m:t>
                      </m:r>
                    </m:sup>
                  </m:sSup>
                </m:e>
              </m:nary>
            </m:den>
          </m:f>
        </m:oMath>
      </m:oMathPara>
    </w:p>
    <w:p w14:paraId="2832C604" w14:textId="77777777" w:rsidR="008403BD" w:rsidRDefault="007D49D9">
      <w:pPr>
        <w:autoSpaceDE w:val="0"/>
        <w:autoSpaceDN w:val="0"/>
        <w:adjustRightInd w:val="0"/>
        <w:spacing w:after="0"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0" distR="0" simplePos="0" relativeHeight="8" behindDoc="0" locked="0" layoutInCell="1" allowOverlap="1" wp14:anchorId="66098C38" wp14:editId="17553FA6">
                <wp:simplePos x="0" y="0"/>
                <wp:positionH relativeFrom="column">
                  <wp:posOffset>4822190</wp:posOffset>
                </wp:positionH>
                <wp:positionV relativeFrom="paragraph">
                  <wp:posOffset>-409575</wp:posOffset>
                </wp:positionV>
                <wp:extent cx="419100" cy="285750"/>
                <wp:effectExtent l="0" t="0" r="0" b="0"/>
                <wp:wrapNone/>
                <wp:docPr id="103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285750"/>
                        </a:xfrm>
                        <a:prstGeom prst="rect">
                          <a:avLst/>
                        </a:prstGeom>
                        <a:solidFill>
                          <a:srgbClr val="FFFFFF"/>
                        </a:solidFill>
                        <a:ln>
                          <a:noFill/>
                        </a:ln>
                      </wps:spPr>
                      <wps:txbx>
                        <w:txbxContent>
                          <w:p w14:paraId="32B27788" w14:textId="77777777" w:rsidR="00E51ED4" w:rsidRDefault="00E51ED4">
                            <w:pPr>
                              <w:rPr>
                                <w:rFonts w:ascii="Arial" w:hAnsi="Arial" w:cs="Arial"/>
                                <w:sz w:val="24"/>
                                <w:szCs w:val="24"/>
                              </w:rPr>
                            </w:pPr>
                            <w:r>
                              <w:rPr>
                                <w:rFonts w:ascii="Arial" w:hAnsi="Arial" w:cs="Arial"/>
                                <w:sz w:val="24"/>
                                <w:szCs w:val="24"/>
                              </w:rPr>
                              <w:t>(3)</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098C38" id="_x0000_s1028" style="position:absolute;left:0;text-align:left;margin-left:379.7pt;margin-top:-32.25pt;width:33pt;height:22.5pt;z-index: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" stroked="f">
                <v:path arrowok="t"/>
                <v:textbox>
                  <w:txbxContent>
                    <w:p w14:paraId="32B27788" w14:textId="77777777" w:rsidR="00E51ED4" w:rsidRDefault="00E51ED4">
                      <w:pPr>
                        <w:rPr>
                          <w:rFonts w:ascii="Arial" w:hAnsi="Arial" w:cs="Arial"/>
                          <w:sz w:val="24"/>
                          <w:szCs w:val="24"/>
                        </w:rPr>
                      </w:pPr>
                      <w:r>
                        <w:rPr>
                          <w:rFonts w:ascii="Arial" w:hAnsi="Arial" w:cs="Arial"/>
                          <w:sz w:val="24"/>
                          <w:szCs w:val="24"/>
                        </w:rPr>
                        <w:t>(3)</w:t>
                      </w:r>
                    </w:p>
                  </w:txbxContent>
                </v:textbox>
              </v:rect>
            </w:pict>
          </mc:Fallback>
        </mc:AlternateContent>
      </w:r>
    </w:p>
    <w:p w14:paraId="3EE36184" w14:textId="77777777"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 xml:space="preserve">donde </w:t>
      </w:r>
      <m:oMath>
        <m:r>
          <w:rPr>
            <w:rFonts w:ascii="Cambria Math" w:hAnsi="Cambria Math" w:cs="Arial"/>
            <w:sz w:val="24"/>
            <w:szCs w:val="24"/>
          </w:rPr>
          <m:t>Si</m:t>
        </m:r>
      </m:oMath>
      <w:r>
        <w:rPr>
          <w:rFonts w:ascii="Arial" w:hAnsi="Arial" w:cs="Arial"/>
          <w:sz w:val="24"/>
          <w:szCs w:val="24"/>
          <w:lang w:val="es-ES"/>
        </w:rPr>
        <w:t xml:space="preserve"> y </w:t>
      </w:r>
      <m:oMath>
        <m:r>
          <w:rPr>
            <w:rFonts w:ascii="Cambria Math" w:hAnsi="Cambria Math" w:cs="Arial"/>
            <w:sz w:val="24"/>
            <w:szCs w:val="24"/>
          </w:rPr>
          <m:t>Oi</m:t>
        </m:r>
      </m:oMath>
      <w:r>
        <w:rPr>
          <w:rFonts w:ascii="Arial" w:hAnsi="Arial" w:cs="Arial"/>
          <w:sz w:val="24"/>
          <w:szCs w:val="24"/>
          <w:lang w:val="es-ES"/>
        </w:rPr>
        <w:t xml:space="preserve"> - valores simulados y observados, n es el número de observaciones;     </w:t>
      </w:r>
      <m:oMath>
        <m:acc>
          <m:accPr>
            <m:chr m:val="̅"/>
            <m:ctrlPr>
              <w:rPr>
                <w:rFonts w:ascii="Cambria Math" w:hAnsi="Cambria Math" w:cs="Arial"/>
                <w:i/>
                <w:sz w:val="24"/>
                <w:szCs w:val="24"/>
              </w:rPr>
            </m:ctrlPr>
          </m:accPr>
          <m:e>
            <m:r>
              <w:rPr>
                <w:rFonts w:ascii="Cambria Math" w:hAnsi="Cambria Math" w:cs="Arial"/>
                <w:sz w:val="24"/>
                <w:szCs w:val="24"/>
              </w:rPr>
              <m:t>Ob</m:t>
            </m:r>
          </m:e>
        </m:acc>
      </m:oMath>
      <w:r>
        <w:rPr>
          <w:rFonts w:ascii="Arial" w:hAnsi="Arial" w:cs="Arial"/>
          <w:sz w:val="24"/>
          <w:szCs w:val="24"/>
          <w:lang w:val="es-ES"/>
        </w:rPr>
        <w:t xml:space="preserve"> – media de los valores de </w:t>
      </w:r>
      <m:oMath>
        <m:r>
          <w:rPr>
            <w:rFonts w:ascii="Cambria Math" w:hAnsi="Cambria Math" w:cs="Arial"/>
            <w:sz w:val="24"/>
            <w:szCs w:val="24"/>
          </w:rPr>
          <m:t>Oi</m:t>
        </m:r>
      </m:oMath>
      <w:r>
        <w:rPr>
          <w:rFonts w:ascii="Arial" w:hAnsi="Arial" w:cs="Arial"/>
          <w:sz w:val="24"/>
          <w:szCs w:val="24"/>
          <w:lang w:val="es-ES"/>
        </w:rPr>
        <w:t>.</w:t>
      </w:r>
    </w:p>
    <w:p w14:paraId="3420EB88" w14:textId="77777777" w:rsidR="008403BD" w:rsidRDefault="008403BD">
      <w:pPr>
        <w:autoSpaceDE w:val="0"/>
        <w:autoSpaceDN w:val="0"/>
        <w:adjustRightInd w:val="0"/>
        <w:spacing w:after="0" w:line="360" w:lineRule="auto"/>
        <w:jc w:val="both"/>
        <w:rPr>
          <w:rFonts w:ascii="Arial" w:hAnsi="Arial" w:cs="Arial"/>
          <w:sz w:val="24"/>
          <w:szCs w:val="24"/>
          <w:lang w:val="es-ES"/>
        </w:rPr>
      </w:pPr>
    </w:p>
    <w:p w14:paraId="6DF88D6E" w14:textId="77777777"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 xml:space="preserve">Es factible utilizar las ecuaciones anteriores, ya que la </w:t>
      </w:r>
      <m:oMath>
        <m:r>
          <w:rPr>
            <w:rFonts w:ascii="Cambria Math" w:hAnsi="Cambria Math" w:cs="Arial"/>
            <w:sz w:val="24"/>
            <w:szCs w:val="24"/>
          </w:rPr>
          <m:t>RMSE</m:t>
        </m:r>
      </m:oMath>
      <w:r>
        <w:rPr>
          <w:rFonts w:ascii="Arial" w:hAnsi="Arial" w:cs="Arial"/>
          <w:sz w:val="24"/>
          <w:szCs w:val="24"/>
          <w:lang w:val="es-ES"/>
        </w:rPr>
        <w:t xml:space="preserve"> es una herramienta útil para probar la bondad de ajuste de modelos de simulación y representa una medida global entre los valores observados y simulados; el valor más cercano a cero indica un desempeño bueno en la simulación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{"citationID":"MfXSmbVK","properties":{"custom":"(Ray {\\i{}et al}., 2018)","formattedCitation":"(Ray {\\i{}et al}., 2018)","plainCitation":"(Ray et al., 2018)","noteIndex":0},"citationItems":[{"id":1385,"uris":["http://zotero.org/users/12642312/items/9BTR3E2C"],"itemData":{"id":1385,"type":"article-journal","container-title":"Int. J. Curr. Microbiol. App. Sci","issue":"4","page":"659–67","source":"Google Scholar","title":"Application of dssat crop simulation model to estimate rice yield in Keonjhar district of Odisha (India) under changing climatic conditions","URL":"https://www.researchgate.net/profile/Monika-Ray/publication/344488697_Application_of_DSSAT_Crop_Simulation_Model_to_Estimate_Rice_Yield_in_Keonjhar_District_of_Odisha_India_under_Changing_Climatic_Conditions/links/5f7c1746a6fdccfd7b4a80c7/Application-of-DSSAT-Crop-Simulation-Model-to-Estimate-Rice-Yield-in-Keonjhar-District-of-Odisha-India-under-Changing-Climatic-Conditions.pdf","volume":"7","author":[{"family":"Ray","given":"M."},{"family":"Roul","given":"P. K."},{"family":"Baliarsingh","given":"A."}],"accessed":{"date-parts":[["2025",4,2]]},"issued":{"date-parts":[["2018"]]}}}],"schema":"https://github.com/citation-style-language/schema/raw/master/csl-citation.json"}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(Ray </w:t>
      </w:r>
      <w:r>
        <w:rPr>
          <w:rFonts w:ascii="Arial" w:hAnsi="Arial" w:cs="Arial"/>
          <w:i/>
          <w:iCs/>
          <w:sz w:val="24"/>
          <w:szCs w:val="24"/>
          <w:lang w:val="es-ES"/>
        </w:rPr>
        <w:t>et al</w:t>
      </w:r>
      <w:r>
        <w:rPr>
          <w:rFonts w:ascii="Arial" w:hAnsi="Arial" w:cs="Arial"/>
          <w:sz w:val="24"/>
          <w:szCs w:val="24"/>
          <w:lang w:val="es-ES"/>
        </w:rPr>
        <w:t>., 2018)</w:t>
      </w:r>
      <w:r>
        <w:rPr>
          <w:rFonts w:ascii="Arial" w:hAnsi="Arial" w:cs="Arial"/>
          <w:sz w:val="24"/>
          <w:szCs w:val="24"/>
          <w:lang w:val="es-ES"/>
        </w:rPr>
        <w:fldChar w:fldCharType="end"/>
      </w:r>
      <w:r>
        <w:rPr>
          <w:rFonts w:ascii="Arial" w:hAnsi="Arial" w:cs="Arial"/>
          <w:sz w:val="24"/>
          <w:szCs w:val="24"/>
          <w:lang w:val="es-ES"/>
        </w:rPr>
        <w:t xml:space="preserve">. </w:t>
      </w:r>
    </w:p>
    <w:p w14:paraId="7356AAAC" w14:textId="77777777" w:rsidR="008403BD" w:rsidRDefault="008403BD">
      <w:pPr>
        <w:autoSpaceDE w:val="0"/>
        <w:autoSpaceDN w:val="0"/>
        <w:adjustRightInd w:val="0"/>
        <w:spacing w:after="0" w:line="360" w:lineRule="auto"/>
        <w:jc w:val="both"/>
        <w:rPr>
          <w:rFonts w:ascii="Arial" w:hAnsi="Arial" w:cs="Arial"/>
          <w:sz w:val="24"/>
          <w:szCs w:val="24"/>
          <w:lang w:val="es-ES"/>
        </w:rPr>
      </w:pPr>
    </w:p>
    <w:p w14:paraId="5EDE701C" w14:textId="444504CF" w:rsidR="008403BD" w:rsidRDefault="007D49D9">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 xml:space="preserve">La </w:t>
      </w:r>
      <m:oMath>
        <m:r>
          <w:rPr>
            <w:rFonts w:ascii="Cambria Math" w:hAnsi="Cambria Math" w:cs="Arial"/>
            <w:sz w:val="24"/>
            <w:szCs w:val="24"/>
          </w:rPr>
          <m:t>RMSEn</m:t>
        </m:r>
      </m:oMath>
      <w:r>
        <w:rPr>
          <w:rFonts w:ascii="Arial" w:hAnsi="Arial" w:cs="Arial"/>
          <w:sz w:val="24"/>
          <w:szCs w:val="24"/>
          <w:lang w:val="es-ES"/>
        </w:rPr>
        <w:t xml:space="preserve"> se usó para dar una medida porcentual de la diferencia relativa entre los valores simulados y observados en las fechas de antesis y madurez fisiológica, </w:t>
      </w:r>
      <w:r w:rsidRPr="00C1029B">
        <w:rPr>
          <w:rFonts w:ascii="Arial" w:hAnsi="Arial" w:cs="Arial"/>
          <w:sz w:val="24"/>
          <w:szCs w:val="24"/>
          <w:lang w:val="es-ES"/>
        </w:rPr>
        <w:t>masa de 1000 granos y rendimiento del grano.</w:t>
      </w:r>
      <w:r>
        <w:rPr>
          <w:rFonts w:ascii="Arial" w:hAnsi="Arial" w:cs="Arial"/>
          <w:sz w:val="24"/>
          <w:szCs w:val="24"/>
          <w:lang w:val="es-ES"/>
        </w:rPr>
        <w:t xml:space="preserve"> Una simulación puede ser considerada de Excelente si el </w:t>
      </w:r>
      <m:oMath>
        <m:r>
          <w:rPr>
            <w:rFonts w:ascii="Cambria Math" w:hAnsi="Cambria Math" w:cs="Arial"/>
            <w:sz w:val="24"/>
            <w:szCs w:val="24"/>
          </w:rPr>
          <m:t>RMSEn</m:t>
        </m:r>
      </m:oMath>
      <w:r>
        <w:rPr>
          <w:rFonts w:ascii="Arial" w:hAnsi="Arial" w:cs="Arial"/>
          <w:sz w:val="24"/>
          <w:szCs w:val="24"/>
          <w:lang w:val="es-ES"/>
        </w:rPr>
        <w:t xml:space="preserve"> es menor que el 10 %, Buena si se encuentra </w:t>
      </w:r>
      <w:r>
        <w:rPr>
          <w:rFonts w:ascii="Arial" w:hAnsi="Arial" w:cs="Arial"/>
          <w:sz w:val="24"/>
          <w:szCs w:val="24"/>
          <w:lang w:val="es-ES"/>
        </w:rPr>
        <w:lastRenderedPageBreak/>
        <w:t xml:space="preserve">entre 10 % y 20 %, Razonable si está entre 20 % y 30 % y Malo si es mayor que 30 % </w:t>
      </w:r>
      <w:r>
        <w:rPr>
          <w:rFonts w:ascii="Arial" w:hAnsi="Arial" w:cs="Arial"/>
          <w:sz w:val="24"/>
          <w:szCs w:val="24"/>
        </w:rPr>
        <w:fldChar w:fldCharType="begin"/>
      </w:r>
      <w:r w:rsidR="005F4615">
        <w:rPr>
          <w:rFonts w:ascii="Arial" w:hAnsi="Arial" w:cs="Arial"/>
          <w:sz w:val="24"/>
          <w:szCs w:val="24"/>
          <w:lang w:val="es-ES"/>
        </w:rPr>
        <w:instrText xml:space="preserve"> ADDIN ZOTERO_ITEM CSL_CITATION {"citationID":"cCyIovkA","properties":{"formattedCitation":"(Raes et al., 2018)","plainCitation":"(Raes et al., 2018)","noteIndex":0},"citationItems":[{"id":"CwEAk9Hn/Po5VBAvY","uris":["http://zotero.org/users/local/Ax6kcjol/items/BYXRV9YT"],"itemData":{"id":97,"type":"chapter","title":"Chapter 2. Users Guide","container-title":"Reference Manual of Aquacrop Model","publisher":"FAO","URL":"http://www.fao.org/3/a-br267e.pdf","author":[{"family":"Raes","given":"Dirk"},{"family":"Steduto","given":"Pasquale"},{"family":"Hsiao","given":"Theodore"},{"family":"Fereres","given":"Elias"}],"issued":{"date-parts":[["2018"]]},"accessed":{"date-parts":[["2018",12,18]]}}}],"schema":"https://github.com/citation-style-language/schema/raw/master/csl-citation.json"} </w:instrText>
      </w:r>
      <w:r>
        <w:rPr>
          <w:rFonts w:ascii="Arial" w:hAnsi="Arial" w:cs="Arial"/>
          <w:sz w:val="24"/>
          <w:szCs w:val="24"/>
        </w:rPr>
        <w:fldChar w:fldCharType="separate"/>
      </w:r>
      <w:r>
        <w:rPr>
          <w:rFonts w:ascii="Arial" w:hAnsi="Arial" w:cs="Arial"/>
          <w:sz w:val="24"/>
          <w:lang w:val="es-ES"/>
        </w:rPr>
        <w:t xml:space="preserve">(Raes </w:t>
      </w:r>
      <w:r>
        <w:rPr>
          <w:rFonts w:ascii="Arial" w:hAnsi="Arial" w:cs="Arial"/>
          <w:i/>
          <w:sz w:val="24"/>
          <w:lang w:val="es-ES"/>
        </w:rPr>
        <w:t>et al</w:t>
      </w:r>
      <w:r>
        <w:rPr>
          <w:rFonts w:ascii="Arial" w:hAnsi="Arial" w:cs="Arial"/>
          <w:sz w:val="24"/>
          <w:lang w:val="es-ES"/>
        </w:rPr>
        <w:t>., 2018)</w:t>
      </w:r>
      <w:r>
        <w:rPr>
          <w:rFonts w:ascii="Arial" w:hAnsi="Arial" w:cs="Arial"/>
          <w:sz w:val="24"/>
          <w:szCs w:val="24"/>
        </w:rPr>
        <w:fldChar w:fldCharType="end"/>
      </w:r>
      <w:r>
        <w:rPr>
          <w:rFonts w:ascii="Arial" w:hAnsi="Arial" w:cs="Arial"/>
          <w:sz w:val="24"/>
          <w:szCs w:val="24"/>
          <w:lang w:val="es-ES"/>
        </w:rPr>
        <w:t xml:space="preserve">. Por su parte, </w:t>
      </w:r>
      <w:r>
        <w:rPr>
          <w:rFonts w:ascii="Arial" w:hAnsi="Arial" w:cs="Arial"/>
          <w:sz w:val="24"/>
          <w:szCs w:val="24"/>
          <w:lang w:val="es-ES"/>
        </w:rPr>
        <w:fldChar w:fldCharType="begin"/>
      </w:r>
      <w:r w:rsidR="00E609BC">
        <w:rPr>
          <w:rFonts w:ascii="Arial" w:hAnsi="Arial" w:cs="Arial"/>
          <w:sz w:val="24"/>
          <w:szCs w:val="24"/>
          <w:lang w:val="es-ES"/>
        </w:rPr>
        <w:instrText xml:space="preserve"> ADDIN ZOTERO_ITEM CSL_CITATION {"citationID":"GWEBzSNO","properties":{"custom":"Willmott, (1982)","formattedCitation":"Willmott, (1982)","plainCitation":"Willmott, (1982)","noteIndex":0},"citationItems":[{"id":1253,"uris":["http://zotero.org/users/12642312/items/6J7L8Y58"],"itemData":{"id":1253,"type":"article-journal","container-title":"Physical Geography","DOI":"10.1080/02723646.1981.10642213","ISSN":"0272-3646, 1930-0557","issue":"2","journalAbbreviation":"Physical Geography","language":"en","page":"184-194","source":"DOI.org (Crossref)","title":"ON THE VALIDATION OF MODELS","URL":"https://www.tandfonline.com/doi/full/10.1080/02723646.1981.10642213","volume":"2","author":[{"family":"Willmott","given":""}],"accessed":{"date-parts":[["2025",4,2]]},"issued":{"date-parts":[["1982",7]]}}}],"schema":"https://github.com/citation-style-language/schema/raw/master/csl-citation.json"} </w:instrText>
      </w:r>
      <w:r>
        <w:rPr>
          <w:rFonts w:ascii="Arial" w:hAnsi="Arial" w:cs="Arial"/>
          <w:sz w:val="24"/>
          <w:szCs w:val="24"/>
          <w:lang w:val="es-ES"/>
        </w:rPr>
        <w:fldChar w:fldCharType="separate"/>
      </w:r>
      <w:r w:rsidR="00E609BC" w:rsidRPr="00F409C0">
        <w:rPr>
          <w:rFonts w:ascii="Arial" w:hAnsi="Arial" w:cs="Arial"/>
          <w:sz w:val="24"/>
          <w:lang w:val="es-ES"/>
        </w:rPr>
        <w:t>Willmott,</w:t>
      </w:r>
      <w:r w:rsidR="00E609BC" w:rsidRPr="00E609BC">
        <w:rPr>
          <w:rFonts w:ascii="Arial" w:hAnsi="Arial" w:cs="Arial"/>
          <w:sz w:val="24"/>
          <w:lang w:val="es-ES"/>
        </w:rPr>
        <w:t xml:space="preserve"> (1982)</w:t>
      </w:r>
      <w:r>
        <w:rPr>
          <w:rFonts w:ascii="Arial" w:hAnsi="Arial" w:cs="Arial"/>
          <w:sz w:val="24"/>
          <w:szCs w:val="24"/>
          <w:lang w:val="es-ES"/>
        </w:rPr>
        <w:fldChar w:fldCharType="end"/>
      </w:r>
      <w:r>
        <w:rPr>
          <w:rFonts w:ascii="Arial" w:hAnsi="Arial" w:cs="Arial"/>
          <w:sz w:val="24"/>
          <w:szCs w:val="24"/>
          <w:lang w:val="es-ES"/>
        </w:rPr>
        <w:t xml:space="preserve"> plantea que d debe estar próximo a 1.      </w:t>
      </w:r>
    </w:p>
    <w:p w14:paraId="167FC41B" w14:textId="77777777" w:rsidR="008403BD" w:rsidRDefault="007D49D9">
      <w:pPr>
        <w:pStyle w:val="Ttulo2"/>
        <w:rPr>
          <w:rFonts w:ascii="Arial" w:hAnsi="Arial" w:cs="Arial"/>
          <w:b/>
          <w:color w:val="auto"/>
          <w:sz w:val="28"/>
          <w:szCs w:val="28"/>
          <w:lang w:val="es-ES"/>
        </w:rPr>
      </w:pPr>
      <w:bookmarkStart w:id="20" w:name="_Toc195014958"/>
      <w:r>
        <w:rPr>
          <w:rFonts w:ascii="Arial" w:hAnsi="Arial" w:cs="Arial"/>
          <w:b/>
          <w:color w:val="auto"/>
          <w:sz w:val="28"/>
          <w:szCs w:val="28"/>
          <w:lang w:val="es-ES"/>
        </w:rPr>
        <w:t>2.2 Parámetros relacionados con el crecimiento y producción en tomate</w:t>
      </w:r>
      <w:bookmarkEnd w:id="20"/>
    </w:p>
    <w:p w14:paraId="3E9302CB" w14:textId="0748FBC6" w:rsidR="008403BD" w:rsidRDefault="007D49D9">
      <w:pPr>
        <w:spacing w:before="120" w:after="0" w:line="360" w:lineRule="auto"/>
        <w:jc w:val="both"/>
        <w:rPr>
          <w:rFonts w:ascii="Arial" w:hAnsi="Arial" w:cs="Arial"/>
          <w:color w:val="000000"/>
          <w:sz w:val="24"/>
          <w:szCs w:val="24"/>
          <w:lang w:val="es-ES"/>
        </w:rPr>
      </w:pPr>
      <w:r>
        <w:rPr>
          <w:rFonts w:ascii="Arial" w:hAnsi="Arial" w:cs="Arial"/>
          <w:sz w:val="24"/>
          <w:szCs w:val="24"/>
          <w:lang w:val="es-ES"/>
        </w:rPr>
        <w:t>Para la validación del ajuste del modelo CROPGRO-Tomato se tomaron los datos correspondientes al experimento montado en el periodo óptimo del cultivo (diciembre 2022). Para ello se tomaron los valores observados y simulados de la masa seca de las hojas, raíces y tallos, así como el índice de área foliar, caracteres relacionados con el crecimiento y los caracteres número de frutos por metro cuadrado y rendimiento en kg</w:t>
      </w:r>
      <w:r w:rsidR="004936D3">
        <w:rPr>
          <w:rFonts w:ascii="Arial" w:hAnsi="Arial" w:cs="Arial"/>
          <w:sz w:val="24"/>
          <w:szCs w:val="24"/>
          <w:lang w:val="es-ES"/>
        </w:rPr>
        <w:t xml:space="preserve"> </w:t>
      </w:r>
      <w:r>
        <w:rPr>
          <w:rFonts w:ascii="Arial" w:hAnsi="Arial" w:cs="Arial"/>
          <w:sz w:val="24"/>
          <w:szCs w:val="24"/>
          <w:lang w:val="es-ES"/>
        </w:rPr>
        <w:t>ha</w:t>
      </w:r>
      <w:r>
        <w:rPr>
          <w:rFonts w:ascii="Arial" w:hAnsi="Arial" w:cs="Arial"/>
          <w:sz w:val="24"/>
          <w:szCs w:val="24"/>
          <w:vertAlign w:val="superscript"/>
          <w:lang w:val="es-ES"/>
        </w:rPr>
        <w:t>-1</w:t>
      </w:r>
      <w:r>
        <w:rPr>
          <w:rFonts w:ascii="Arial" w:hAnsi="Arial" w:cs="Arial"/>
          <w:sz w:val="24"/>
          <w:szCs w:val="24"/>
          <w:lang w:val="es-ES"/>
        </w:rPr>
        <w:t xml:space="preserve">, relacionados con la productividad del </w:t>
      </w:r>
      <w:r w:rsidR="00EE4C01">
        <w:rPr>
          <w:rFonts w:ascii="Arial" w:hAnsi="Arial" w:cs="Arial"/>
          <w:sz w:val="24"/>
          <w:szCs w:val="24"/>
          <w:lang w:val="es-ES"/>
        </w:rPr>
        <w:t>cultivo, a</w:t>
      </w:r>
      <w:r>
        <w:rPr>
          <w:rFonts w:ascii="Arial" w:hAnsi="Arial" w:cs="Arial"/>
          <w:color w:val="000000"/>
          <w:sz w:val="24"/>
          <w:szCs w:val="24"/>
          <w:lang w:val="es-ES"/>
        </w:rPr>
        <w:t xml:space="preserve"> intervalos de aproximadamente 10 días. El ajuste del modelo para estas variables se evaluó mediante el RMSE y el coeficiente de concordancia d, como </w:t>
      </w:r>
      <w:r w:rsidR="00A0209E">
        <w:rPr>
          <w:rFonts w:ascii="Arial" w:hAnsi="Arial" w:cs="Arial"/>
          <w:color w:val="000000"/>
          <w:sz w:val="24"/>
          <w:szCs w:val="24"/>
          <w:lang w:val="es-ES"/>
        </w:rPr>
        <w:t>s</w:t>
      </w:r>
      <w:r>
        <w:rPr>
          <w:rFonts w:ascii="Arial" w:hAnsi="Arial" w:cs="Arial"/>
          <w:color w:val="000000"/>
          <w:sz w:val="24"/>
          <w:szCs w:val="24"/>
          <w:lang w:val="es-ES"/>
        </w:rPr>
        <w:t>e indica en el epígrafe anterior.</w:t>
      </w:r>
    </w:p>
    <w:p w14:paraId="28DF0E6C" w14:textId="77777777" w:rsidR="008403BD" w:rsidRDefault="008403BD">
      <w:pPr>
        <w:rPr>
          <w:lang w:val="es-ES"/>
        </w:rPr>
      </w:pPr>
    </w:p>
    <w:p w14:paraId="10391590" w14:textId="77777777" w:rsidR="008403BD" w:rsidRDefault="008403BD">
      <w:pPr>
        <w:rPr>
          <w:lang w:val="es-ES_tradnl"/>
        </w:rPr>
      </w:pPr>
    </w:p>
    <w:p w14:paraId="78FCDDFF" w14:textId="77777777" w:rsidR="008403BD" w:rsidRDefault="007D49D9">
      <w:pPr>
        <w:spacing w:after="160" w:line="259" w:lineRule="auto"/>
        <w:rPr>
          <w:rFonts w:ascii="Arial" w:hAnsi="Arial"/>
          <w:b/>
          <w:sz w:val="32"/>
          <w:szCs w:val="40"/>
          <w:lang w:val="es-ES"/>
        </w:rPr>
      </w:pPr>
      <w:r>
        <w:rPr>
          <w:lang w:val="es-ES"/>
        </w:rPr>
        <w:br w:type="page"/>
      </w:r>
    </w:p>
    <w:p w14:paraId="17DD71AE" w14:textId="77777777" w:rsidR="008403BD" w:rsidRDefault="007D49D9">
      <w:pPr>
        <w:pStyle w:val="Ttulo1"/>
        <w:rPr>
          <w:lang w:val="es-ES"/>
        </w:rPr>
      </w:pPr>
      <w:bookmarkStart w:id="21" w:name="_Toc195014959"/>
      <w:r>
        <w:rPr>
          <w:lang w:val="es-ES"/>
        </w:rPr>
        <w:lastRenderedPageBreak/>
        <w:t>CAPÍTULO III RESULTADOS Y DISCUSIÓN</w:t>
      </w:r>
      <w:bookmarkEnd w:id="21"/>
    </w:p>
    <w:p w14:paraId="255EE55F" w14:textId="77777777" w:rsidR="008403BD" w:rsidRDefault="008403BD">
      <w:pPr>
        <w:rPr>
          <w:lang w:val="es-ES_tradnl"/>
        </w:rPr>
      </w:pPr>
    </w:p>
    <w:p w14:paraId="44923A17" w14:textId="77777777" w:rsidR="008403BD" w:rsidRDefault="007D49D9">
      <w:pPr>
        <w:pStyle w:val="Ttulo2"/>
        <w:rPr>
          <w:rFonts w:ascii="Arial" w:hAnsi="Arial" w:cs="Arial"/>
          <w:b/>
          <w:color w:val="auto"/>
          <w:sz w:val="28"/>
          <w:szCs w:val="28"/>
          <w:lang w:val="es-ES"/>
        </w:rPr>
      </w:pPr>
      <w:bookmarkStart w:id="22" w:name="_Toc195014960"/>
      <w:r>
        <w:rPr>
          <w:rFonts w:ascii="Arial" w:hAnsi="Arial" w:cs="Arial"/>
          <w:b/>
          <w:color w:val="auto"/>
          <w:sz w:val="28"/>
          <w:szCs w:val="28"/>
          <w:lang w:val="es-ES"/>
        </w:rPr>
        <w:t>3.1 Calibración de los coeficientes genéticos para el cultivar Elbita</w:t>
      </w:r>
      <w:bookmarkEnd w:id="22"/>
    </w:p>
    <w:p w14:paraId="38CB5042" w14:textId="10A39EB6" w:rsidR="008403BD" w:rsidRDefault="007D49D9">
      <w:pPr>
        <w:spacing w:before="120" w:after="0" w:line="360" w:lineRule="auto"/>
        <w:jc w:val="both"/>
        <w:rPr>
          <w:rFonts w:ascii="Arial" w:eastAsia="Calibri" w:hAnsi="Arial" w:cs="Arial"/>
          <w:b/>
          <w:bCs/>
          <w:sz w:val="24"/>
          <w:szCs w:val="24"/>
          <w:lang w:val="es-ES"/>
        </w:rPr>
      </w:pPr>
      <w:r>
        <w:rPr>
          <w:rFonts w:ascii="Arial" w:eastAsia="Calibri" w:hAnsi="Arial" w:cs="Arial"/>
          <w:sz w:val="24"/>
          <w:szCs w:val="24"/>
          <w:lang w:val="es-ES"/>
        </w:rPr>
        <w:t>En la tabla 3 se presenta la duración de las fases fenológicas</w:t>
      </w:r>
      <w:r w:rsidR="001A39D6">
        <w:rPr>
          <w:rFonts w:ascii="Arial" w:eastAsia="Calibri" w:hAnsi="Arial" w:cs="Arial"/>
          <w:sz w:val="24"/>
          <w:szCs w:val="24"/>
          <w:lang w:val="es-ES"/>
        </w:rPr>
        <w:t>,</w:t>
      </w:r>
      <w:r>
        <w:rPr>
          <w:rFonts w:ascii="Arial" w:eastAsia="Calibri" w:hAnsi="Arial" w:cs="Arial"/>
          <w:sz w:val="24"/>
          <w:szCs w:val="24"/>
          <w:lang w:val="es-ES"/>
        </w:rPr>
        <w:t xml:space="preserve"> días a la antesis y días a la maduración. Como se aprecia, existen diferencias en el comportamiento del cultivar en los tres periodos analizados. En la siembra temprana (agosto 2022) el cultivar es más precoz, mientras en el periodo óptimo necesita más días para alcanzar la antesis y maduración. De hecho, en tomate, al igual que en muchos cultivos, l</w:t>
      </w:r>
      <w:r>
        <w:rPr>
          <w:rFonts w:ascii="Arial" w:eastAsia="Calibri" w:hAnsi="Arial" w:cs="Arial"/>
          <w:color w:val="000000"/>
          <w:sz w:val="24"/>
          <w:szCs w:val="24"/>
          <w:lang w:val="es-ES"/>
        </w:rPr>
        <w:t xml:space="preserve">os procesos fisiológicos de la planta ocurren de manera más rápida a medida que aumenta la temperatura </w:t>
      </w:r>
      <w:r>
        <w:rPr>
          <w:rFonts w:ascii="Arial" w:eastAsia="Calibri" w:hAnsi="Arial" w:cs="Arial"/>
          <w:color w:val="000000"/>
          <w:sz w:val="24"/>
          <w:szCs w:val="24"/>
          <w:lang w:val="es-ES"/>
        </w:rPr>
        <w:fldChar w:fldCharType="begin"/>
      </w:r>
      <w:r w:rsidR="00E609BC">
        <w:rPr>
          <w:rFonts w:ascii="Arial" w:eastAsia="Calibri" w:hAnsi="Arial" w:cs="Arial"/>
          <w:color w:val="000000"/>
          <w:sz w:val="24"/>
          <w:szCs w:val="24"/>
          <w:lang w:val="es-ES"/>
        </w:rPr>
        <w:instrText xml:space="preserve"> ADDIN ZOTERO_ITEM CSL_CITATION {"citationID":"PBaKrlny","properties":{"custom":"(Florido &amp; \\uc0\\u193{}lvarez, 2015; Alsamir {\\i{}et al}., 2021; Hoshikawa {\\i{}et al}., 2021; Wei {\\i{}et al}., 2023)","unsorted":true,"formattedCitation":"(Florido &amp; \\uc0\\u193{}lvarez, 2015; Alsamir {\\i{}et al}., 2021; Hoshikawa {\\i{}et al}., 2021; Wei {\\i{}et al}., 2023)","plainCitation":"(Florido &amp; Álvarez, 2015; Alsamir et al., 2021; Hoshikawa et al., 2021; Wei et al., 2023)","noteIndex":0},"citationItems":[{"id":840,"uris":["http://zotero.org/users/12642312/items/5BXZC3QR"],"itemData":{"id":840,"type":"article-journal","container-title":"Cultivos Tropicales","ISSN":"0258-5936","note":"publisher: Ediciones INCA","page":"77-95","source":"SciELO","title":"Aspectos relacionados con el estrés de calor en tomate (Solanum lycopersicum L.)","URL":"http://scielo.sld.cu/scielo.php?script=sci_abstract&amp;pid=S0258-59362015000500008&amp;lng=es&amp;nrm=iso&amp;tlng=en","volume":"36","author":[{"family":"Florido","given":"Marilyn"},{"family":"Álvarez","given":"Marta"}],"accessed":{"date-parts":[["2025",3,25]]},"issued":{"date-parts":[["2015"]]}},"label":"page"},{"id":1065,"uris":["http://zotero.org/users/12642312/items/53LYQDN8"],"itemData":{"id":1065,"type":"article-journal","abstract":"Heat stress has been defined as the rise of temperature for a period of time higher than a threshold level, thereby permanently affecting the plant growth and development. Day or night temperature is considered as the major limiting factor for plant growth. Earlier studies reported that night temperature is an important factor in the heat reaction of the plants. Tomato cultivars capable of setting viable fruits under night temperatures above 21 °C are considered as heat-tolerant cultivars. The development of breeding objectives is generally summarized in four points: (a) cultivars with higher yield, (b) disease resistant varieties in the 1970s, (c) long shelf-life in 1980s, and (d) nutritive and taste quality during 1990s. Some unique varieties like the dwarf “Micro-Tom”, and the first transgenic tomato (FlavrSavr) were developed through breeding; they were distributed late in the 1980s. High temperature significantly affects seed, pollen viability and root expansion. Researchers have employed different parameters to evaluate the tolerance to heat stress, including membrane thermo stability, floral characteristics (Stigma exertion and antheridia cone splitting), flower number, and fruit yield per plant. Reports on pollen viability and fruit set/plant under heat stress by comparing the pollen growth and tube development in heat-treated and non-heat-stressed conditions are available in literature. The electrical conductivity (EC) have been used to evaluate the tolerance of some tomato cultivars in vitro under heat stress conditions as an indication of cell damage due to electrolyte leakage; they classified the cultivars into three groups: (a) heat tolerant, (b) moderately heat tolerant, and (c) heat sensitive. It is important to determine the range in genetic diversity for heat tolerance in tomatoes. Heat stress experiments under field conditions offer breeders information to identify the potentially heat tolerant germplasm.","container-title":"Saudi Journal of Biological Sciences","DOI":"10.1016/j.sjbs.2020.11.088","ISSN":"1319-562X","issue":"3","journalAbbreviation":"Saudi Journal of Biological Sciences","page":"1654-1663","source":"ScienceDirect","title":"An overview of heat stress in tomato (&lt;i&gt;Solanum lycopersicum&lt;/i&gt; L.)","URL":"https://www.sciencedirect.com/science/article/pii/S1319562X20306550","volume":"28","author":[{"family":"Alsamir","given":"Muhammed"},{"family":"Mahmood","given":"Tariq"},{"family":"Trethowan","given":"Richard"},{"family":"Ahmad","given":"Nabil"}],"accessed":{"date-parts":[["2025",4,1]]},"issued":{"date-parts":[["2021",3,1]]}},"label":"page"},{"id":1125,"uris":["http://zotero.org/users/12642312/items/D9BYETA7"],"itemData":{"id":1125,"type":"article-journal","abstract":"&lt;p&gt;Climate change is a major threat to global food security. Changes in climate can directly impact food systems by reducing the production and genetic diversity of crops and their wild relatives, thereby restricting future options for breeding improved varieties and reducing the ability to adapt crops to future challenges. The global surface temperature is predicted to rise by an average of 0.3°C during the next decade, and the Paris Agreement (Paris Climate Accords) aims to limit global warming to below an average of 2°C, preferably to 1.5°C compared to pre-industrial levels. Even if the goal of the Paris Agreement can be met, the predicted rise in temperatures will increase the likelihood of extreme weather events, including heatwaves, making heat stress (HS) a major global abiotic stress factor for many crops. HS can have adverse effects on plant morphology, physiology, and biochemistry during all stages of vegetative and reproductive development. In fruiting vegetables, even moderate HS reduces fruit set and yields, and high temperatures may result in poor fruit quality. In this review, we emphasize the effects of abiotic stress, especially at high temperatures, on crop plants, such as tomatoes, touching upon key processes determining plant growth and yield. Specifically, we investigated the molecular mechanisms involved in HS tolerance and the challenges of developing heat-tolerant tomato varieties. Finally, we discuss a strategy for effectively improving the heat tolerance of vegetable crops.&lt;/p&gt;","container-title":"Frontiers in Plant Science","DOI":"10.3389/fpls.2021.786688","ISSN":"1664-462X","journalAbbreviation":"Front. Plant Sci.","language":"English","note":"publisher: Frontiers","source":"Frontiers","title":"Genetic and Molecular Mechanisms Conferring Heat Stress Tolerance in Tomato Plants","URL":"https://www.frontiersin.org/journals/plant-science/articles/10.3389/fpls.2021.786688/full","volume":"12","author":[{"family":"Hoshikawa","given":"Ken"},{"family":"Pham","given":"Dung"},{"family":"Ezura","given":"Hiroshi"},{"family":"Schafleitner","given":"Roland"},{"family":"Nakashima","given":"Kazuo"}],"accessed":{"date-parts":[["2025",4,1]]},"issued":{"date-parts":[["2021",12,24]]}},"label":"page"},{"id":1133,"uris":["http://zotero.org/users/12642312/items/UXJEE5AU"],"itemData":{"id":1133,"type":"article","abstract":"We explore how generating a chain of thought -- a series of intermediate reasoning steps -- significantly improves the ability of large language models to perform complex reasoning. In particular, we show how such reasoning abilities emerge naturally in sufficiently large language models via a simple method called chain of thought prompting, where a few chain of thought demonstrations are provided as exemplars in prompting. Experiments on three large language models show that chain of thought prompting improves performance on a range of arithmetic, commonsense, and symbolic reasoning tasks. The empirical gains can be striking. For instance, prompting a 540B-parameter language model with just eight chain of thought exemplars achieves state of the art accuracy on the GSM8K benchmark of math word problems, surpassing even finetuned GPT-3 with a verifier.","DOI":"10.48550/arXiv.2201.11903","note":"arXiv:2201.11903 [cs]","number":"arXiv:2201.11903","publisher":"arXiv","source":"arXiv.org","title":"Chain-of-Thought Prompting Elicits Reasoning in Large Language Models","URL":"http://arxiv.org/abs/2201.11903","author":[{"family":"Wei","given":"Jason"},{"family":"Wang","given":"Xuezhi"},{"family":"Schuurmans","given":"Dale"},{"family":"Bosma","given":"Maarten"},{"family":"Ichter","given":"Brian"},{"family":"Xia","given":"Fei"},{"family":"Chi","given":"Ed"},{"family":"Le","given":"Quoc"},{"family":"Zhou","given":"Denny"}],"accessed":{"date-parts":[["2025",4,1]]},"issued":{"date-parts":[["2023",1,10]]}},"label":"page"}],"schema":"https://github.com/citation-style-language/schema/raw/master/csl-citation.json"} </w:instrText>
      </w:r>
      <w:r>
        <w:rPr>
          <w:rFonts w:ascii="Arial" w:eastAsia="Calibri" w:hAnsi="Arial" w:cs="Arial"/>
          <w:color w:val="000000"/>
          <w:sz w:val="24"/>
          <w:szCs w:val="24"/>
          <w:lang w:val="es-ES"/>
        </w:rPr>
        <w:fldChar w:fldCharType="separate"/>
      </w:r>
      <w:r w:rsidR="00E609BC" w:rsidRPr="00E609BC">
        <w:rPr>
          <w:rFonts w:ascii="Arial" w:hAnsi="Arial" w:cs="Arial"/>
          <w:sz w:val="24"/>
          <w:szCs w:val="24"/>
          <w:lang w:val="es-ES"/>
        </w:rPr>
        <w:t xml:space="preserve">(Florido &amp; Álvarez, 2015; Alsamir </w:t>
      </w:r>
      <w:r w:rsidR="00E609BC" w:rsidRPr="00E609BC">
        <w:rPr>
          <w:rFonts w:ascii="Arial" w:hAnsi="Arial" w:cs="Arial"/>
          <w:i/>
          <w:iCs/>
          <w:sz w:val="24"/>
          <w:szCs w:val="24"/>
          <w:lang w:val="es-ES"/>
        </w:rPr>
        <w:t>et al</w:t>
      </w:r>
      <w:r w:rsidR="00E609BC" w:rsidRPr="00E609BC">
        <w:rPr>
          <w:rFonts w:ascii="Arial" w:hAnsi="Arial" w:cs="Arial"/>
          <w:sz w:val="24"/>
          <w:szCs w:val="24"/>
          <w:lang w:val="es-ES"/>
        </w:rPr>
        <w:t xml:space="preserve">., 2021; Hoshikawa </w:t>
      </w:r>
      <w:r w:rsidR="00E609BC" w:rsidRPr="00E609BC">
        <w:rPr>
          <w:rFonts w:ascii="Arial" w:hAnsi="Arial" w:cs="Arial"/>
          <w:i/>
          <w:iCs/>
          <w:sz w:val="24"/>
          <w:szCs w:val="24"/>
          <w:lang w:val="es-ES"/>
        </w:rPr>
        <w:t>et al</w:t>
      </w:r>
      <w:r w:rsidR="00E609BC" w:rsidRPr="00E609BC">
        <w:rPr>
          <w:rFonts w:ascii="Arial" w:hAnsi="Arial" w:cs="Arial"/>
          <w:sz w:val="24"/>
          <w:szCs w:val="24"/>
          <w:lang w:val="es-ES"/>
        </w:rPr>
        <w:t xml:space="preserve">., 2021; Wei </w:t>
      </w:r>
      <w:r w:rsidR="00E609BC" w:rsidRPr="00E609BC">
        <w:rPr>
          <w:rFonts w:ascii="Arial" w:hAnsi="Arial" w:cs="Arial"/>
          <w:i/>
          <w:iCs/>
          <w:sz w:val="24"/>
          <w:szCs w:val="24"/>
          <w:lang w:val="es-ES"/>
        </w:rPr>
        <w:t>et al</w:t>
      </w:r>
      <w:r w:rsidR="00E609BC" w:rsidRPr="00E609BC">
        <w:rPr>
          <w:rFonts w:ascii="Arial" w:hAnsi="Arial" w:cs="Arial"/>
          <w:sz w:val="24"/>
          <w:szCs w:val="24"/>
          <w:lang w:val="es-ES"/>
        </w:rPr>
        <w:t>., 2023)</w:t>
      </w:r>
      <w:r>
        <w:rPr>
          <w:rFonts w:ascii="Arial" w:eastAsia="Calibri" w:hAnsi="Arial" w:cs="Arial"/>
          <w:color w:val="000000"/>
          <w:sz w:val="24"/>
          <w:szCs w:val="24"/>
          <w:lang w:val="es-ES"/>
        </w:rPr>
        <w:fldChar w:fldCharType="end"/>
      </w:r>
      <w:r>
        <w:rPr>
          <w:rFonts w:ascii="Arial" w:eastAsia="Calibri" w:hAnsi="Arial" w:cs="Arial"/>
          <w:color w:val="000000"/>
          <w:sz w:val="24"/>
          <w:szCs w:val="24"/>
          <w:lang w:val="es-ES"/>
        </w:rPr>
        <w:t>.</w:t>
      </w:r>
    </w:p>
    <w:p w14:paraId="6AD2CDE3" w14:textId="77777777" w:rsidR="008403BD" w:rsidRPr="00D5508B" w:rsidRDefault="007D49D9">
      <w:pPr>
        <w:spacing w:before="120" w:after="0" w:line="360" w:lineRule="auto"/>
        <w:jc w:val="both"/>
        <w:rPr>
          <w:rFonts w:ascii="Arial" w:eastAsia="Calibri" w:hAnsi="Arial" w:cs="Arial"/>
          <w:bCs/>
          <w:sz w:val="24"/>
          <w:szCs w:val="24"/>
          <w:lang w:val="es-ES"/>
        </w:rPr>
      </w:pPr>
      <w:r>
        <w:rPr>
          <w:rFonts w:ascii="Arial" w:eastAsia="Calibri" w:hAnsi="Arial" w:cs="Arial"/>
          <w:b/>
          <w:bCs/>
          <w:sz w:val="24"/>
          <w:szCs w:val="24"/>
          <w:lang w:val="es-ES"/>
        </w:rPr>
        <w:t>Tabla 3</w:t>
      </w:r>
      <w:r w:rsidR="00D5508B">
        <w:rPr>
          <w:rFonts w:ascii="Arial" w:eastAsia="Calibri" w:hAnsi="Arial" w:cs="Arial"/>
          <w:b/>
          <w:bCs/>
          <w:sz w:val="24"/>
          <w:szCs w:val="24"/>
          <w:lang w:val="es-ES"/>
        </w:rPr>
        <w:t>.</w:t>
      </w:r>
      <w:r>
        <w:rPr>
          <w:rFonts w:ascii="Arial" w:eastAsia="Calibri" w:hAnsi="Arial" w:cs="Arial"/>
          <w:b/>
          <w:bCs/>
          <w:sz w:val="24"/>
          <w:szCs w:val="24"/>
          <w:lang w:val="es-ES"/>
        </w:rPr>
        <w:t xml:space="preserve"> </w:t>
      </w:r>
      <w:r w:rsidRPr="00D5508B">
        <w:rPr>
          <w:rFonts w:ascii="Arial" w:eastAsia="Calibri" w:hAnsi="Arial" w:cs="Arial"/>
          <w:bCs/>
          <w:sz w:val="24"/>
          <w:szCs w:val="24"/>
          <w:lang w:val="es-ES"/>
        </w:rPr>
        <w:t>Días a la antesis y a la maduración en el cultivar Elbita en los diferentes</w:t>
      </w:r>
      <w:r w:rsidR="00D5508B">
        <w:rPr>
          <w:rFonts w:ascii="Arial" w:eastAsia="Calibri" w:hAnsi="Arial" w:cs="Arial"/>
          <w:bCs/>
          <w:sz w:val="24"/>
          <w:szCs w:val="24"/>
          <w:lang w:val="es-ES"/>
        </w:rPr>
        <w:t xml:space="preserve"> periodos de siembra estudiados</w:t>
      </w:r>
    </w:p>
    <w:tbl>
      <w:tblPr>
        <w:tblW w:w="67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13"/>
        <w:gridCol w:w="2268"/>
        <w:gridCol w:w="2552"/>
      </w:tblGrid>
      <w:tr w:rsidR="008403BD" w:rsidRPr="006C2949" w14:paraId="5CED892D" w14:textId="77777777">
        <w:trPr>
          <w:jc w:val="center"/>
        </w:trPr>
        <w:tc>
          <w:tcPr>
            <w:tcW w:w="1913" w:type="dxa"/>
          </w:tcPr>
          <w:p w14:paraId="34317C78" w14:textId="77777777" w:rsidR="008403BD" w:rsidRDefault="007D49D9">
            <w:pPr>
              <w:spacing w:before="120" w:after="0" w:line="360" w:lineRule="auto"/>
              <w:rPr>
                <w:rFonts w:ascii="Arial" w:eastAsia="Calibri" w:hAnsi="Arial" w:cs="Arial"/>
                <w:sz w:val="24"/>
                <w:szCs w:val="24"/>
              </w:rPr>
            </w:pPr>
            <w:proofErr w:type="spellStart"/>
            <w:r>
              <w:rPr>
                <w:rFonts w:ascii="Arial" w:eastAsia="Calibri" w:hAnsi="Arial" w:cs="Arial"/>
                <w:b/>
                <w:sz w:val="24"/>
                <w:szCs w:val="24"/>
              </w:rPr>
              <w:t>Fechas</w:t>
            </w:r>
            <w:proofErr w:type="spellEnd"/>
            <w:r>
              <w:rPr>
                <w:rFonts w:ascii="Arial" w:eastAsia="Calibri" w:hAnsi="Arial" w:cs="Arial"/>
                <w:b/>
                <w:sz w:val="24"/>
                <w:szCs w:val="24"/>
              </w:rPr>
              <w:t xml:space="preserve"> de </w:t>
            </w:r>
            <w:proofErr w:type="spellStart"/>
            <w:r>
              <w:rPr>
                <w:rFonts w:ascii="Arial" w:eastAsia="Calibri" w:hAnsi="Arial" w:cs="Arial"/>
                <w:b/>
                <w:sz w:val="24"/>
                <w:szCs w:val="24"/>
              </w:rPr>
              <w:t>siembra</w:t>
            </w:r>
            <w:proofErr w:type="spellEnd"/>
          </w:p>
        </w:tc>
        <w:tc>
          <w:tcPr>
            <w:tcW w:w="2268" w:type="dxa"/>
          </w:tcPr>
          <w:p w14:paraId="6980DCEF" w14:textId="77777777" w:rsidR="008403BD" w:rsidRDefault="007D49D9">
            <w:pPr>
              <w:spacing w:before="120" w:after="0" w:line="360" w:lineRule="auto"/>
              <w:jc w:val="center"/>
              <w:rPr>
                <w:rFonts w:ascii="Arial" w:eastAsia="Calibri" w:hAnsi="Arial" w:cs="Arial"/>
                <w:b/>
                <w:bCs/>
                <w:sz w:val="24"/>
                <w:szCs w:val="24"/>
                <w:lang w:val="es-ES"/>
              </w:rPr>
            </w:pPr>
            <w:r>
              <w:rPr>
                <w:rFonts w:ascii="Arial" w:eastAsia="Calibri" w:hAnsi="Arial" w:cs="Arial"/>
                <w:b/>
                <w:bCs/>
                <w:sz w:val="24"/>
                <w:szCs w:val="24"/>
                <w:lang w:val="es-ES"/>
              </w:rPr>
              <w:t>Días a la antesis</w:t>
            </w:r>
          </w:p>
          <w:p w14:paraId="0FA8B8C2" w14:textId="77777777" w:rsidR="008403BD" w:rsidRDefault="00804E7E" w:rsidP="003E00CE">
            <w:pPr>
              <w:spacing w:before="120" w:after="0" w:line="360" w:lineRule="auto"/>
              <w:jc w:val="center"/>
              <w:rPr>
                <w:rFonts w:ascii="Arial" w:eastAsia="Calibri" w:hAnsi="Arial" w:cs="Arial"/>
                <w:b/>
                <w:bCs/>
                <w:sz w:val="24"/>
                <w:szCs w:val="24"/>
                <w:lang w:val="es-ES"/>
              </w:rPr>
            </w:pPr>
            <w:r>
              <w:rPr>
                <w:rFonts w:ascii="Arial" w:eastAsia="Calibri" w:hAnsi="Arial" w:cs="Arial"/>
                <w:b/>
                <w:bCs/>
                <w:sz w:val="24"/>
                <w:szCs w:val="24"/>
                <w:lang w:val="es-ES"/>
              </w:rPr>
              <w:t>(DD</w:t>
            </w:r>
            <w:r w:rsidR="003E00CE">
              <w:rPr>
                <w:rFonts w:ascii="Arial" w:eastAsia="Calibri" w:hAnsi="Arial" w:cs="Arial"/>
                <w:b/>
                <w:bCs/>
                <w:sz w:val="24"/>
                <w:szCs w:val="24"/>
                <w:lang w:val="es-ES"/>
              </w:rPr>
              <w:t>T</w:t>
            </w:r>
            <w:r w:rsidR="007D49D9">
              <w:rPr>
                <w:rFonts w:ascii="Arial" w:eastAsia="Calibri" w:hAnsi="Arial" w:cs="Arial"/>
                <w:b/>
                <w:bCs/>
                <w:sz w:val="24"/>
                <w:szCs w:val="24"/>
                <w:lang w:val="es-ES"/>
              </w:rPr>
              <w:t>)</w:t>
            </w:r>
          </w:p>
        </w:tc>
        <w:tc>
          <w:tcPr>
            <w:tcW w:w="2552" w:type="dxa"/>
          </w:tcPr>
          <w:p w14:paraId="56C4AE96" w14:textId="77777777" w:rsidR="008403BD" w:rsidRDefault="007D49D9">
            <w:pPr>
              <w:spacing w:before="120" w:after="0" w:line="360" w:lineRule="auto"/>
              <w:jc w:val="center"/>
              <w:rPr>
                <w:rFonts w:ascii="Arial" w:eastAsia="Calibri" w:hAnsi="Arial" w:cs="Arial"/>
                <w:b/>
                <w:bCs/>
                <w:sz w:val="24"/>
                <w:szCs w:val="24"/>
                <w:lang w:val="es-ES"/>
              </w:rPr>
            </w:pPr>
            <w:r>
              <w:rPr>
                <w:rFonts w:ascii="Arial" w:eastAsia="Calibri" w:hAnsi="Arial" w:cs="Arial"/>
                <w:b/>
                <w:bCs/>
                <w:sz w:val="24"/>
                <w:szCs w:val="24"/>
                <w:lang w:val="es-ES"/>
              </w:rPr>
              <w:t>Días a la maduración</w:t>
            </w:r>
          </w:p>
          <w:p w14:paraId="526A8E9A" w14:textId="77777777" w:rsidR="008403BD" w:rsidRDefault="003E00CE">
            <w:pPr>
              <w:spacing w:before="120" w:after="0" w:line="360" w:lineRule="auto"/>
              <w:jc w:val="center"/>
              <w:rPr>
                <w:rFonts w:ascii="Arial" w:eastAsia="Calibri" w:hAnsi="Arial" w:cs="Arial"/>
                <w:b/>
                <w:bCs/>
                <w:sz w:val="24"/>
                <w:szCs w:val="24"/>
                <w:lang w:val="es-ES"/>
              </w:rPr>
            </w:pPr>
            <w:r>
              <w:rPr>
                <w:rFonts w:ascii="Arial" w:eastAsia="Calibri" w:hAnsi="Arial" w:cs="Arial"/>
                <w:b/>
                <w:bCs/>
                <w:sz w:val="24"/>
                <w:szCs w:val="24"/>
                <w:lang w:val="es-ES"/>
              </w:rPr>
              <w:t>(DDT</w:t>
            </w:r>
            <w:r w:rsidR="007D49D9">
              <w:rPr>
                <w:rFonts w:ascii="Arial" w:eastAsia="Calibri" w:hAnsi="Arial" w:cs="Arial"/>
                <w:b/>
                <w:bCs/>
                <w:sz w:val="24"/>
                <w:szCs w:val="24"/>
                <w:lang w:val="es-ES"/>
              </w:rPr>
              <w:t>)</w:t>
            </w:r>
          </w:p>
        </w:tc>
      </w:tr>
      <w:tr w:rsidR="008403BD" w14:paraId="211F575E" w14:textId="77777777">
        <w:trPr>
          <w:jc w:val="center"/>
        </w:trPr>
        <w:tc>
          <w:tcPr>
            <w:tcW w:w="1913" w:type="dxa"/>
            <w:vAlign w:val="bottom"/>
          </w:tcPr>
          <w:p w14:paraId="1FB47E62" w14:textId="77777777" w:rsidR="008403BD" w:rsidRDefault="007D49D9">
            <w:pPr>
              <w:spacing w:before="120" w:after="0" w:line="360" w:lineRule="auto"/>
              <w:rPr>
                <w:rFonts w:ascii="Arial" w:eastAsia="Times New Roman" w:hAnsi="Arial" w:cs="Arial"/>
                <w:color w:val="000000"/>
                <w:sz w:val="24"/>
                <w:szCs w:val="24"/>
              </w:rPr>
            </w:pPr>
            <w:proofErr w:type="spellStart"/>
            <w:r>
              <w:rPr>
                <w:rFonts w:ascii="Arial" w:eastAsia="Times New Roman" w:hAnsi="Arial" w:cs="Arial"/>
                <w:color w:val="000000"/>
                <w:sz w:val="24"/>
                <w:szCs w:val="24"/>
              </w:rPr>
              <w:t>Febrero</w:t>
            </w:r>
            <w:proofErr w:type="spellEnd"/>
            <w:r>
              <w:rPr>
                <w:rFonts w:ascii="Arial" w:eastAsia="Times New Roman" w:hAnsi="Arial" w:cs="Arial"/>
                <w:color w:val="000000"/>
                <w:sz w:val="24"/>
                <w:szCs w:val="24"/>
              </w:rPr>
              <w:t xml:space="preserve"> 2022</w:t>
            </w:r>
          </w:p>
        </w:tc>
        <w:tc>
          <w:tcPr>
            <w:tcW w:w="2268" w:type="dxa"/>
            <w:vAlign w:val="bottom"/>
          </w:tcPr>
          <w:p w14:paraId="6A6132D1" w14:textId="77777777" w:rsidR="008403BD" w:rsidRDefault="007D49D9">
            <w:pPr>
              <w:spacing w:before="120" w:after="0" w:line="360" w:lineRule="auto"/>
              <w:jc w:val="center"/>
              <w:rPr>
                <w:rFonts w:ascii="Arial" w:eastAsia="Calibri" w:hAnsi="Arial" w:cs="Arial"/>
                <w:sz w:val="24"/>
                <w:szCs w:val="24"/>
              </w:rPr>
            </w:pPr>
            <w:r>
              <w:rPr>
                <w:rFonts w:ascii="Arial" w:eastAsia="Calibri" w:hAnsi="Arial" w:cs="Arial"/>
                <w:sz w:val="24"/>
                <w:szCs w:val="24"/>
              </w:rPr>
              <w:t>26</w:t>
            </w:r>
          </w:p>
        </w:tc>
        <w:tc>
          <w:tcPr>
            <w:tcW w:w="2552" w:type="dxa"/>
            <w:vAlign w:val="bottom"/>
          </w:tcPr>
          <w:p w14:paraId="2DE76520" w14:textId="77777777" w:rsidR="008403BD" w:rsidRDefault="007D49D9">
            <w:pPr>
              <w:spacing w:before="120" w:after="0" w:line="360" w:lineRule="auto"/>
              <w:jc w:val="center"/>
              <w:rPr>
                <w:rFonts w:ascii="Arial" w:eastAsia="Calibri" w:hAnsi="Arial" w:cs="Arial"/>
                <w:sz w:val="24"/>
                <w:szCs w:val="24"/>
              </w:rPr>
            </w:pPr>
            <w:r>
              <w:rPr>
                <w:rFonts w:ascii="Arial" w:eastAsia="Calibri" w:hAnsi="Arial" w:cs="Arial"/>
                <w:sz w:val="24"/>
                <w:szCs w:val="24"/>
              </w:rPr>
              <w:t>63</w:t>
            </w:r>
          </w:p>
        </w:tc>
      </w:tr>
      <w:tr w:rsidR="008403BD" w14:paraId="489DDF47" w14:textId="77777777">
        <w:trPr>
          <w:jc w:val="center"/>
        </w:trPr>
        <w:tc>
          <w:tcPr>
            <w:tcW w:w="1913" w:type="dxa"/>
            <w:vAlign w:val="bottom"/>
          </w:tcPr>
          <w:p w14:paraId="4A67635A" w14:textId="77777777" w:rsidR="008403BD" w:rsidRDefault="007D49D9">
            <w:pPr>
              <w:spacing w:before="120" w:after="0" w:line="360" w:lineRule="auto"/>
              <w:rPr>
                <w:rFonts w:ascii="Arial" w:eastAsia="Times New Roman" w:hAnsi="Arial" w:cs="Arial"/>
                <w:color w:val="000000"/>
                <w:sz w:val="24"/>
                <w:szCs w:val="24"/>
              </w:rPr>
            </w:pPr>
            <w:r>
              <w:rPr>
                <w:rFonts w:ascii="Arial" w:eastAsia="Times New Roman" w:hAnsi="Arial" w:cs="Arial"/>
                <w:color w:val="000000"/>
                <w:sz w:val="24"/>
                <w:szCs w:val="24"/>
              </w:rPr>
              <w:t>Agosto 2022</w:t>
            </w:r>
          </w:p>
        </w:tc>
        <w:tc>
          <w:tcPr>
            <w:tcW w:w="2268" w:type="dxa"/>
            <w:vAlign w:val="bottom"/>
          </w:tcPr>
          <w:p w14:paraId="7B5B41FE" w14:textId="77777777" w:rsidR="008403BD" w:rsidRDefault="007D49D9">
            <w:pPr>
              <w:spacing w:before="120" w:after="0" w:line="360" w:lineRule="auto"/>
              <w:jc w:val="center"/>
              <w:rPr>
                <w:rFonts w:ascii="Arial" w:eastAsia="Calibri" w:hAnsi="Arial" w:cs="Arial"/>
                <w:sz w:val="24"/>
                <w:szCs w:val="24"/>
              </w:rPr>
            </w:pPr>
            <w:r>
              <w:rPr>
                <w:rFonts w:ascii="Arial" w:eastAsia="Calibri" w:hAnsi="Arial" w:cs="Arial"/>
                <w:sz w:val="24"/>
                <w:szCs w:val="24"/>
              </w:rPr>
              <w:t>24</w:t>
            </w:r>
          </w:p>
        </w:tc>
        <w:tc>
          <w:tcPr>
            <w:tcW w:w="2552" w:type="dxa"/>
            <w:vAlign w:val="bottom"/>
          </w:tcPr>
          <w:p w14:paraId="76FFA65B" w14:textId="77777777" w:rsidR="008403BD" w:rsidRDefault="007D49D9">
            <w:pPr>
              <w:spacing w:before="120" w:after="0" w:line="360" w:lineRule="auto"/>
              <w:jc w:val="center"/>
              <w:rPr>
                <w:rFonts w:ascii="Arial" w:eastAsia="Calibri" w:hAnsi="Arial" w:cs="Arial"/>
                <w:sz w:val="24"/>
                <w:szCs w:val="24"/>
              </w:rPr>
            </w:pPr>
            <w:r>
              <w:rPr>
                <w:rFonts w:ascii="Arial" w:eastAsia="Calibri" w:hAnsi="Arial" w:cs="Arial"/>
                <w:sz w:val="24"/>
                <w:szCs w:val="24"/>
              </w:rPr>
              <w:t>55</w:t>
            </w:r>
          </w:p>
        </w:tc>
      </w:tr>
      <w:tr w:rsidR="008403BD" w14:paraId="53C062C8" w14:textId="77777777">
        <w:trPr>
          <w:jc w:val="center"/>
        </w:trPr>
        <w:tc>
          <w:tcPr>
            <w:tcW w:w="1913" w:type="dxa"/>
            <w:vAlign w:val="bottom"/>
          </w:tcPr>
          <w:p w14:paraId="6B8B881F" w14:textId="77777777" w:rsidR="008403BD" w:rsidRDefault="007D49D9">
            <w:pPr>
              <w:spacing w:before="120" w:after="0" w:line="360" w:lineRule="auto"/>
              <w:rPr>
                <w:rFonts w:ascii="Arial" w:eastAsia="Times New Roman" w:hAnsi="Arial" w:cs="Arial"/>
                <w:color w:val="000000"/>
                <w:sz w:val="24"/>
                <w:szCs w:val="24"/>
              </w:rPr>
            </w:pPr>
            <w:proofErr w:type="spellStart"/>
            <w:r>
              <w:rPr>
                <w:rFonts w:ascii="Arial" w:eastAsia="Times New Roman" w:hAnsi="Arial" w:cs="Arial"/>
                <w:color w:val="000000"/>
                <w:sz w:val="24"/>
                <w:szCs w:val="24"/>
              </w:rPr>
              <w:t>Diciembre</w:t>
            </w:r>
            <w:proofErr w:type="spellEnd"/>
            <w:r>
              <w:rPr>
                <w:rFonts w:ascii="Arial" w:eastAsia="Times New Roman" w:hAnsi="Arial" w:cs="Arial"/>
                <w:color w:val="000000"/>
                <w:sz w:val="24"/>
                <w:szCs w:val="24"/>
              </w:rPr>
              <w:t xml:space="preserve"> 2022</w:t>
            </w:r>
          </w:p>
        </w:tc>
        <w:tc>
          <w:tcPr>
            <w:tcW w:w="2268" w:type="dxa"/>
            <w:vAlign w:val="bottom"/>
          </w:tcPr>
          <w:p w14:paraId="62F20B97" w14:textId="77777777" w:rsidR="008403BD" w:rsidRDefault="007D49D9">
            <w:pPr>
              <w:spacing w:before="120" w:after="0" w:line="360" w:lineRule="auto"/>
              <w:jc w:val="center"/>
              <w:rPr>
                <w:rFonts w:ascii="Arial" w:eastAsia="Calibri" w:hAnsi="Arial" w:cs="Arial"/>
                <w:sz w:val="24"/>
                <w:szCs w:val="24"/>
              </w:rPr>
            </w:pPr>
            <w:r>
              <w:rPr>
                <w:rFonts w:ascii="Arial" w:eastAsia="Calibri" w:hAnsi="Arial" w:cs="Arial"/>
                <w:sz w:val="24"/>
                <w:szCs w:val="24"/>
              </w:rPr>
              <w:t>35</w:t>
            </w:r>
          </w:p>
        </w:tc>
        <w:tc>
          <w:tcPr>
            <w:tcW w:w="2552" w:type="dxa"/>
            <w:vAlign w:val="bottom"/>
          </w:tcPr>
          <w:p w14:paraId="7AB38348" w14:textId="77777777" w:rsidR="008403BD" w:rsidRDefault="007D49D9">
            <w:pPr>
              <w:spacing w:before="120" w:after="0" w:line="360" w:lineRule="auto"/>
              <w:jc w:val="center"/>
              <w:rPr>
                <w:rFonts w:ascii="Arial" w:eastAsia="Calibri" w:hAnsi="Arial" w:cs="Arial"/>
                <w:sz w:val="24"/>
                <w:szCs w:val="24"/>
              </w:rPr>
            </w:pPr>
            <w:r>
              <w:rPr>
                <w:rFonts w:ascii="Arial" w:eastAsia="Calibri" w:hAnsi="Arial" w:cs="Arial"/>
                <w:sz w:val="24"/>
                <w:szCs w:val="24"/>
              </w:rPr>
              <w:t>72</w:t>
            </w:r>
          </w:p>
        </w:tc>
      </w:tr>
    </w:tbl>
    <w:p w14:paraId="169A75CA" w14:textId="77777777" w:rsidR="009711BE" w:rsidRPr="009711BE" w:rsidRDefault="009711BE" w:rsidP="009711BE">
      <w:pPr>
        <w:spacing w:before="120" w:after="0" w:line="360" w:lineRule="auto"/>
        <w:jc w:val="center"/>
        <w:rPr>
          <w:rFonts w:ascii="Arial" w:eastAsia="Calibri" w:hAnsi="Arial" w:cs="Arial"/>
          <w:bCs/>
          <w:sz w:val="18"/>
          <w:szCs w:val="18"/>
          <w:lang w:val="es-ES"/>
        </w:rPr>
      </w:pPr>
      <w:r w:rsidRPr="009711BE">
        <w:rPr>
          <w:rFonts w:ascii="Arial" w:eastAsia="Calibri" w:hAnsi="Arial" w:cs="Arial"/>
          <w:b/>
          <w:bCs/>
          <w:sz w:val="18"/>
          <w:szCs w:val="18"/>
          <w:lang w:val="es-ES"/>
        </w:rPr>
        <w:t>DDT</w:t>
      </w:r>
      <w:r>
        <w:rPr>
          <w:rFonts w:ascii="Arial" w:eastAsia="Calibri" w:hAnsi="Arial" w:cs="Arial"/>
          <w:bCs/>
          <w:sz w:val="18"/>
          <w:szCs w:val="18"/>
          <w:lang w:val="es-ES"/>
        </w:rPr>
        <w:t xml:space="preserve"> </w:t>
      </w:r>
      <w:r w:rsidRPr="009711BE">
        <w:rPr>
          <w:rFonts w:ascii="Arial" w:hAnsi="Arial" w:cs="Arial"/>
          <w:sz w:val="18"/>
          <w:szCs w:val="18"/>
          <w:lang w:val="es-ES"/>
        </w:rPr>
        <w:t>(días después del trasplante)</w:t>
      </w:r>
    </w:p>
    <w:p w14:paraId="3EA585C6" w14:textId="05F77834" w:rsidR="008403BD" w:rsidRDefault="007D49D9">
      <w:pPr>
        <w:spacing w:before="120" w:after="0" w:line="360" w:lineRule="auto"/>
        <w:jc w:val="both"/>
        <w:rPr>
          <w:rFonts w:ascii="Arial" w:hAnsi="Arial" w:cs="Arial"/>
          <w:sz w:val="24"/>
          <w:szCs w:val="24"/>
          <w:lang w:val="es-ES"/>
        </w:rPr>
      </w:pPr>
      <w:r>
        <w:rPr>
          <w:rFonts w:ascii="Arial" w:eastAsia="Calibri" w:hAnsi="Arial" w:cs="Arial"/>
          <w:bCs/>
          <w:sz w:val="24"/>
          <w:szCs w:val="24"/>
          <w:lang w:val="es-ES"/>
        </w:rPr>
        <w:t xml:space="preserve">La diversidad en las diferentes fases fenológicas en el cultivo se informó, además, por diferentes autores </w:t>
      </w:r>
      <w:r>
        <w:rPr>
          <w:rFonts w:ascii="Arial" w:eastAsia="Calibri" w:hAnsi="Arial" w:cs="Arial"/>
          <w:bCs/>
          <w:sz w:val="24"/>
          <w:szCs w:val="24"/>
          <w:lang w:val="es-ES"/>
        </w:rPr>
        <w:fldChar w:fldCharType="begin"/>
      </w:r>
      <w:r w:rsidR="00E609BC">
        <w:rPr>
          <w:rFonts w:ascii="Arial" w:eastAsia="Calibri" w:hAnsi="Arial" w:cs="Arial"/>
          <w:bCs/>
          <w:sz w:val="24"/>
          <w:szCs w:val="24"/>
          <w:lang w:val="es-ES"/>
        </w:rPr>
        <w:instrText xml:space="preserve"> ADDIN ZOTERO_ITEM CSL_CITATION {"citationID":"FU5o9os6","properties":{"custom":"(Henareh {\\i{}et al}., 2015; Gongolee {\\i{}et al}., 2016)","unsorted":true,"formattedCitation":"(Henareh {\\i{}et al}., 2015; Gongolee {\\i{}et al}., 2016)","plainCitation":"(Henareh et al., 2015; Gongolee et al., 2016)","noteIndex":0},"citationItems":[{"id":1146,"uris":["http://zotero.org/users/12642312/items/53IKHSNT"],"itemData":{"id":1146,"type":"article-journal","abstract":"Ninety-seven tomato landraces collected from East Anatolian region of Turkey&amp;nbsp;and North-West of Iran, along with three commercial cultivars were evaluated during two&amp;nbsp;years. Experiment was carried out in an alpha lattice design at Agriculture and Natural&amp;nbsp;Resources Research Center of West Azerbaijan, Iran. Analysis of variance revealed significant&amp;nbsp;variation (P ≤ 0.01) among genotypes for all the experimental characters. Yield&amp;nbsp;showed a positive and significant correlation with length and width of cotyledon leaf,&amp;nbsp;length and width of true leaf, fruit weight, fruit length and diameter, pericarp thickness&amp;nbsp;and fruit peduncle length. In principal component analysis, the first three components explained&amp;nbsp;for 71.6% of total variations among genotypes. Since the first component determined&amp;nbsp;50% of total variations and yield had high significant coefficient with this component,&amp;nbsp;thus it might be used as s selection criteria to identify genotypes with high yield in&amp;nbsp;breeding programs. Cluster analysis using Ward method classified genotypes into five&amp;nbsp;groups. Groups included: early maturing genotypes in group I, genotypes with high yieldin group II, genotypes with large fruit in group III, late maturing and high total soluble&amp;nbsp;solids (TSS) genotypes in group IV and genotypes with high acidity in group V.","container-title":"Acta Scientiarum Polonorum Hortorum Cultus","ISSN":"2545-1405","issue":"2","language":"en","license":"Copyright (c) 0","note":"number: 2","page":"87-96","source":"czasopisma.up.lublin.pl","title":"GENETIC DIVERSITY IN TOMATO LANDRACES COLLECTED FROM TURKEY AND IRAN REVEALED BY MORPHOLOGICAL CHARACTERS","URL":"https://czasopisma.up.lublin.pl/asphc/article/view/2560","volume":"14","author":[{"family":"Henareh","given":"Mashhid"},{"family":"Dursun","given":"Atilla"},{"family":"Mandoulakani","given":"Babak Abdoullahi"}],"accessed":{"date-parts":[["2025",4,1]]},"issued":{"date-parts":[["2015",4,30]]}},"label":"page"},{"id":1140,"uris":["http://zotero.org/users/12642312/items/BRTSJN33"],"itemData":{"id":1140,"type":"article-journal","abstract":"Simple sequence repeats (SSR) is one of the most appropriate markers for variety identification as it has immense discrimination influence for varieties with restricted genetic variation. Total genomic DNA was extracted from young freshly leaves of five tomato varieties. Genetic characterization of introduced tomato varieties were investigated using 15 SSR markers. Out of the 15 markers, 14 gave polymorphic bands and therefore were considered for further analysis. The number of alleles ranged from 2.00 (SSR2), (SSR3) to 6.00 (SSR9), (SSR11) alleles per locus with a mean value of 4.07 alleles per locus. The average Polymorphic Information Content (PIC) value was 0.59 ranging from 0.31(SSR2) to 0.77 (SSR9). The most polymorphic primers were SSR9, SSR11, and SSR4 based on PIC values. The Agglomerative hierarchical clustering grouped the tomato varieties into two (A &amp;amp; B). At a coefficient of 0.88, cluster B had three sub-clusters BI (Heinz), BII (Shasta) and BIII (OP-B155 and CRI-P00). At a coefficient of 0.90 varieties OP-B155 and CRI-P00 were identified as the most genetically related varieties. The genetic distance information from this study might be useful for further implementation of breeding strategies.Key words: genetic variability, Solanum lycopersicum, simple sequence repeat, maker","container-title":"Agricultural and Food Science Journal of Ghana","ISSN":"2821-9023","language":"en","license":"Copyright (c)","page":"686-695","source":"www.ajol.info","title":"Assessment of genetic variation among some introduced tomato (Solanum lycopersicum L.) varieties using SSR markers","URL":"https://www.ajol.info/index.php/afsjg/article/view/146725","volume":"9","author":[{"family":"Gongolee","given":"G. a. K."},{"family":"Akromah","given":"R."},{"family":"Osei","given":"M. K."}],"accessed":{"date-parts":[["2025",4,1]]},"issued":{"date-parts":[["2016"]]}},"label":"page"}],"schema":"https://github.com/citation-style-language/schema/raw/master/csl-citation.json"} </w:instrText>
      </w:r>
      <w:r>
        <w:rPr>
          <w:rFonts w:ascii="Arial" w:eastAsia="Calibri" w:hAnsi="Arial" w:cs="Arial"/>
          <w:bCs/>
          <w:sz w:val="24"/>
          <w:szCs w:val="24"/>
          <w:lang w:val="es-ES"/>
        </w:rPr>
        <w:fldChar w:fldCharType="separate"/>
      </w:r>
      <w:r w:rsidR="00E609BC" w:rsidRPr="007A5005">
        <w:rPr>
          <w:rFonts w:ascii="Arial" w:hAnsi="Arial" w:cs="Arial"/>
          <w:sz w:val="24"/>
          <w:szCs w:val="24"/>
          <w:lang w:val="es-ES"/>
        </w:rPr>
        <w:t xml:space="preserve">(Henareh </w:t>
      </w:r>
      <w:r w:rsidR="00E609BC" w:rsidRPr="007A5005">
        <w:rPr>
          <w:rFonts w:ascii="Arial" w:hAnsi="Arial" w:cs="Arial"/>
          <w:i/>
          <w:iCs/>
          <w:sz w:val="24"/>
          <w:szCs w:val="24"/>
          <w:lang w:val="es-ES"/>
        </w:rPr>
        <w:t>et al</w:t>
      </w:r>
      <w:r w:rsidR="00E609BC" w:rsidRPr="007A5005">
        <w:rPr>
          <w:rFonts w:ascii="Arial" w:hAnsi="Arial" w:cs="Arial"/>
          <w:sz w:val="24"/>
          <w:szCs w:val="24"/>
          <w:lang w:val="es-ES"/>
        </w:rPr>
        <w:t xml:space="preserve">., 2015; Gongolee </w:t>
      </w:r>
      <w:r w:rsidR="00E609BC" w:rsidRPr="007A5005">
        <w:rPr>
          <w:rFonts w:ascii="Arial" w:hAnsi="Arial" w:cs="Arial"/>
          <w:i/>
          <w:iCs/>
          <w:sz w:val="24"/>
          <w:szCs w:val="24"/>
          <w:lang w:val="es-ES"/>
        </w:rPr>
        <w:t>et al</w:t>
      </w:r>
      <w:r w:rsidR="00E609BC" w:rsidRPr="007A5005">
        <w:rPr>
          <w:rFonts w:ascii="Arial" w:hAnsi="Arial" w:cs="Arial"/>
          <w:sz w:val="24"/>
          <w:szCs w:val="24"/>
          <w:lang w:val="es-ES"/>
        </w:rPr>
        <w:t>., 2016)</w:t>
      </w:r>
      <w:r>
        <w:rPr>
          <w:rFonts w:ascii="Arial" w:eastAsia="Calibri" w:hAnsi="Arial" w:cs="Arial"/>
          <w:bCs/>
          <w:sz w:val="24"/>
          <w:szCs w:val="24"/>
          <w:lang w:val="es-ES"/>
        </w:rPr>
        <w:fldChar w:fldCharType="end"/>
      </w:r>
      <w:r>
        <w:rPr>
          <w:rFonts w:ascii="Arial" w:eastAsia="Calibri" w:hAnsi="Arial" w:cs="Arial"/>
          <w:color w:val="000000"/>
          <w:sz w:val="24"/>
          <w:szCs w:val="24"/>
          <w:lang w:val="es-ES"/>
        </w:rPr>
        <w:t xml:space="preserve">. </w:t>
      </w:r>
      <w:r>
        <w:rPr>
          <w:rFonts w:ascii="Arial" w:hAnsi="Arial" w:cs="Arial"/>
          <w:sz w:val="24"/>
          <w:szCs w:val="24"/>
          <w:lang w:val="es-ES"/>
        </w:rPr>
        <w:t xml:space="preserve">De hecho, se plantea que en condiciones de altas temperaturas normalmente se disminuye la duración de las fases de desarrollo en los cultivos, incluido el tomate, lo cual conduce a la formación de órganos más pequeños, la intercepción de la luz reducida y los procesos de asimilación de carbono, incluida la transpiración, fotosíntesis y respiración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{"citationID":"fZbPdPUq","properties":{"custom":"(Khan {\\i{}et al}., 2024)","formattedCitation":"(Khan {\\i{}et al}., 2024)","plainCitation":"(Khan et al., 2024)","noteIndex":0},"citationItems":[{"id":1062,"uris":["http://zotero.org/users/12642312/items/THB6UJR2"],"itemData":{"id":1062,"type":"webpage","title":"Deleterious Effects of Heat Stress on the Tomato, Its Innate Responses, and Potential Preventive Strategies in the Realm of Emerging Technologies","URL":"https://www.mdpi.com/2218-1989/14/5/283","author":[{"family":"Khan","given":"Qaisar"},{"family":"Wang","given":"Yixi"},{"family":"Xia","given":"Gengshou"},{"family":"Yang","given":"Hui"},{"family":"Luo","given":"Zhengrong"},{"family":"Zhang","given":"Yan"}],"accessed":{"date-parts":[["2025",4,1]]},"issued":{"date-parts":[["2024"]]}}}],"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(Khan </w:t>
      </w:r>
      <w:r>
        <w:rPr>
          <w:rFonts w:ascii="Arial" w:hAnsi="Arial" w:cs="Arial"/>
          <w:i/>
          <w:iCs/>
          <w:sz w:val="24"/>
          <w:szCs w:val="24"/>
          <w:lang w:val="es-ES"/>
        </w:rPr>
        <w:t>et al</w:t>
      </w:r>
      <w:r>
        <w:rPr>
          <w:rFonts w:ascii="Arial" w:hAnsi="Arial" w:cs="Arial"/>
          <w:sz w:val="24"/>
          <w:szCs w:val="24"/>
          <w:lang w:val="es-ES"/>
        </w:rPr>
        <w:t>., 2024)</w:t>
      </w:r>
      <w:r>
        <w:rPr>
          <w:rFonts w:ascii="Arial" w:hAnsi="Arial" w:cs="Arial"/>
          <w:sz w:val="24"/>
          <w:szCs w:val="24"/>
          <w:lang w:val="es-ES"/>
        </w:rPr>
        <w:fldChar w:fldCharType="end"/>
      </w:r>
      <w:r>
        <w:rPr>
          <w:rFonts w:ascii="Arial" w:hAnsi="Arial" w:cs="Arial"/>
          <w:sz w:val="24"/>
          <w:szCs w:val="24"/>
          <w:lang w:val="es-ES"/>
        </w:rPr>
        <w:t>. No obstante, se considera que la fotosíntesis es el proceso fisiológico más sensible a altas temperaturas, y que el aumento del contenido de CO</w:t>
      </w:r>
      <w:r w:rsidRPr="00F9722E">
        <w:rPr>
          <w:rFonts w:ascii="Arial" w:hAnsi="Arial" w:cs="Arial"/>
          <w:sz w:val="24"/>
          <w:szCs w:val="24"/>
          <w:vertAlign w:val="subscript"/>
          <w:lang w:val="es-ES"/>
        </w:rPr>
        <w:t>2</w:t>
      </w:r>
      <w:r>
        <w:rPr>
          <w:rFonts w:ascii="Arial" w:hAnsi="Arial" w:cs="Arial"/>
          <w:sz w:val="24"/>
          <w:szCs w:val="24"/>
          <w:lang w:val="es-ES"/>
        </w:rPr>
        <w:t xml:space="preserve"> en la atmósfera aumenta la temperatura en muchos ambientes. </w:t>
      </w:r>
      <w:r>
        <w:rPr>
          <w:rFonts w:ascii="Arial" w:hAnsi="Arial" w:cs="Arial"/>
          <w:sz w:val="24"/>
          <w:szCs w:val="24"/>
          <w:lang w:val="es-ES"/>
        </w:rPr>
        <w:lastRenderedPageBreak/>
        <w:t>Este aumento inducido por la alta concentración de CO</w:t>
      </w:r>
      <w:r w:rsidRPr="005C6D71">
        <w:rPr>
          <w:rFonts w:ascii="Arial" w:hAnsi="Arial" w:cs="Arial"/>
          <w:sz w:val="24"/>
          <w:szCs w:val="24"/>
          <w:vertAlign w:val="subscript"/>
          <w:lang w:val="es-ES"/>
        </w:rPr>
        <w:t>2</w:t>
      </w:r>
      <w:r>
        <w:rPr>
          <w:rFonts w:ascii="Arial" w:hAnsi="Arial" w:cs="Arial"/>
          <w:sz w:val="24"/>
          <w:szCs w:val="24"/>
          <w:lang w:val="es-ES"/>
        </w:rPr>
        <w:t xml:space="preserve"> en la tolerancia a altas temperaturas de las plantas, puede tener un impacto sustancial en la productividad y la distribución de muchas especies de cultivos en el futuro </w:t>
      </w:r>
      <w:r>
        <w:rPr>
          <w:rFonts w:ascii="Arial" w:hAnsi="Arial" w:cs="Arial"/>
          <w:sz w:val="24"/>
          <w:szCs w:val="24"/>
          <w:lang w:val="es-ES"/>
        </w:rPr>
        <w:fldChar w:fldCharType="begin"/>
      </w:r>
      <w:r w:rsidR="00A22828">
        <w:rPr>
          <w:rFonts w:ascii="Arial" w:hAnsi="Arial" w:cs="Arial"/>
          <w:sz w:val="24"/>
          <w:szCs w:val="24"/>
          <w:lang w:val="es-ES"/>
        </w:rPr>
        <w:instrText xml:space="preserve"> ADDIN ZOTERO_ITEM CSL_CITATION {"citationID":"zpYolS3H","properties":{"custom":"(Florido &amp; \\uc0\\u193{}lvarez, 2015; P\\uc0\\u233{}rez {\\i{}et al}., 2020)","formattedCitation":"(Florido &amp; \\uc0\\u193{}lvarez, 2015; P\\uc0\\u233{}rez {\\i{}et al}., 2020)","plainCitation":"(Florido &amp; Álvarez, 2015; Pérez et al., 2020)","noteIndex":0},"citationItems":[{"id":840,"uris":["http://zotero.org/users/12642312/items/5BXZC3QR"],"itemData":{"id":840,"type":"article-journal","container-title":"Cultivos Tropicales","ISSN":"0258-5936","note":"publisher: Ediciones INCA","page":"77-95","source":"SciELO","title":"Aspectos relacionados con el estrés de calor en tomate (Solanum lycopersicum L.)","URL":"http://scielo.sld.cu/scielo.php?script=sci_abstract&amp;pid=S0258-59362015000500008&amp;lng=es&amp;nrm=iso&amp;tlng=en","volume":"36","author":[{"family":"Florido","given":"Marilyn"},{"family":"Álvarez","given":"Marta"}],"accessed":{"date-parts":[["2025",3,25]]},"issued":{"date-parts":[["2015"]]}},"label":"page"},{"id":1057,"uris":["http://zotero.org/users/12642312/items/NZN9B9GI"],"itemData":{"id":1057,"type":"article-journal","abstract":"RESUMEN En el año 2014 los niveles de CO2 atmosférico alcanzaron 400 ppm y se espera que esta cifra se convierta en el promedio anual en los próximos dos años, lo cual traerá una serie de consecuencias sobre los cultivos. A pesar de ello, no hay información suficiente en Venezuela sobre el efecto de este gas en el cultivo del tomate, siendo esta hortaliza la segunda de mayor importancia en el país. Para ello, se condujo un experimento con un diseño completamente al azar en la variedad Alba, con tres tratamientos [campo abierto, casa malla y en casa malla con una atmósfera enriquecida con dióxido de carbono (426 ppm CO2)]. Los resultados más importantes: 1) 60 días después del trasplante (ddt) el CO2 ambiental provocó el mayor crecimiento y biomasa aérea y de raíces. 2) 90 ddt el tratamiento de CO2 indujo el mayor crecimiento y biomasa en raíces. 3) Las variables agronómicas en las plantas de tomate se afectaron positivamente en el tratamiento de inyección de CO2, excepto para la producción de fruta. 4) Altas concentraciones de CO2 junto con las altas temperaturas provocaron desordenes fisiológicos en las plantas, lo que afecta la productividad futura del cultivo. Palabras clave: Dióxido de carbono, Solanum lycopersicum, biomasa, agronomía, plantas C3. ABSTRACT The levels of CO2 reached in April 2014 to 400 ppm and it is expected that to become the annual average in the next two years. This increase in atmospheric CO2 will bring a series of consequences on agricultural crops. However, there is not enough information in Venezuela about the effect of this gas on tomato cultivation, this being the second most important vegetable in the country. For this, under a completely randomized design, three treatments were evaluated in tomato variety Alba [(open field and in mesh house and in mesh house with an atmosphere enriched with carbon dioxide (426 ppm CO2)]. The most important results were: 1) At 60 days after transplantation (ddt), environmental CO2 caused the greatest growth and aerial and roots biomass. 2) At 90 ddt, the CO2 treatment induced the greatest growth and biomass in roots. 3) The agronomy variables of the tomato crop was positively affected in the CO2 injection treatment, except for the production of the fruit. 4) High concentration of CO2 together with high temperatures caused physiological disorders in the plants, which affects the future productivity of the crop.","page":"38-45","source":"ResearchGate","title":"EVALUACION AGRONOMICA EN TOMATE CULTIVADO EN AMBIENTE ENRIQUECIDO CON CO2 SEGÚN ESCENARIO DE EMISIÓN B2* Agronomic evaluation of tomato cultivated in a CO2 enriched environment according to the B2 emission scenario","volume":"37","author":[{"family":"Pérez","given":"Mercedes"},{"family":"Alfonzo","given":"Miguel"},{"family":"Valdez","given":"Maribel"},{"family":"Soto","given":"Enio"},{"family":"León","given":"Rommel"},{"family":"Rodríguez Yzquierdo","given":"Gustavo"}],"issued":{"date-parts":[["2020",10,20]]}},"label":"page"}],"schema":"https://github.com/citation-style-language/schema/raw/master/csl-citation.json"} </w:instrText>
      </w:r>
      <w:r>
        <w:rPr>
          <w:rFonts w:ascii="Arial" w:hAnsi="Arial" w:cs="Arial"/>
          <w:sz w:val="24"/>
          <w:szCs w:val="24"/>
          <w:lang w:val="es-ES"/>
        </w:rPr>
        <w:fldChar w:fldCharType="separate"/>
      </w:r>
      <w:r w:rsidR="00A22828" w:rsidRPr="00A25A83">
        <w:rPr>
          <w:rFonts w:ascii="Arial" w:hAnsi="Arial" w:cs="Arial"/>
          <w:sz w:val="24"/>
          <w:szCs w:val="24"/>
          <w:lang w:val="es-ES"/>
        </w:rPr>
        <w:t xml:space="preserve">(Florido &amp; Álvarez, 2015; Pérez </w:t>
      </w:r>
      <w:r w:rsidR="00A22828" w:rsidRPr="00A25A83">
        <w:rPr>
          <w:rFonts w:ascii="Arial" w:hAnsi="Arial" w:cs="Arial"/>
          <w:i/>
          <w:iCs/>
          <w:sz w:val="24"/>
          <w:szCs w:val="24"/>
          <w:lang w:val="es-ES"/>
        </w:rPr>
        <w:t>et al</w:t>
      </w:r>
      <w:r w:rsidR="00A22828" w:rsidRPr="00A25A83">
        <w:rPr>
          <w:rFonts w:ascii="Arial" w:hAnsi="Arial" w:cs="Arial"/>
          <w:sz w:val="24"/>
          <w:szCs w:val="24"/>
          <w:lang w:val="es-ES"/>
        </w:rPr>
        <w:t>., 2020)</w:t>
      </w:r>
      <w:r>
        <w:rPr>
          <w:rFonts w:ascii="Arial" w:hAnsi="Arial" w:cs="Arial"/>
          <w:sz w:val="24"/>
          <w:szCs w:val="24"/>
          <w:lang w:val="es-ES"/>
        </w:rPr>
        <w:fldChar w:fldCharType="end"/>
      </w:r>
      <w:r>
        <w:rPr>
          <w:rFonts w:ascii="Arial" w:hAnsi="Arial" w:cs="Arial"/>
          <w:sz w:val="24"/>
          <w:szCs w:val="24"/>
          <w:lang w:val="es-ES"/>
        </w:rPr>
        <w:t xml:space="preserve">. </w:t>
      </w:r>
    </w:p>
    <w:p w14:paraId="490CEFA3" w14:textId="77777777" w:rsidR="00E609BC"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En la tabla 4 se muestran los resultados del número de frutos por planta y el rendimiento agrícola de</w:t>
      </w:r>
      <w:r w:rsidR="00C30F3D">
        <w:rPr>
          <w:rFonts w:ascii="Arial" w:hAnsi="Arial" w:cs="Arial"/>
          <w:sz w:val="24"/>
          <w:szCs w:val="24"/>
          <w:lang w:val="es-ES"/>
        </w:rPr>
        <w:t xml:space="preserve"> </w:t>
      </w:r>
      <w:r>
        <w:rPr>
          <w:rFonts w:ascii="Arial" w:hAnsi="Arial" w:cs="Arial"/>
          <w:sz w:val="24"/>
          <w:szCs w:val="24"/>
          <w:lang w:val="es-ES"/>
        </w:rPr>
        <w:t>este cultivar</w:t>
      </w:r>
      <w:r w:rsidR="00BA4DFD">
        <w:rPr>
          <w:rFonts w:ascii="Arial" w:hAnsi="Arial" w:cs="Arial"/>
          <w:sz w:val="24"/>
          <w:szCs w:val="24"/>
          <w:lang w:val="es-ES"/>
        </w:rPr>
        <w:t>,</w:t>
      </w:r>
      <w:r w:rsidR="00335363">
        <w:rPr>
          <w:rFonts w:ascii="Arial" w:hAnsi="Arial" w:cs="Arial"/>
          <w:sz w:val="24"/>
          <w:szCs w:val="24"/>
          <w:lang w:val="es-ES"/>
        </w:rPr>
        <w:t xml:space="preserve"> se puede observar que existen diferencia</w:t>
      </w:r>
      <w:r w:rsidR="00F52AD5">
        <w:rPr>
          <w:rFonts w:ascii="Arial" w:hAnsi="Arial" w:cs="Arial"/>
          <w:sz w:val="24"/>
          <w:szCs w:val="24"/>
          <w:lang w:val="es-ES"/>
        </w:rPr>
        <w:t>s</w:t>
      </w:r>
      <w:r w:rsidR="00335363">
        <w:rPr>
          <w:rFonts w:ascii="Arial" w:hAnsi="Arial" w:cs="Arial"/>
          <w:sz w:val="24"/>
          <w:szCs w:val="24"/>
          <w:lang w:val="es-ES"/>
        </w:rPr>
        <w:t xml:space="preserve"> significativa</w:t>
      </w:r>
      <w:r w:rsidR="00F52AD5">
        <w:rPr>
          <w:rFonts w:ascii="Arial" w:hAnsi="Arial" w:cs="Arial"/>
          <w:sz w:val="24"/>
          <w:szCs w:val="24"/>
          <w:lang w:val="es-ES"/>
        </w:rPr>
        <w:t>s</w:t>
      </w:r>
      <w:r>
        <w:rPr>
          <w:rFonts w:ascii="Arial" w:hAnsi="Arial" w:cs="Arial"/>
          <w:sz w:val="24"/>
          <w:szCs w:val="24"/>
          <w:lang w:val="es-ES"/>
        </w:rPr>
        <w:t xml:space="preserve"> en estos indicadores</w:t>
      </w:r>
      <w:r w:rsidR="00335363">
        <w:rPr>
          <w:rFonts w:ascii="Arial" w:hAnsi="Arial" w:cs="Arial"/>
          <w:sz w:val="24"/>
          <w:szCs w:val="24"/>
          <w:lang w:val="es-ES"/>
        </w:rPr>
        <w:t xml:space="preserve"> </w:t>
      </w:r>
      <w:r>
        <w:rPr>
          <w:rFonts w:ascii="Arial" w:hAnsi="Arial" w:cs="Arial"/>
          <w:sz w:val="24"/>
          <w:szCs w:val="24"/>
          <w:lang w:val="es-ES"/>
        </w:rPr>
        <w:t>en los diferentes periodos de siembra.</w:t>
      </w:r>
      <w:r w:rsidR="00BA4DFD">
        <w:rPr>
          <w:rFonts w:ascii="Arial" w:hAnsi="Arial" w:cs="Arial"/>
          <w:sz w:val="24"/>
          <w:szCs w:val="24"/>
          <w:lang w:val="es-ES"/>
        </w:rPr>
        <w:t xml:space="preserve"> Lo antes expuesto, demuestra que l</w:t>
      </w:r>
      <w:r>
        <w:rPr>
          <w:rFonts w:ascii="Arial" w:hAnsi="Arial" w:cs="Arial"/>
          <w:sz w:val="24"/>
          <w:szCs w:val="24"/>
          <w:lang w:val="es-ES"/>
        </w:rPr>
        <w:t>os mayores rendimientos y número de frutos por m</w:t>
      </w:r>
      <w:r>
        <w:rPr>
          <w:rFonts w:ascii="Arial" w:hAnsi="Arial" w:cs="Arial"/>
          <w:sz w:val="24"/>
          <w:szCs w:val="24"/>
          <w:vertAlign w:val="superscript"/>
          <w:lang w:val="es-ES"/>
        </w:rPr>
        <w:t>2</w:t>
      </w:r>
      <w:r>
        <w:rPr>
          <w:rFonts w:ascii="Arial" w:hAnsi="Arial" w:cs="Arial"/>
          <w:sz w:val="24"/>
          <w:szCs w:val="24"/>
          <w:lang w:val="es-ES"/>
        </w:rPr>
        <w:t xml:space="preserve"> se observaron cuando </w:t>
      </w:r>
      <w:r w:rsidR="00876F09">
        <w:rPr>
          <w:rFonts w:ascii="Arial" w:hAnsi="Arial" w:cs="Arial"/>
          <w:sz w:val="24"/>
          <w:szCs w:val="24"/>
          <w:lang w:val="es-ES"/>
        </w:rPr>
        <w:t>el cultivar se sembró en el peri</w:t>
      </w:r>
      <w:r>
        <w:rPr>
          <w:rFonts w:ascii="Arial" w:hAnsi="Arial" w:cs="Arial"/>
          <w:sz w:val="24"/>
          <w:szCs w:val="24"/>
          <w:lang w:val="es-ES"/>
        </w:rPr>
        <w:t>odo óptimo, mientras el rendimiento más bajo se obtuvo al sembrar en el periodo tardío, no existiendo diferencias significativas para el número de frutos en los periodos temprano y tardío.</w:t>
      </w:r>
    </w:p>
    <w:p w14:paraId="6F09CA07" w14:textId="7450670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Esto demuestra el papel que juega la interacción de la temperatura en el rendimiento y sus componentes. Como ya que se pueden observar diferencias para las fechas de siembra, según el comportamiento diario de las temperaturas máximas y mínimas (Figura 2, 3 y 4). Las plantas sembradas en diciembre de 2022 se expusieron a menores valores de temperatura durante todo su ciclo, y se observó una mayor duración del mismo, si se compara con las otras dos fechas de siembra donde las temperaturas fueron más elevadas y la duración del ciclo fue menor.</w:t>
      </w:r>
    </w:p>
    <w:p w14:paraId="65986B39" w14:textId="77777777" w:rsidR="008403BD" w:rsidRDefault="001F0DE0">
      <w:pPr>
        <w:spacing w:before="120" w:after="0" w:line="360" w:lineRule="auto"/>
        <w:jc w:val="both"/>
        <w:rPr>
          <w:rFonts w:ascii="Arial" w:hAnsi="Arial" w:cs="Arial"/>
          <w:b/>
          <w:sz w:val="24"/>
          <w:szCs w:val="24"/>
          <w:lang w:val="es-ES"/>
        </w:rPr>
      </w:pPr>
      <w:r>
        <w:rPr>
          <w:rFonts w:ascii="Arial" w:hAnsi="Arial" w:cs="Arial"/>
          <w:b/>
          <w:sz w:val="24"/>
          <w:szCs w:val="24"/>
          <w:lang w:val="es-ES"/>
        </w:rPr>
        <w:t>Tabla 4.</w:t>
      </w:r>
      <w:r w:rsidR="007D49D9">
        <w:rPr>
          <w:rFonts w:ascii="Arial" w:hAnsi="Arial" w:cs="Arial"/>
          <w:b/>
          <w:sz w:val="24"/>
          <w:szCs w:val="24"/>
          <w:lang w:val="es-ES"/>
        </w:rPr>
        <w:t xml:space="preserve"> </w:t>
      </w:r>
      <w:r w:rsidR="007D49D9" w:rsidRPr="00D75709">
        <w:rPr>
          <w:rFonts w:ascii="Arial" w:hAnsi="Arial" w:cs="Arial"/>
          <w:sz w:val="24"/>
          <w:szCs w:val="24"/>
          <w:lang w:val="es-ES"/>
        </w:rPr>
        <w:t>Número de frutos y rendimiento del cultivo en</w:t>
      </w:r>
      <w:r w:rsidR="00D75709">
        <w:rPr>
          <w:rFonts w:ascii="Arial" w:hAnsi="Arial" w:cs="Arial"/>
          <w:sz w:val="24"/>
          <w:szCs w:val="24"/>
          <w:lang w:val="es-ES"/>
        </w:rPr>
        <w:t xml:space="preserve"> diferentes periodos de siembra</w:t>
      </w:r>
    </w:p>
    <w:tbl>
      <w:tblPr>
        <w:tblW w:w="67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13"/>
        <w:gridCol w:w="2268"/>
        <w:gridCol w:w="2552"/>
      </w:tblGrid>
      <w:tr w:rsidR="008403BD" w:rsidRPr="006C2949" w14:paraId="161CC1A4" w14:textId="77777777">
        <w:trPr>
          <w:jc w:val="center"/>
        </w:trPr>
        <w:tc>
          <w:tcPr>
            <w:tcW w:w="1913" w:type="dxa"/>
          </w:tcPr>
          <w:p w14:paraId="23564D24" w14:textId="77777777" w:rsidR="008403BD" w:rsidRDefault="007D49D9">
            <w:pPr>
              <w:spacing w:before="120" w:after="0" w:line="360" w:lineRule="auto"/>
              <w:rPr>
                <w:rFonts w:ascii="Arial" w:eastAsia="Calibri" w:hAnsi="Arial" w:cs="Arial"/>
                <w:lang w:val="es-ES"/>
              </w:rPr>
            </w:pPr>
            <w:r>
              <w:rPr>
                <w:rFonts w:ascii="Arial" w:eastAsia="Calibri" w:hAnsi="Arial" w:cs="Arial"/>
                <w:b/>
                <w:lang w:val="es-ES"/>
              </w:rPr>
              <w:t>Fechas de siembra</w:t>
            </w:r>
          </w:p>
        </w:tc>
        <w:tc>
          <w:tcPr>
            <w:tcW w:w="2268" w:type="dxa"/>
          </w:tcPr>
          <w:p w14:paraId="40DA12FA" w14:textId="77777777" w:rsidR="008403BD" w:rsidRDefault="007D49D9">
            <w:pPr>
              <w:spacing w:before="120" w:after="0" w:line="360" w:lineRule="auto"/>
              <w:jc w:val="center"/>
              <w:rPr>
                <w:rFonts w:ascii="Arial" w:eastAsia="Calibri" w:hAnsi="Arial" w:cs="Arial"/>
                <w:b/>
                <w:bCs/>
                <w:lang w:val="es-ES"/>
              </w:rPr>
            </w:pPr>
            <w:r>
              <w:rPr>
                <w:rFonts w:ascii="Arial" w:eastAsia="Calibri" w:hAnsi="Arial" w:cs="Arial"/>
                <w:b/>
                <w:bCs/>
                <w:lang w:val="es-ES"/>
              </w:rPr>
              <w:t>N</w:t>
            </w:r>
            <w:r w:rsidR="00C30F3D">
              <w:rPr>
                <w:rFonts w:ascii="Arial" w:eastAsia="Calibri" w:hAnsi="Arial" w:cs="Arial"/>
                <w:b/>
                <w:bCs/>
                <w:lang w:val="es-ES"/>
              </w:rPr>
              <w:t>ú</w:t>
            </w:r>
            <w:r>
              <w:rPr>
                <w:rFonts w:ascii="Arial" w:eastAsia="Calibri" w:hAnsi="Arial" w:cs="Arial"/>
                <w:b/>
                <w:bCs/>
                <w:lang w:val="es-ES"/>
              </w:rPr>
              <w:t>mero de frutos</w:t>
            </w:r>
          </w:p>
          <w:p w14:paraId="0916E3CE" w14:textId="3326847B" w:rsidR="008403BD" w:rsidRDefault="007D49D9">
            <w:pPr>
              <w:spacing w:before="120" w:after="0" w:line="360" w:lineRule="auto"/>
              <w:jc w:val="center"/>
              <w:rPr>
                <w:rFonts w:ascii="Arial" w:eastAsia="Calibri" w:hAnsi="Arial" w:cs="Arial"/>
                <w:b/>
                <w:bCs/>
                <w:lang w:val="es-ES"/>
              </w:rPr>
            </w:pPr>
            <w:r>
              <w:rPr>
                <w:rFonts w:ascii="Arial" w:eastAsia="Calibri" w:hAnsi="Arial" w:cs="Arial"/>
                <w:b/>
                <w:bCs/>
                <w:lang w:val="es-ES"/>
              </w:rPr>
              <w:t>(f</w:t>
            </w:r>
            <w:r w:rsidR="005D5B7B">
              <w:rPr>
                <w:rFonts w:ascii="Arial" w:eastAsia="Calibri" w:hAnsi="Arial" w:cs="Arial"/>
                <w:b/>
                <w:bCs/>
                <w:lang w:val="es-ES"/>
              </w:rPr>
              <w:t>rutos</w:t>
            </w:r>
            <w:r>
              <w:rPr>
                <w:rFonts w:ascii="Arial" w:eastAsia="Calibri" w:hAnsi="Arial" w:cs="Arial"/>
                <w:b/>
                <w:bCs/>
                <w:lang w:val="es-ES"/>
              </w:rPr>
              <w:t xml:space="preserve"> m-</w:t>
            </w:r>
            <w:r>
              <w:rPr>
                <w:rFonts w:ascii="Arial" w:eastAsia="Calibri" w:hAnsi="Arial" w:cs="Arial"/>
                <w:b/>
                <w:bCs/>
                <w:vertAlign w:val="superscript"/>
                <w:lang w:val="es-ES"/>
              </w:rPr>
              <w:t>2</w:t>
            </w:r>
            <w:r>
              <w:rPr>
                <w:rFonts w:ascii="Arial" w:eastAsia="Calibri" w:hAnsi="Arial" w:cs="Arial"/>
                <w:b/>
                <w:bCs/>
                <w:lang w:val="es-ES"/>
              </w:rPr>
              <w:t>)</w:t>
            </w:r>
          </w:p>
        </w:tc>
        <w:tc>
          <w:tcPr>
            <w:tcW w:w="2552" w:type="dxa"/>
          </w:tcPr>
          <w:p w14:paraId="4E2E074A" w14:textId="77777777" w:rsidR="008403BD" w:rsidRDefault="007D49D9">
            <w:pPr>
              <w:spacing w:before="120" w:after="0" w:line="360" w:lineRule="auto"/>
              <w:jc w:val="center"/>
              <w:rPr>
                <w:rFonts w:ascii="Arial" w:eastAsia="Calibri" w:hAnsi="Arial" w:cs="Arial"/>
                <w:b/>
                <w:bCs/>
                <w:lang w:val="es-ES"/>
              </w:rPr>
            </w:pPr>
            <w:r>
              <w:rPr>
                <w:rFonts w:ascii="Arial" w:eastAsia="Calibri" w:hAnsi="Arial" w:cs="Arial"/>
                <w:b/>
                <w:bCs/>
                <w:lang w:val="es-ES"/>
              </w:rPr>
              <w:t>Rendimiento</w:t>
            </w:r>
          </w:p>
          <w:p w14:paraId="56DA773A" w14:textId="5273D7A2" w:rsidR="008403BD" w:rsidRDefault="005D5B7B">
            <w:pPr>
              <w:spacing w:before="120" w:after="0" w:line="360" w:lineRule="auto"/>
              <w:jc w:val="center"/>
              <w:rPr>
                <w:rFonts w:ascii="Arial" w:eastAsia="Calibri" w:hAnsi="Arial" w:cs="Arial"/>
                <w:b/>
                <w:bCs/>
                <w:lang w:val="es-ES"/>
              </w:rPr>
            </w:pPr>
            <w:r>
              <w:rPr>
                <w:rFonts w:ascii="Arial" w:eastAsia="Calibri" w:hAnsi="Arial" w:cs="Arial"/>
                <w:b/>
                <w:bCs/>
                <w:lang w:val="es-ES"/>
              </w:rPr>
              <w:t>(kg</w:t>
            </w:r>
            <w:r w:rsidR="007D49D9">
              <w:rPr>
                <w:rFonts w:ascii="Arial" w:eastAsia="Calibri" w:hAnsi="Arial" w:cs="Arial"/>
                <w:b/>
                <w:bCs/>
                <w:lang w:val="es-ES"/>
              </w:rPr>
              <w:t xml:space="preserve"> ha de masa seca)</w:t>
            </w:r>
          </w:p>
        </w:tc>
      </w:tr>
      <w:tr w:rsidR="008403BD" w14:paraId="5142ACE3" w14:textId="77777777">
        <w:trPr>
          <w:jc w:val="center"/>
        </w:trPr>
        <w:tc>
          <w:tcPr>
            <w:tcW w:w="1913" w:type="dxa"/>
            <w:vAlign w:val="bottom"/>
          </w:tcPr>
          <w:p w14:paraId="683D74B0" w14:textId="77777777" w:rsidR="008403BD" w:rsidRDefault="007D49D9">
            <w:pPr>
              <w:spacing w:before="120" w:after="0" w:line="360" w:lineRule="auto"/>
              <w:rPr>
                <w:rFonts w:ascii="Arial" w:eastAsia="Times New Roman" w:hAnsi="Arial" w:cs="Arial"/>
                <w:color w:val="000000"/>
                <w:lang w:val="es-ES"/>
              </w:rPr>
            </w:pPr>
            <w:r>
              <w:rPr>
                <w:rFonts w:ascii="Arial" w:eastAsia="Times New Roman" w:hAnsi="Arial" w:cs="Arial"/>
                <w:color w:val="000000"/>
                <w:lang w:val="es-ES"/>
              </w:rPr>
              <w:t>Febrero 2022</w:t>
            </w:r>
          </w:p>
        </w:tc>
        <w:tc>
          <w:tcPr>
            <w:tcW w:w="2268" w:type="dxa"/>
            <w:vAlign w:val="center"/>
          </w:tcPr>
          <w:p w14:paraId="18B2620D" w14:textId="77777777" w:rsidR="008403BD" w:rsidRDefault="007D49D9">
            <w:pPr>
              <w:autoSpaceDE w:val="0"/>
              <w:autoSpaceDN w:val="0"/>
              <w:adjustRightInd w:val="0"/>
              <w:spacing w:before="120" w:after="0" w:line="360" w:lineRule="auto"/>
              <w:ind w:left="60" w:right="60"/>
              <w:jc w:val="center"/>
              <w:rPr>
                <w:rFonts w:ascii="Arial" w:hAnsi="Arial" w:cs="Arial"/>
                <w:color w:val="000000"/>
                <w:sz w:val="18"/>
                <w:szCs w:val="18"/>
              </w:rPr>
            </w:pPr>
            <w:r>
              <w:rPr>
                <w:rFonts w:ascii="Arial" w:hAnsi="Arial" w:cs="Arial"/>
                <w:color w:val="000000"/>
                <w:sz w:val="18"/>
                <w:szCs w:val="18"/>
              </w:rPr>
              <w:t>42,33  b</w:t>
            </w:r>
          </w:p>
        </w:tc>
        <w:tc>
          <w:tcPr>
            <w:tcW w:w="2552" w:type="dxa"/>
            <w:vAlign w:val="center"/>
          </w:tcPr>
          <w:p w14:paraId="0E684599" w14:textId="77777777" w:rsidR="008403BD" w:rsidRDefault="007D49D9">
            <w:pPr>
              <w:autoSpaceDE w:val="0"/>
              <w:autoSpaceDN w:val="0"/>
              <w:adjustRightInd w:val="0"/>
              <w:spacing w:before="120" w:after="0" w:line="360" w:lineRule="auto"/>
              <w:ind w:left="60" w:right="60"/>
              <w:jc w:val="center"/>
              <w:rPr>
                <w:rFonts w:ascii="Arial" w:hAnsi="Arial" w:cs="Arial"/>
                <w:color w:val="000000"/>
                <w:sz w:val="18"/>
                <w:szCs w:val="18"/>
              </w:rPr>
            </w:pPr>
            <w:r>
              <w:rPr>
                <w:rFonts w:ascii="Arial" w:hAnsi="Arial" w:cs="Arial"/>
                <w:color w:val="000000"/>
                <w:sz w:val="18"/>
                <w:szCs w:val="18"/>
              </w:rPr>
              <w:t>2532,7  b</w:t>
            </w:r>
          </w:p>
        </w:tc>
      </w:tr>
      <w:tr w:rsidR="008403BD" w14:paraId="3571A97C" w14:textId="77777777">
        <w:trPr>
          <w:jc w:val="center"/>
        </w:trPr>
        <w:tc>
          <w:tcPr>
            <w:tcW w:w="1913" w:type="dxa"/>
            <w:vAlign w:val="bottom"/>
          </w:tcPr>
          <w:p w14:paraId="05EF640C" w14:textId="77777777" w:rsidR="008403BD" w:rsidRDefault="007D49D9">
            <w:pPr>
              <w:spacing w:before="120" w:after="0" w:line="360" w:lineRule="auto"/>
              <w:rPr>
                <w:rFonts w:ascii="Arial" w:eastAsia="Times New Roman" w:hAnsi="Arial" w:cs="Arial"/>
                <w:color w:val="000000"/>
                <w:lang w:val="es-ES"/>
              </w:rPr>
            </w:pPr>
            <w:r>
              <w:rPr>
                <w:rFonts w:ascii="Arial" w:eastAsia="Times New Roman" w:hAnsi="Arial" w:cs="Arial"/>
                <w:color w:val="000000"/>
                <w:lang w:val="es-ES"/>
              </w:rPr>
              <w:t>Agosto 2022</w:t>
            </w:r>
          </w:p>
        </w:tc>
        <w:tc>
          <w:tcPr>
            <w:tcW w:w="2268" w:type="dxa"/>
            <w:vAlign w:val="center"/>
          </w:tcPr>
          <w:p w14:paraId="4BDDE332" w14:textId="77777777" w:rsidR="008403BD" w:rsidRDefault="007D49D9">
            <w:pPr>
              <w:autoSpaceDE w:val="0"/>
              <w:autoSpaceDN w:val="0"/>
              <w:adjustRightInd w:val="0"/>
              <w:spacing w:before="120" w:after="0" w:line="360" w:lineRule="auto"/>
              <w:ind w:left="60" w:right="60"/>
              <w:jc w:val="center"/>
              <w:rPr>
                <w:rFonts w:ascii="Arial" w:hAnsi="Arial" w:cs="Arial"/>
                <w:color w:val="000000"/>
                <w:sz w:val="18"/>
                <w:szCs w:val="18"/>
              </w:rPr>
            </w:pPr>
            <w:r>
              <w:rPr>
                <w:rFonts w:ascii="Arial" w:hAnsi="Arial" w:cs="Arial"/>
                <w:color w:val="000000"/>
                <w:sz w:val="18"/>
                <w:szCs w:val="18"/>
              </w:rPr>
              <w:t>29,33  b</w:t>
            </w:r>
          </w:p>
        </w:tc>
        <w:tc>
          <w:tcPr>
            <w:tcW w:w="2552" w:type="dxa"/>
            <w:vAlign w:val="center"/>
          </w:tcPr>
          <w:p w14:paraId="1A61CFE8" w14:textId="77777777" w:rsidR="008403BD" w:rsidRDefault="007D49D9">
            <w:pPr>
              <w:autoSpaceDE w:val="0"/>
              <w:autoSpaceDN w:val="0"/>
              <w:adjustRightInd w:val="0"/>
              <w:spacing w:before="120" w:after="0" w:line="360" w:lineRule="auto"/>
              <w:ind w:left="60" w:right="60"/>
              <w:jc w:val="center"/>
              <w:rPr>
                <w:rFonts w:ascii="Arial" w:hAnsi="Arial" w:cs="Arial"/>
                <w:color w:val="000000"/>
                <w:sz w:val="18"/>
                <w:szCs w:val="18"/>
              </w:rPr>
            </w:pPr>
            <w:r>
              <w:rPr>
                <w:rFonts w:ascii="Arial" w:hAnsi="Arial" w:cs="Arial"/>
                <w:color w:val="000000"/>
                <w:sz w:val="18"/>
                <w:szCs w:val="18"/>
              </w:rPr>
              <w:t>1618,0  c</w:t>
            </w:r>
          </w:p>
        </w:tc>
      </w:tr>
      <w:tr w:rsidR="008403BD" w14:paraId="766677CE" w14:textId="77777777">
        <w:trPr>
          <w:jc w:val="center"/>
        </w:trPr>
        <w:tc>
          <w:tcPr>
            <w:tcW w:w="1913" w:type="dxa"/>
            <w:vAlign w:val="bottom"/>
          </w:tcPr>
          <w:p w14:paraId="647FC858" w14:textId="77777777" w:rsidR="008403BD" w:rsidRDefault="007D49D9">
            <w:pPr>
              <w:spacing w:before="120" w:after="0" w:line="360" w:lineRule="auto"/>
              <w:rPr>
                <w:rFonts w:ascii="Arial" w:eastAsia="Times New Roman" w:hAnsi="Arial" w:cs="Arial"/>
                <w:color w:val="000000"/>
                <w:lang w:val="es-ES"/>
              </w:rPr>
            </w:pPr>
            <w:r>
              <w:rPr>
                <w:rFonts w:ascii="Arial" w:eastAsia="Times New Roman" w:hAnsi="Arial" w:cs="Arial"/>
                <w:color w:val="000000"/>
                <w:lang w:val="es-ES"/>
              </w:rPr>
              <w:t>Diciembre 2022</w:t>
            </w:r>
          </w:p>
        </w:tc>
        <w:tc>
          <w:tcPr>
            <w:tcW w:w="2268" w:type="dxa"/>
            <w:vAlign w:val="center"/>
          </w:tcPr>
          <w:p w14:paraId="1535D10E" w14:textId="77777777" w:rsidR="008403BD" w:rsidRDefault="007D49D9">
            <w:pPr>
              <w:autoSpaceDE w:val="0"/>
              <w:autoSpaceDN w:val="0"/>
              <w:adjustRightInd w:val="0"/>
              <w:spacing w:before="120" w:after="0" w:line="360" w:lineRule="auto"/>
              <w:ind w:left="60" w:right="60"/>
              <w:jc w:val="center"/>
              <w:rPr>
                <w:rFonts w:ascii="Arial" w:hAnsi="Arial" w:cs="Arial"/>
                <w:color w:val="000000"/>
                <w:sz w:val="18"/>
                <w:szCs w:val="18"/>
              </w:rPr>
            </w:pPr>
            <w:r>
              <w:rPr>
                <w:rFonts w:ascii="Arial" w:hAnsi="Arial" w:cs="Arial"/>
                <w:color w:val="000000"/>
                <w:sz w:val="18"/>
                <w:szCs w:val="18"/>
              </w:rPr>
              <w:t>69,33  a</w:t>
            </w:r>
          </w:p>
        </w:tc>
        <w:tc>
          <w:tcPr>
            <w:tcW w:w="2552" w:type="dxa"/>
            <w:vAlign w:val="center"/>
          </w:tcPr>
          <w:p w14:paraId="4CA1CDF1" w14:textId="77777777" w:rsidR="008403BD" w:rsidRDefault="007D49D9">
            <w:pPr>
              <w:autoSpaceDE w:val="0"/>
              <w:autoSpaceDN w:val="0"/>
              <w:adjustRightInd w:val="0"/>
              <w:spacing w:before="120" w:after="0" w:line="360" w:lineRule="auto"/>
              <w:ind w:left="60" w:right="60"/>
              <w:jc w:val="center"/>
              <w:rPr>
                <w:rFonts w:ascii="Arial" w:hAnsi="Arial" w:cs="Arial"/>
                <w:color w:val="000000"/>
                <w:sz w:val="18"/>
                <w:szCs w:val="18"/>
              </w:rPr>
            </w:pPr>
            <w:r>
              <w:rPr>
                <w:rFonts w:ascii="Arial" w:hAnsi="Arial" w:cs="Arial"/>
                <w:color w:val="000000"/>
                <w:sz w:val="18"/>
                <w:szCs w:val="18"/>
              </w:rPr>
              <w:t>3509,3  a</w:t>
            </w:r>
          </w:p>
        </w:tc>
      </w:tr>
    </w:tbl>
    <w:p w14:paraId="540F1132" w14:textId="77777777" w:rsidR="008403BD" w:rsidRDefault="00C30F3D" w:rsidP="00C30F3D">
      <w:pPr>
        <w:spacing w:before="120"/>
        <w:jc w:val="center"/>
        <w:rPr>
          <w:rFonts w:ascii="Arial" w:eastAsia="Calibri" w:hAnsi="Arial" w:cs="Arial"/>
          <w:i/>
          <w:lang w:val="es-ES_tradnl"/>
        </w:rPr>
      </w:pPr>
      <w:r>
        <w:rPr>
          <w:rFonts w:ascii="Arial" w:eastAsia="Calibri" w:hAnsi="Arial" w:cs="Arial"/>
          <w:i/>
          <w:lang w:val="es-ES_tradnl"/>
        </w:rPr>
        <w:t>Le</w:t>
      </w:r>
      <w:r w:rsidR="007D49D9">
        <w:rPr>
          <w:rFonts w:ascii="Arial" w:eastAsia="Calibri" w:hAnsi="Arial" w:cs="Arial"/>
          <w:i/>
          <w:lang w:val="es-ES_tradnl"/>
        </w:rPr>
        <w:t>tras diferentes indican diferencias significativas (p&lt; 0.05)</w:t>
      </w:r>
    </w:p>
    <w:p w14:paraId="611392A3" w14:textId="68A578BB" w:rsidR="008403BD" w:rsidRDefault="005D5B7B">
      <w:pPr>
        <w:spacing w:before="120" w:after="0" w:line="360" w:lineRule="auto"/>
        <w:jc w:val="both"/>
        <w:rPr>
          <w:rFonts w:ascii="Arial" w:hAnsi="Arial" w:cs="Arial"/>
          <w:sz w:val="24"/>
          <w:szCs w:val="24"/>
          <w:lang w:val="es-ES"/>
        </w:rPr>
      </w:pPr>
      <w:r>
        <w:rPr>
          <w:rFonts w:ascii="Arial" w:hAnsi="Arial" w:cs="Arial"/>
          <w:sz w:val="24"/>
          <w:szCs w:val="24"/>
          <w:lang w:val="es-ES"/>
        </w:rPr>
        <w:t>A</w:t>
      </w:r>
      <w:r w:rsidR="007D49D9">
        <w:rPr>
          <w:rFonts w:ascii="Arial" w:hAnsi="Arial" w:cs="Arial"/>
          <w:sz w:val="24"/>
          <w:szCs w:val="24"/>
          <w:lang w:val="es-ES"/>
        </w:rPr>
        <w:t>unque las plantas de tomate pueden crecer en una amplia gama de condiciones climáticas, su crecimiento vegetativo y reproductivo se afectan seriamente en condiciones de altas temperaturas</w:t>
      </w:r>
      <w:r>
        <w:rPr>
          <w:rFonts w:ascii="Arial" w:hAnsi="Arial" w:cs="Arial"/>
          <w:sz w:val="24"/>
          <w:szCs w:val="24"/>
          <w:lang w:val="es-ES"/>
        </w:rPr>
        <w:t xml:space="preserve">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{"citationID":"MvGf8JzW","properties":{"custom":"(Mulholland {\\i{}et al}., 2003; Florido &amp; \\uc0\\u193{}lvarez, 2015; Alsamir {\\i{}et al}., 2021)","unsorted":true,"formattedCitation":"(Mulholland {\\i{}et al}., 2003; Florido &amp; \\uc0\\u193{}lvarez, 2015; Alsamir {\\i{}et al}., 2021)","plainCitation":"(Mulholland et al., 2003; Florido &amp; Álvarez, 2015; Alsamir et al., 2021)","noteIndex":0},"citationItems":[{"id":1064,"uris":["http://zotero.org/users/12642312/items/3M4YSVII"],"itemData":{"id":1064,"type":"article-journal","container-title":"The Journal of Horticultural Science and Biotechnology","DOI":"10.1080/14620316.2003.11511633","ISSN":"1462-0316, 2380-4084","issue":"3","journalAbbreviation":"The Journal of Horticultural Science and Biotechnology","language":"en","page":"365-374","source":"DOI.org (Crossref)","title":"Effects of high temperature on tomato summer fruit quality","URL":"http://www.tandfonline.com/doi/full/10.1080/14620316.2003.11511633","volume":"78","author":[{"family":"Mulholland","given":"B. J."},{"family":"Edmondson","given":"R. N."},{"family":"Fussell","given":"M."},{"family":"Basham","given":"J."},{"family":"Ho","given":"L. C."}],"accessed":{"date-parts":[["2025",4,1]]},"issued":{"date-parts":[["2003",1]]}},"label":"page"},{"id":840,"uris":["http://zotero.org/users/12642312/items/5BXZC3QR"],"itemData":{"id":840,"type":"article-journal","container-title":"Cultivos Tropicales","ISSN":"0258-5936","note":"publisher: Ediciones INCA","page":"77-95","source":"SciELO","title":"Aspectos relacionados con el estrés de calor en tomate (Solanum lycopersicum L.)","URL":"http://scielo.sld.cu/scielo.php?script=sci_abstract&amp;pid=S0258-59362015000500008&amp;lng=es&amp;nrm=iso&amp;tlng=en","volume":"36","author":[{"family":"Florido","given":"Marilyn"},{"family":"Álvarez","given":"Marta"}],"accessed":{"date-parts":[["2025",3,25]]},"issued":{"date-parts":[["2015"]]}},"label":"page"},{"id":1065,"uris":["http://zotero.org/users/12642312/items/53LYQDN8"],"itemData":{"id":1065,"type":"article-journal","abstract":"Heat stress has been defined as the rise of temperature for a period of time higher than a threshold level, thereby permanently affecting the plant growth and development. Day or night temperature is considered as the major limiting factor for plant growth. Earlier studies reported that night temperature is an important factor in the heat reaction of the plants. Tomato cultivars capable of setting viable fruits under night temperatures above 21 °C are considered as heat-tolerant cultivars. The development of breeding objectives is generally summarized in four points: (a) cultivars with higher yield, (b) disease resistant varieties in the 1970s, (c) long shelf-life in 1980s, and (d) nutritive and taste quality during 1990s. Some unique varieties like the dwarf “Micro-Tom”, and the first transgenic tomato (FlavrSavr) were developed through breeding; they were distributed late in the 1980s. High temperature significantly affects seed, pollen viability and root expansion. Researchers have employed different parameters to evaluate the tolerance to heat stress, including membrane thermo stability, floral characteristics (Stigma exertion and antheridia cone splitting), flower number, and fruit yield per plant. Reports on pollen viability and fruit set/plant under heat stress by comparing the pollen growth and tube development in heat-treated and non-heat-stressed conditions are available in literature. The electrical conductivity (EC) have been used to evaluate the tolerance of some tomato cultivars in vitro under heat stress conditions as an indication of cell damage due to electrolyte leakage; they classified the cultivars into three groups: (a) heat tolerant, (b) moderately heat tolerant, and (c) heat sensitive. It is important to determine the range in genetic diversity for heat tolerance in tomatoes. Heat stress experiments under field conditions offer breeders information to identify the potentially heat tolerant germplasm.","container-title":"Saudi Journal of Biological Sciences","DOI":"10.1016/j.sjbs.2020.11.088","ISSN":"1319-562X","issue":"3","journalAbbreviation":"Saudi Journal of Biological Sciences","page":"1654-1663","source":"ScienceDirect","title":"An overview of heat stress in tomato (&lt;i&gt;Solanum lycopersicum&lt;/i&gt; L.)","URL":"https://www.sciencedirect.com/science/article/pii/S1319562X20306550","volume":"28","author":[{"family":"Alsamir","given":"Muhammed"},{"family":"Mahmood","given":"Tariq"},{"family":"Trethowan","given":"Richard"},{"family":"Ahmad","given":"Nabil"}],"accessed":{"date-parts":[["2025",4,1]]},"issued":{"date-parts":[["2021",3,1]]}},"label":"page"}],"schema":"https://github.com/citation-style-language/schema/raw/master/csl-citation.json"} </w:instrText>
      </w:r>
      <w:r>
        <w:rPr>
          <w:rFonts w:ascii="Arial" w:hAnsi="Arial" w:cs="Arial"/>
          <w:sz w:val="24"/>
          <w:szCs w:val="24"/>
          <w:lang w:val="es-ES"/>
        </w:rPr>
        <w:fldChar w:fldCharType="separate"/>
      </w:r>
      <w:r w:rsidRPr="00E609BC">
        <w:rPr>
          <w:rFonts w:ascii="Arial" w:hAnsi="Arial" w:cs="Arial"/>
          <w:sz w:val="24"/>
          <w:szCs w:val="24"/>
          <w:lang w:val="es-ES"/>
        </w:rPr>
        <w:t xml:space="preserve">(Mulholland </w:t>
      </w:r>
      <w:r w:rsidRPr="00E609BC">
        <w:rPr>
          <w:rFonts w:ascii="Arial" w:hAnsi="Arial" w:cs="Arial"/>
          <w:i/>
          <w:iCs/>
          <w:sz w:val="24"/>
          <w:szCs w:val="24"/>
          <w:lang w:val="es-ES"/>
        </w:rPr>
        <w:t>et al</w:t>
      </w:r>
      <w:r w:rsidRPr="00E609BC">
        <w:rPr>
          <w:rFonts w:ascii="Arial" w:hAnsi="Arial" w:cs="Arial"/>
          <w:sz w:val="24"/>
          <w:szCs w:val="24"/>
          <w:lang w:val="es-ES"/>
        </w:rPr>
        <w:t xml:space="preserve">., 2003; Florido &amp; Álvarez, 2015; </w:t>
      </w:r>
      <w:r w:rsidRPr="00E609BC">
        <w:rPr>
          <w:rFonts w:ascii="Arial" w:hAnsi="Arial" w:cs="Arial"/>
          <w:sz w:val="24"/>
          <w:szCs w:val="24"/>
          <w:lang w:val="es-ES"/>
        </w:rPr>
        <w:lastRenderedPageBreak/>
        <w:t xml:space="preserve">Alsamir </w:t>
      </w:r>
      <w:r w:rsidRPr="00E609BC">
        <w:rPr>
          <w:rFonts w:ascii="Arial" w:hAnsi="Arial" w:cs="Arial"/>
          <w:i/>
          <w:iCs/>
          <w:sz w:val="24"/>
          <w:szCs w:val="24"/>
          <w:lang w:val="es-ES"/>
        </w:rPr>
        <w:t>et al</w:t>
      </w:r>
      <w:r w:rsidRPr="00E609BC">
        <w:rPr>
          <w:rFonts w:ascii="Arial" w:hAnsi="Arial" w:cs="Arial"/>
          <w:sz w:val="24"/>
          <w:szCs w:val="24"/>
          <w:lang w:val="es-ES"/>
        </w:rPr>
        <w:t>., 2021)</w:t>
      </w:r>
      <w:r>
        <w:rPr>
          <w:rFonts w:ascii="Arial" w:hAnsi="Arial" w:cs="Arial"/>
          <w:sz w:val="24"/>
          <w:szCs w:val="24"/>
          <w:lang w:val="es-ES"/>
        </w:rPr>
        <w:fldChar w:fldCharType="end"/>
      </w:r>
      <w:r w:rsidR="007D49D9">
        <w:rPr>
          <w:rFonts w:ascii="Arial" w:hAnsi="Arial" w:cs="Arial"/>
          <w:sz w:val="24"/>
          <w:szCs w:val="24"/>
          <w:lang w:val="es-ES"/>
        </w:rPr>
        <w:t>. E</w:t>
      </w:r>
      <w:r w:rsidR="00AF39FC">
        <w:rPr>
          <w:rFonts w:ascii="Arial" w:hAnsi="Arial" w:cs="Arial"/>
          <w:sz w:val="24"/>
          <w:szCs w:val="24"/>
          <w:lang w:val="es-ES"/>
        </w:rPr>
        <w:t>sto trae como consecuencia alteraciones</w:t>
      </w:r>
      <w:r w:rsidR="007D49D9">
        <w:rPr>
          <w:rFonts w:ascii="Arial" w:hAnsi="Arial" w:cs="Arial"/>
          <w:sz w:val="24"/>
          <w:szCs w:val="24"/>
          <w:lang w:val="es-ES"/>
        </w:rPr>
        <w:t xml:space="preserve"> estigmáticas</w:t>
      </w:r>
      <w:r w:rsidR="00507DEA">
        <w:rPr>
          <w:rFonts w:ascii="Arial" w:hAnsi="Arial" w:cs="Arial"/>
          <w:sz w:val="24"/>
          <w:szCs w:val="24"/>
          <w:lang w:val="es-ES"/>
        </w:rPr>
        <w:t>,</w:t>
      </w:r>
      <w:r w:rsidR="007D49D9">
        <w:rPr>
          <w:rFonts w:ascii="Arial" w:hAnsi="Arial" w:cs="Arial"/>
          <w:sz w:val="24"/>
          <w:szCs w:val="24"/>
          <w:lang w:val="es-ES"/>
        </w:rPr>
        <w:t xml:space="preserve"> abortos florales, desarrollo anormal de las flores, lo que afecta la polinización y dificultan el cuajado de los frutos y, por consiguiente, disminuye la producción, de ahí que éste constituya uno de los factores más importantes que inciden en la baja producción de tomate en ambientes tropicales </w:t>
      </w:r>
      <w:r w:rsidR="007D49D9">
        <w:rPr>
          <w:rFonts w:ascii="Arial" w:hAnsi="Arial" w:cs="Arial"/>
          <w:sz w:val="24"/>
          <w:szCs w:val="24"/>
          <w:lang w:val="es-ES"/>
        </w:rPr>
        <w:fldChar w:fldCharType="begin"/>
      </w:r>
      <w:r w:rsidR="007D7548">
        <w:rPr>
          <w:rFonts w:ascii="Arial" w:hAnsi="Arial" w:cs="Arial"/>
          <w:sz w:val="24"/>
          <w:szCs w:val="24"/>
          <w:lang w:val="es-ES"/>
        </w:rPr>
        <w:instrText xml:space="preserve"> ADDIN ZOTERO_ITEM CSL_CITATION {"citationID":"eZzNS42C","properties":{"custom":"(Foolad, 2007; Amuji {\\i{}et al}., 2020; Alsamir {\\i{}et al}., 2021)","unsorted":true,"formattedCitation":"(Foolad, 2007; Amuji {\\i{}et al}., 2020; Alsamir {\\i{}et al}., 2021)","plainCitation":"(Foolad, 2007; Amuji et al., 2020; Alsamir et al., 2021)","noteIndex":0},"citationItems":[{"id":829,"uris":["http://zotero.org/users/12642312/items/L2WK2Q45"],"itemData":{"id":829,"type":"article-journal","abstract":"The cultivated tomato, Lycopersicon esculentum, is the second most consumed vegetable worldwide and a well-studied crop species in terms of genetics, genomics, and breeding. It is one of the earliest crop plants for which a genetic linkage map was constructed, and currently there are several molecular maps based on crosses between the cultivated and various wild species of tomato. The high-density molecular map, developed based on an L. esculentum×L. pennellii cross, includes more than 2200 markers with an average marker distance of less than 1 cM and an average of 750 kbp per cM. Different types of molecular markers such as RFLPs, AFLPs, SSRs, CAPS, RGAs, ESTs, and COSs have been developed and mapped onto the 12 tomato chromosomes. Markers have been used extensively for identification and mapping of genes and QTLs for many biologically and agriculturally important traits and occasionally for germplasm screening, fingerprinting, and marker-assisted breeding. The utility of MAS in tomato breeding has been restricted largely due to limited marker polymorphism within the cultivated species and economical reasons. Also, when used, MAS has been employed mainly for improving simply-inherited traits and not much for improving complex traits. The latter has been due to unavailability of reliable PCR-based markers and problems with linkage drag. Efforts are being made to develop high-throughput markers with greater resolution, including SNPs. The expanding tomato EST database, which currently includes </w:instrText>
      </w:r>
      <w:r w:rsidR="007D7548">
        <w:rPr>
          <w:rFonts w:ascii="Cambria Math" w:hAnsi="Cambria Math" w:cs="Cambria Math"/>
          <w:sz w:val="24"/>
          <w:szCs w:val="24"/>
          <w:lang w:val="es-ES"/>
        </w:rPr>
        <w:instrText>∼</w:instrText>
      </w:r>
      <w:r w:rsidR="007D7548">
        <w:rPr>
          <w:rFonts w:ascii="Arial" w:hAnsi="Arial" w:cs="Arial"/>
          <w:sz w:val="24"/>
          <w:szCs w:val="24"/>
          <w:lang w:val="es-ES"/>
        </w:rPr>
        <w:instrText xml:space="preserve">214 000 sequences, the new microarray DNA chips, and the ongoing sequencing project are expected to aid development of more practical markers. Several BAC libraries have been developed that facilitate map-based cloning of genes and QTLs. Sequencing of the euchromatic portions of the tomato genome is paving the way for comparative and functional analysis of important genes and QTLs.","container-title":"International Journal of Plant Genomics","DOI":"10.1155/2007/64358","ISSN":"1687-5389","issue":"1","language":"en","license":"Derechos de Autor . 2007 Majid R. Foolad.","note":"_eprint: https://onlinelibrary.wiley.com/doi/pdf/10.1155/2007/64358","page":"064358","source":"Wiley Online Library","title":"Genome Mapping and Molecular Breeding of Tomato","URL":"https://onlinelibrary.wiley.com/doi/abs/10.1155/2007/64358","volume":"2007","author":[{"family":"Foolad","given":"Majid R."}],"accessed":{"date-parts":[["2025",3,25]]},"issued":{"date-parts":[["2007"]]}},"label":"page"},{"id":1148,"uris":["http://zotero.org/users/12642312/items/6AGAG9I5"],"itemData":{"id":1148,"type":"article-journal","abstract":"Food security is a major issue in West Africa. As a consequence of climate change, increases in temperature and shifts in precipitation will have major ramifications for which crops can be grown in the region. Here we conducted an experiment to evaluate the impacts of short-term projected heat and water stress on three tomato varieties (Solanum lycopersicum): Oregon Spring, Roma VF, and Tropic. The plants were initially cultivated in the glasshouse programmed at 28/20°C day/night cycle. The treatments investigated were: control (CT); heat stress (Ht); water stress (Ws) and Heat + together with water stress (HtWs). For heatwave treatments, a 35/23°C day/night gradually taken up in a cycle was imposed. The water stress conditions were by decreasing the soil water field capacity by 50%. Leaf gas exchange and plant production parameters were measured. Our result indicated that all varieties suffered from significant declines in yield as consequence of the stresses. The heatwave treatment proved more detrimental on the tomato fruit yield than the water stress, except when these two treatments occurred in sequential cycles. The results of this study suggest that heatwaves and water stress, projected to occur more frequently due to climate change, may adversely impact the growth and yield of these three tomato varieties. Also, there was an unexpected fruit yield performance comparison among varieties tested in this experiment.","container-title":"Advances in Horticultural Science","ISSN":"0394-6169","issue":"2","note":"publisher: [Dipartimento Di Scienze Delle Produzioni Vegetali, Del Suolo E Dell'Ambiente Agroforestale – DiPSA – University of Florence, Firenze University Press]","page":"147-156","source":"JSTOR","title":"Simulating the impact of projected West African heatwaves and water stress on the physiology and yield of three tomato varieties","URL":"https://www.jstor.org/stable/26996779","volume":"34","author":[{"family":"Amuji","given":"C.F."},{"family":"Beaumont","given":"L.J."},{"family":"Rodriguez","given":"M.E."}],"accessed":{"date-parts":[["2025",4,1]]},"issued":{"date-parts":[["2020"]]}},"label":"page"},{"id":1065,"uris":["http://zotero.org/users/12642312/items/53LYQDN8"],"itemData":{"id":1065,"type":"article-journal","abstract":"Heat stress has been defined as the rise of temperature for a period of time higher than a threshold level, thereby permanently affecting the plant growth and development. Day or night temperature is considered as the major limiting factor for plant growth. Earlier studies reported that night temperature is an important factor in the heat reaction of the plants. Tomato cultivars capable of setting viable fruits under night temperatures above 21 °C are considered as heat-tolerant cultivars. The development of breeding objectives is generally summarized in four points: (a) cultivars with higher yield, (b) disease resistant varieties in the 1970s, (c) long shelf-life in 1980s, and (d) nutritive and taste quality during 1990s. Some unique varieties like the dwarf “Micro-Tom”, and the first transgenic tomato (FlavrSavr) were developed through breeding; they were distributed late in the 1980s. High temperature significantly affects seed, pollen viability and root expansion. Researchers have employed different parameters to evaluate the tolerance to heat stress, including membrane thermo stability, floral characteristics (Stigma exertion and antheridia cone splitting), flower number, and fruit yield per plant. Reports on pollen viability and fruit set/plant under heat stress by comparing the pollen growth and tube development in heat-treated and non-heat-stressed conditions are available in literature. The electrical conductivity (EC) have been used to evaluate the tolerance of some tomato cultivars in vitro under heat stress conditions as an indication of cell damage due to electrolyte leakage; they classified the cultivars into three groups: (a) heat tolerant, (b) moderately heat tolerant, and (c) heat sensitive. It is important to determine the range in genetic diversity for heat tolerance in tomatoes. Heat stress experiments under field conditions offer breeders information to identify the potentially heat tolerant germplasm.","container-title":"Saudi Journal of Biological Sciences","DOI":"10.1016/j.sjbs.2020.11.088","ISSN":"1319-562X","issue":"3","journalAbbreviation":"Saudi Journal of Biological Sciences","page":"1654-1663","source":"ScienceDirect","title":"An overview of heat stress in tomato (&lt;i&gt;Solanum lycopersicum&lt;/i&gt; L.)","URL":"https://www.sciencedirect.com/science/article/pii/S1319562X20306550","volume":"28","author":[{"family":"Alsamir","given":"Muhammed"},{"family":"Mahmood","given":"Tariq"},{"family":"Trethowan","given":"Richard"},{"family":"Ahmad","given":"Nabil"}],"accessed":{"date-parts":[["2025",4,1]]},"issued":{"date-parts":[["2021",3,1]]}},"label":"page"}],"schema":"https://github.com/citation-style-language/schema/raw/master/csl-citation.json"} </w:instrText>
      </w:r>
      <w:r w:rsidR="007D49D9">
        <w:rPr>
          <w:rFonts w:ascii="Arial" w:hAnsi="Arial" w:cs="Arial"/>
          <w:sz w:val="24"/>
          <w:szCs w:val="24"/>
          <w:lang w:val="es-ES"/>
        </w:rPr>
        <w:fldChar w:fldCharType="separate"/>
      </w:r>
      <w:r w:rsidR="007D7548" w:rsidRPr="001A5A06">
        <w:rPr>
          <w:rFonts w:ascii="Arial" w:hAnsi="Arial" w:cs="Arial"/>
          <w:sz w:val="24"/>
          <w:szCs w:val="24"/>
          <w:lang w:val="es-ES"/>
        </w:rPr>
        <w:t xml:space="preserve">(Foolad, 2007; Amuji </w:t>
      </w:r>
      <w:r w:rsidR="007D7548" w:rsidRPr="001A5A06">
        <w:rPr>
          <w:rFonts w:ascii="Arial" w:hAnsi="Arial" w:cs="Arial"/>
          <w:i/>
          <w:iCs/>
          <w:sz w:val="24"/>
          <w:szCs w:val="24"/>
          <w:lang w:val="es-ES"/>
        </w:rPr>
        <w:t>et al</w:t>
      </w:r>
      <w:r w:rsidR="007D7548" w:rsidRPr="001A5A06">
        <w:rPr>
          <w:rFonts w:ascii="Arial" w:hAnsi="Arial" w:cs="Arial"/>
          <w:sz w:val="24"/>
          <w:szCs w:val="24"/>
          <w:lang w:val="es-ES"/>
        </w:rPr>
        <w:t xml:space="preserve">., 2020; Alsamir </w:t>
      </w:r>
      <w:r w:rsidR="007D7548" w:rsidRPr="001A5A06">
        <w:rPr>
          <w:rFonts w:ascii="Arial" w:hAnsi="Arial" w:cs="Arial"/>
          <w:i/>
          <w:iCs/>
          <w:sz w:val="24"/>
          <w:szCs w:val="24"/>
          <w:lang w:val="es-ES"/>
        </w:rPr>
        <w:t>et al</w:t>
      </w:r>
      <w:r w:rsidR="007D7548" w:rsidRPr="001A5A06">
        <w:rPr>
          <w:rFonts w:ascii="Arial" w:hAnsi="Arial" w:cs="Arial"/>
          <w:sz w:val="24"/>
          <w:szCs w:val="24"/>
          <w:lang w:val="es-ES"/>
        </w:rPr>
        <w:t>., 2021)</w:t>
      </w:r>
      <w:r w:rsidR="007D49D9">
        <w:rPr>
          <w:rFonts w:ascii="Arial" w:hAnsi="Arial" w:cs="Arial"/>
          <w:sz w:val="24"/>
          <w:szCs w:val="24"/>
          <w:lang w:val="es-ES"/>
        </w:rPr>
        <w:fldChar w:fldCharType="end"/>
      </w:r>
      <w:r w:rsidR="007D49D9">
        <w:rPr>
          <w:rFonts w:ascii="Arial" w:hAnsi="Arial" w:cs="Arial"/>
          <w:sz w:val="24"/>
          <w:szCs w:val="24"/>
          <w:lang w:val="es-ES"/>
        </w:rPr>
        <w:t xml:space="preserve">. Este aspecto se intensifica con cambios en las relaciones entre temperaturas diarias y nocturnas </w:t>
      </w:r>
      <w:r w:rsidR="007D49D9">
        <w:rPr>
          <w:rFonts w:ascii="Arial" w:hAnsi="Arial" w:cs="Arial"/>
          <w:sz w:val="24"/>
          <w:szCs w:val="24"/>
          <w:lang w:val="es-ES"/>
        </w:rPr>
        <w:fldChar w:fldCharType="begin"/>
      </w:r>
      <w:r w:rsidR="001A5A06">
        <w:rPr>
          <w:rFonts w:ascii="Arial" w:hAnsi="Arial" w:cs="Arial"/>
          <w:sz w:val="24"/>
          <w:szCs w:val="24"/>
          <w:lang w:val="es-ES"/>
        </w:rPr>
        <w:instrText xml:space="preserve"> ADDIN ZOTERO_ITEM CSL_CITATION {"citationID":"ipNX1m9m","properties":{"custom":"(Florido &amp; \\uc0\\u193{}lvarez, 2015; Alsamir {\\i{}et al}., 2021)","unsorted":true,"formattedCitation":"(Florido &amp; \\uc0\\u193{}lvarez, 2015; Alsamir {\\i{}et al}., 2021)","plainCitation":"(Florido &amp; Álvarez, 2015; Alsamir et al., 2021)","noteIndex":0},"citationItems":[{"id":840,"uris":["http://zotero.org/users/12642312/items/5BXZC3QR"],"itemData":{"id":840,"type":"article-journal","container-title":"Cultivos Tropicales","ISSN":"0258-5936","note":"publisher: Ediciones INCA","page":"77-95","source":"SciELO","title":"Aspectos relacionados con el estrés de calor en tomate (Solanum lycopersicum L.)","URL":"http://scielo.sld.cu/scielo.php?script=sci_abstract&amp;pid=S0258-59362015000500008&amp;lng=es&amp;nrm=iso&amp;tlng=en","volume":"36","author":[{"family":"Florido","given":"Marilyn"},{"family":"Álvarez","given":"Marta"}],"accessed":{"date-parts":[["2025",3,25]]},"issued":{"date-parts":[["2015"]]}},"label":"page"},{"id":1065,"uris":["http://zotero.org/users/12642312/items/53LYQDN8"],"itemData":{"id":1065,"type":"article-journal","abstract":"Heat stress has been defined as the rise of temperature for a period of time higher than a threshold level, thereby permanently affecting the plant growth and development. Day or night temperature is considered as the major limiting factor for plant growth. Earlier studies reported that night temperature is an important factor in the heat reaction of the plants. Tomato cultivars capable of setting viable fruits under night temperatures above 21 °C are considered as heat-tolerant cultivars. The development of breeding objectives is generally summarized in four points: (a) cultivars with higher yield, (b) disease resistant varieties in the 1970s, (c) long shelf-life in 1980s, and (d) nutritive and taste quality during 1990s. Some unique varieties like the dwarf “Micro-Tom”, and the first transgenic tomato (FlavrSavr) were developed through breeding; they were distributed late in the 1980s. High temperature significantly affects seed, pollen viability and root expansion. Researchers have employed different parameters to evaluate the tolerance to heat stress, including membrane thermo stability, floral characteristics (Stigma exertion and antheridia cone splitting), flower number, and fruit yield per plant. Reports on pollen viability and fruit set/plant under heat stress by comparing the pollen growth and tube development in heat-treated and non-heat-stressed conditions are available in literature. The electrical conductivity (EC) have been used to evaluate the tolerance of some tomato cultivars in vitro under heat stress conditions as an indication of cell damage due to electrolyte leakage; they classified the cultivars into three groups: (a) heat tolerant, (b) moderately heat tolerant, and (c) heat sensitive. It is important to determine the range in genetic diversity for heat tolerance in tomatoes. Heat stress experiments under field conditions offer breeders information to identify the potentially heat tolerant germplasm.","container-title":"Saudi Journal of Biological Sciences","DOI":"10.1016/j.sjbs.2020.11.088","ISSN":"1319-562X","issue":"3","journalAbbreviation":"Saudi Journal of Biological Sciences","page":"1654-1663","source":"ScienceDirect","title":"An overview of heat stress in tomato (&lt;i&gt;Solanum lycopersicum&lt;/i&gt; L.)","URL":"https://www.sciencedirect.com/science/article/pii/S1319562X20306550","volume":"28","author":[{"family":"Alsamir","given":"Muhammed"},{"family":"Mahmood","given":"Tariq"},{"family":"Trethowan","given":"Richard"},{"family":"Ahmad","given":"Nabil"}],"accessed":{"date-parts":[["2025",4,1]]},"issued":{"date-parts":[["2021",3,1]]}},"label":"page"}],"schema":"https://github.com/citation-style-language/schema/raw/master/csl-citation.json"} </w:instrText>
      </w:r>
      <w:r w:rsidR="007D49D9">
        <w:rPr>
          <w:rFonts w:ascii="Arial" w:hAnsi="Arial" w:cs="Arial"/>
          <w:sz w:val="24"/>
          <w:szCs w:val="24"/>
          <w:lang w:val="es-ES"/>
        </w:rPr>
        <w:fldChar w:fldCharType="separate"/>
      </w:r>
      <w:r w:rsidR="001A5A06" w:rsidRPr="00D85433">
        <w:rPr>
          <w:rFonts w:ascii="Arial" w:hAnsi="Arial" w:cs="Arial"/>
          <w:sz w:val="24"/>
          <w:szCs w:val="24"/>
          <w:lang w:val="es-ES"/>
        </w:rPr>
        <w:t xml:space="preserve">(Florido &amp; Álvarez, 2015; Alsamir </w:t>
      </w:r>
      <w:r w:rsidR="001A5A06" w:rsidRPr="00D85433">
        <w:rPr>
          <w:rFonts w:ascii="Arial" w:hAnsi="Arial" w:cs="Arial"/>
          <w:i/>
          <w:iCs/>
          <w:sz w:val="24"/>
          <w:szCs w:val="24"/>
          <w:lang w:val="es-ES"/>
        </w:rPr>
        <w:t>et al</w:t>
      </w:r>
      <w:r w:rsidR="001A5A06" w:rsidRPr="00D85433">
        <w:rPr>
          <w:rFonts w:ascii="Arial" w:hAnsi="Arial" w:cs="Arial"/>
          <w:sz w:val="24"/>
          <w:szCs w:val="24"/>
          <w:lang w:val="es-ES"/>
        </w:rPr>
        <w:t>., 2021)</w:t>
      </w:r>
      <w:r w:rsidR="007D49D9">
        <w:rPr>
          <w:rFonts w:ascii="Arial" w:hAnsi="Arial" w:cs="Arial"/>
          <w:sz w:val="24"/>
          <w:szCs w:val="24"/>
          <w:lang w:val="es-ES"/>
        </w:rPr>
        <w:fldChar w:fldCharType="end"/>
      </w:r>
      <w:r w:rsidR="007D49D9">
        <w:rPr>
          <w:rFonts w:ascii="Arial" w:hAnsi="Arial" w:cs="Arial"/>
          <w:sz w:val="24"/>
          <w:szCs w:val="24"/>
          <w:lang w:val="es-ES"/>
        </w:rPr>
        <w:t>. A temperaturas superiores a 35</w:t>
      </w:r>
      <w:r w:rsidR="007019AF">
        <w:rPr>
          <w:rFonts w:ascii="Arial" w:hAnsi="Arial" w:cs="Arial"/>
          <w:sz w:val="24"/>
          <w:szCs w:val="24"/>
          <w:lang w:val="es-ES"/>
        </w:rPr>
        <w:t xml:space="preserve"> </w:t>
      </w:r>
      <w:r w:rsidR="007D49D9">
        <w:rPr>
          <w:rFonts w:ascii="Arial" w:hAnsi="Arial" w:cs="Arial"/>
          <w:sz w:val="24"/>
          <w:szCs w:val="24"/>
          <w:lang w:val="es-ES"/>
        </w:rPr>
        <w:t xml:space="preserve">°C, disminuye el peso de los frutos por planta y el número de semillas por fruto. También la maduración es más desigual y los frutos más blandos. Esto provoca una mayor cantidad de frutos desechados, una vida </w:t>
      </w:r>
      <w:proofErr w:type="spellStart"/>
      <w:r w:rsidR="007D49D9">
        <w:rPr>
          <w:rFonts w:ascii="Arial" w:hAnsi="Arial" w:cs="Arial"/>
          <w:sz w:val="24"/>
          <w:szCs w:val="24"/>
          <w:lang w:val="es-ES"/>
        </w:rPr>
        <w:t>postcosecha</w:t>
      </w:r>
      <w:proofErr w:type="spellEnd"/>
      <w:r w:rsidR="007D49D9">
        <w:rPr>
          <w:rFonts w:ascii="Arial" w:hAnsi="Arial" w:cs="Arial"/>
          <w:sz w:val="24"/>
          <w:szCs w:val="24"/>
          <w:lang w:val="es-ES"/>
        </w:rPr>
        <w:t xml:space="preserve"> más corta, cambios en el sabor y dificultades para transportar los frutos al mercado </w:t>
      </w:r>
      <w:r w:rsidR="007D49D9">
        <w:rPr>
          <w:rFonts w:ascii="Arial" w:hAnsi="Arial" w:cs="Arial"/>
          <w:sz w:val="24"/>
          <w:szCs w:val="24"/>
          <w:lang w:val="es-ES"/>
        </w:rPr>
        <w:fldChar w:fldCharType="begin"/>
      </w:r>
      <w:r w:rsidR="00D85433">
        <w:rPr>
          <w:rFonts w:ascii="Arial" w:hAnsi="Arial" w:cs="Arial"/>
          <w:sz w:val="24"/>
          <w:szCs w:val="24"/>
          <w:lang w:val="es-ES"/>
        </w:rPr>
        <w:instrText xml:space="preserve"> ADDIN ZOTERO_ITEM CSL_CITATION {"citationID":"kTf5iJZQ","properties":{"custom":"(Mulholland {\\i{}et al}., 2003; Alsamir {\\i{}et al}., 2021)","unsorted":true,"formattedCitation":"(Mulholland {\\i{}et al}., 2003; Alsamir {\\i{}et al}., 2021)","plainCitation":"(Mulholland et al., 2003; Alsamir et al., 2021)","noteIndex":0},"citationItems":[{"id":1064,"uris":["http://zotero.org/users/12642312/items/3M4YSVII"],"itemData":{"id":1064,"type":"article-journal","container-title":"The Journal of Horticultural Science and Biotechnology","DOI":"10.1080/14620316.2003.11511633","ISSN":"1462-0316, 2380-4084","issue":"3","journalAbbreviation":"The Journal of Horticultural Science and Biotechnology","language":"en","page":"365-374","source":"DOI.org (Crossref)","title":"Effects of high temperature on tomato summer fruit quality","URL":"http://www.tandfonline.com/doi/full/10.1080/14620316.2003.11511633","volume":"78","author":[{"family":"Mulholland","given":"B. J."},{"family":"Edmondson","given":"R. N."},{"family":"Fussell","given":"M."},{"family":"Basham","given":"J."},{"family":"Ho","given":"L. C."}],"accessed":{"date-parts":[["2025",4,1]]},"issued":{"date-parts":[["2003",1]]}},"label":"page"},{"id":1065,"uris":["http://zotero.org/users/12642312/items/53LYQDN8"],"itemData":{"id":1065,"type":"article-journal","abstract":"Heat stress has been defined as the rise of temperature for a period of time higher than a threshold level, thereby permanently affecting the plant growth and development. Day or night temperature is considered as the major limiting factor for plant growth. Earlier studies reported that night temperature is an important factor in the heat reaction of the plants. Tomato cultivars capable of setting viable fruits under night temperatures above 21 °C are considered as heat-tolerant cultivars. The development of breeding objectives is generally summarized in four points: (a) cultivars with higher yield, (b) disease resistant varieties in the 1970s, (c) long shelf-life in 1980s, and (d) nutritive and taste quality during 1990s. Some unique varieties like the dwarf “Micro-Tom”, and the first transgenic tomato (FlavrSavr) were developed through breeding; they were distributed late in the 1980s. High temperature significantly affects seed, pollen viability and root expansion. Researchers have employed different parameters to evaluate the tolerance to heat stress, including membrane thermo stability, floral characteristics (Stigma exertion and antheridia cone splitting), flower number, and fruit yield per plant. Reports on pollen viability and fruit set/plant under heat stress by comparing the pollen growth and tube development in heat-treated and non-heat-stressed conditions are available in literature. The electrical conductivity (EC) have been used to evaluate the tolerance of some tomato cultivars in vitro under heat stress conditions as an indication of cell damage due to electrolyte leakage; they classified the cultivars into three groups: (a) heat tolerant, (b) moderately heat tolerant, and (c) heat sensitive. It is important to determine the range in genetic diversity for heat tolerance in tomatoes. Heat stress experiments under field conditions offer breeders information to identify the potentially heat tolerant germplasm.","container-title":"Saudi Journal of Biological Sciences","DOI":"10.1016/j.sjbs.2020.11.088","ISSN":"1319-562X","issue":"3","journalAbbreviation":"Saudi Journal of Biological Sciences","page":"1654-1663","source":"ScienceDirect","title":"An overview of heat stress in tomato (&lt;i&gt;Solanum lycopersicum&lt;/i&gt; L.)","URL":"https://www.sciencedirect.com/science/article/pii/S1319562X20306550","volume":"28","author":[{"family":"Alsamir","given":"Muhammed"},{"family":"Mahmood","given":"Tariq"},{"family":"Trethowan","given":"Richard"},{"family":"Ahmad","given":"Nabil"}],"accessed":{"date-parts":[["2025",4,1]]},"issued":{"date-parts":[["2021",3,1]]}},"label":"page"}],"schema":"https://github.com/citation-style-language/schema/raw/master/csl-citation.json"} </w:instrText>
      </w:r>
      <w:r w:rsidR="007D49D9">
        <w:rPr>
          <w:rFonts w:ascii="Arial" w:hAnsi="Arial" w:cs="Arial"/>
          <w:sz w:val="24"/>
          <w:szCs w:val="24"/>
          <w:lang w:val="es-ES"/>
        </w:rPr>
        <w:fldChar w:fldCharType="separate"/>
      </w:r>
      <w:r w:rsidR="00D85433" w:rsidRPr="007A5005">
        <w:rPr>
          <w:rFonts w:ascii="Arial" w:hAnsi="Arial" w:cs="Arial"/>
          <w:sz w:val="24"/>
          <w:szCs w:val="24"/>
          <w:lang w:val="es-ES"/>
        </w:rPr>
        <w:t xml:space="preserve">(Mulholland </w:t>
      </w:r>
      <w:r w:rsidR="00D85433" w:rsidRPr="007A5005">
        <w:rPr>
          <w:rFonts w:ascii="Arial" w:hAnsi="Arial" w:cs="Arial"/>
          <w:i/>
          <w:iCs/>
          <w:sz w:val="24"/>
          <w:szCs w:val="24"/>
          <w:lang w:val="es-ES"/>
        </w:rPr>
        <w:t>et al</w:t>
      </w:r>
      <w:r w:rsidR="00D85433" w:rsidRPr="007A5005">
        <w:rPr>
          <w:rFonts w:ascii="Arial" w:hAnsi="Arial" w:cs="Arial"/>
          <w:sz w:val="24"/>
          <w:szCs w:val="24"/>
          <w:lang w:val="es-ES"/>
        </w:rPr>
        <w:t xml:space="preserve">., 2003; Alsamir </w:t>
      </w:r>
      <w:r w:rsidR="00D85433" w:rsidRPr="007A5005">
        <w:rPr>
          <w:rFonts w:ascii="Arial" w:hAnsi="Arial" w:cs="Arial"/>
          <w:i/>
          <w:iCs/>
          <w:sz w:val="24"/>
          <w:szCs w:val="24"/>
          <w:lang w:val="es-ES"/>
        </w:rPr>
        <w:t>et al</w:t>
      </w:r>
      <w:r w:rsidR="00D85433" w:rsidRPr="007A5005">
        <w:rPr>
          <w:rFonts w:ascii="Arial" w:hAnsi="Arial" w:cs="Arial"/>
          <w:sz w:val="24"/>
          <w:szCs w:val="24"/>
          <w:lang w:val="es-ES"/>
        </w:rPr>
        <w:t>., 2021)</w:t>
      </w:r>
      <w:r w:rsidR="007D49D9">
        <w:rPr>
          <w:rFonts w:ascii="Arial" w:hAnsi="Arial" w:cs="Arial"/>
          <w:sz w:val="24"/>
          <w:szCs w:val="24"/>
          <w:lang w:val="es-ES"/>
        </w:rPr>
        <w:fldChar w:fldCharType="end"/>
      </w:r>
      <w:r w:rsidR="007D49D9">
        <w:rPr>
          <w:rFonts w:ascii="Arial" w:hAnsi="Arial" w:cs="Arial"/>
          <w:sz w:val="24"/>
          <w:szCs w:val="24"/>
          <w:lang w:val="es-ES"/>
        </w:rPr>
        <w:t>.</w:t>
      </w:r>
    </w:p>
    <w:p w14:paraId="46ED717F" w14:textId="06407325" w:rsidR="008403BD" w:rsidRDefault="007D49D9">
      <w:pPr>
        <w:spacing w:before="120" w:after="0" w:line="360" w:lineRule="auto"/>
        <w:jc w:val="both"/>
        <w:rPr>
          <w:rFonts w:ascii="Arial" w:eastAsia="Calibri" w:hAnsi="Arial" w:cs="Arial"/>
          <w:sz w:val="24"/>
          <w:szCs w:val="24"/>
          <w:lang w:val="es-ES"/>
        </w:rPr>
      </w:pPr>
      <w:r>
        <w:rPr>
          <w:rFonts w:ascii="Arial" w:eastAsia="Calibri" w:hAnsi="Arial" w:cs="Arial"/>
          <w:sz w:val="24"/>
          <w:szCs w:val="24"/>
          <w:lang w:val="es-ES"/>
        </w:rPr>
        <w:t xml:space="preserve">Las variaciones en las condiciones climáticas, son consecuencias en lo fundamental del efecto del cambio climático, al producir incrementos de las temperaturas y cambios en los regímenes de precipitaciones, lo cual, en el caso particular de Cuba, resulta muy importante que se implementen estrategias y se usen herramientas que faciliten la adaptación de la agricultura a los cambios que ya ocurren y experimentará el clima en el futuro </w:t>
      </w:r>
      <w:r>
        <w:rPr>
          <w:rFonts w:ascii="Arial" w:eastAsia="Calibri" w:hAnsi="Arial" w:cs="Arial"/>
          <w:sz w:val="24"/>
          <w:szCs w:val="24"/>
          <w:lang w:val="es-ES"/>
        </w:rPr>
        <w:fldChar w:fldCharType="begin"/>
      </w:r>
      <w:r>
        <w:rPr>
          <w:rFonts w:ascii="Arial" w:eastAsia="Calibri" w:hAnsi="Arial" w:cs="Arial"/>
          <w:sz w:val="24"/>
          <w:szCs w:val="24"/>
          <w:lang w:val="es-ES"/>
        </w:rPr>
        <w:instrText xml:space="preserve"> ADDIN ZOTERO_ITEM CSL_CITATION {"citationID":"heu8jlcy","properties":{"custom":"(Castillo {\\i{}et al}., 2021)","formattedCitation":"(Castillo {\\i{}et al}., 2021)","plainCitation":"(Castillo et al., 2021)","noteIndex":0},"citationItems":[{"id":1154,"uris":["http://zotero.org/users/12642312/items/P994MFU3"],"itemData":{"id":1154,"type":"article-journal","abstract":"&lt;p&gt;While ambitious carbon reduction policies are needed to avoid dangerous levels of climate change, the costs of these policies can be balanced by wide ranging health benefits for local communities. Cities, responsible for ~70% of the world's greenhouse gas (GHG) emissions and home to a growing majority of the world's population, offer enormous opportunities for both climate action and health improvement. We aim to review the current state of knowledge on key pathways leading from carbon mitigation to human health benefits, and to evaluate our current ability to quantify health benefits for cities around the world. For example, because GHGs and air pollutants are both released during fuel combustion, reducing fuel burning can reduce both GHGs and air pollutants, leading to direct health benefits. Air quality improvements may be particularly important for city-scale climate action planning because the benefits occur locally and relatively immediately, compared with the global and long-term (typically, decades to centuries) benefits for the climate system. In addition to improved air quality, actions that promote active transport in cities via improved cycling and pedestrian infrastructure can reap large cardiovascular health benefits via increased physical activity. Exposure to green space has been associated with beneficial health outcomes in a growing number of epidemiological studies and meta-analyses conducted around the world. Finally, noise is an underappreciated environmental risk factor in cities which can be addressed through actions to reduce motor vehicle traffic and other noise sources. All of these environmental health pathways are supported by well-conducted epidemiological studies in multiple locales, providing quantitative exposure–response data that can be used as inputs to health impact assessments (HIAs). However, most epidemiologic evidence derives from studies in high-income countries. It is unclear to what extent such evidence is directly transferable for policies in low- and middle-income countries (LMICs). This gap calls for a future focus on building the evidence based in LMIC cities. Finally, the literature suggests that policies are likely to be most effective when they are developed by multidisciplinary teams that include policy makers, researchers, and representatives from affected communities.&lt;/p&gt;","container-title":"Frontiers in Sustainable Cities","DOI":"10.3389/frsc.2021.768227","ISSN":"2624-9634","journalAbbreviation":"Front. Sustain. Cities","language":"English","note":"publisher: Frontiers","source":"Frontiers","title":"Quantifying the Health Benefits of Urban Climate Mitigation Actions: Current State of the Epidemiological Evidence and Application in Health Impact Assessments","title-short":"Quantifying the Health Benefits of Urban Climate Mitigation Actions","URL":"https://www.frontiersin.org/journals/sustainable-cities/articles/10.3389/frsc.2021.768227/full","volume":"3","author":[{"family":"Castillo","given":"Maria D."},{"family":"Anenberg","given":"Susan C."},{"family":"Chafe","given":"Zoe A."},{"family":"Huxley","given":"Rachel"},{"family":"Johnson","given":"Lauren S."},{"family":"Kheirbek","given":"Iyad"},{"family":"Malik","given":"Maha"},{"family":"Marshall","given":"Julian D."},{"family":"Naidoo","given":"Seneca"},{"family":"Nelson","given":"Margaret L."},{"family":"Pendleton","given":"Nicholas V."},{"family":"Sun","given":"Yuantong"},{"family":"Broek d'Obrenan","given":"Honorine","non-dropping-particle":"van den"},{"family":"Kinney","given":"Patrick L."}],"accessed":{"date-parts":[["2025",4,1]]},"issued":{"date-parts":[["2021",11,15]]}}}],"schema":"https://github.com/citation-style-language/schema/raw/master/csl-citation.json"} </w:instrText>
      </w:r>
      <w:r>
        <w:rPr>
          <w:rFonts w:ascii="Arial" w:eastAsia="Calibri" w:hAnsi="Arial" w:cs="Arial"/>
          <w:sz w:val="24"/>
          <w:szCs w:val="24"/>
          <w:lang w:val="es-ES"/>
        </w:rPr>
        <w:fldChar w:fldCharType="separate"/>
      </w:r>
      <w:r>
        <w:rPr>
          <w:rFonts w:ascii="Arial" w:hAnsi="Arial" w:cs="Arial"/>
          <w:sz w:val="24"/>
          <w:szCs w:val="24"/>
          <w:lang w:val="es-ES"/>
        </w:rPr>
        <w:t xml:space="preserve">(Castillo </w:t>
      </w:r>
      <w:r>
        <w:rPr>
          <w:rFonts w:ascii="Arial" w:hAnsi="Arial" w:cs="Arial"/>
          <w:i/>
          <w:iCs/>
          <w:sz w:val="24"/>
          <w:szCs w:val="24"/>
          <w:lang w:val="es-ES"/>
        </w:rPr>
        <w:t>et al</w:t>
      </w:r>
      <w:r>
        <w:rPr>
          <w:rFonts w:ascii="Arial" w:hAnsi="Arial" w:cs="Arial"/>
          <w:sz w:val="24"/>
          <w:szCs w:val="24"/>
          <w:lang w:val="es-ES"/>
        </w:rPr>
        <w:t>., 2021)</w:t>
      </w:r>
      <w:r>
        <w:rPr>
          <w:rFonts w:ascii="Arial" w:eastAsia="Calibri" w:hAnsi="Arial" w:cs="Arial"/>
          <w:sz w:val="24"/>
          <w:szCs w:val="24"/>
          <w:lang w:val="es-ES"/>
        </w:rPr>
        <w:fldChar w:fldCharType="end"/>
      </w:r>
      <w:r>
        <w:rPr>
          <w:rFonts w:ascii="Arial" w:eastAsia="Calibri" w:hAnsi="Arial" w:cs="Arial"/>
          <w:sz w:val="24"/>
          <w:szCs w:val="24"/>
          <w:lang w:val="es-ES"/>
        </w:rPr>
        <w:t xml:space="preserve">. En particular, las temperaturas lejos del rango adecuado para el cultivo, pueden afectar negativamente la fotosíntesis, la fertilidad de las flores y polen, la estabilidad de las membranas y otros aspectos del metabolismo </w:t>
      </w:r>
      <w:r>
        <w:rPr>
          <w:rFonts w:ascii="Arial" w:eastAsia="Calibri" w:hAnsi="Arial" w:cs="Arial"/>
          <w:sz w:val="24"/>
          <w:szCs w:val="24"/>
          <w:lang w:val="es-ES"/>
        </w:rPr>
        <w:fldChar w:fldCharType="begin"/>
      </w:r>
      <w:r w:rsidR="004B2428">
        <w:rPr>
          <w:rFonts w:ascii="Arial" w:eastAsia="Calibri" w:hAnsi="Arial" w:cs="Arial"/>
          <w:sz w:val="24"/>
          <w:szCs w:val="24"/>
          <w:lang w:val="es-ES"/>
        </w:rPr>
        <w:instrText xml:space="preserve"> ADDIN ZOTERO_ITEM CSL_CITATION {"citationID":"ofhyajIV","properties":{"custom":"(Florido &amp; \\uc0\\u193{}lvarez, 2015; Castillo {\\i{}et al}., 2021; Hoshikawa {\\i{}et al}., 2021; Javansalehi &amp; Shourian, 2024)","unsorted":true,"formattedCitation":"(Florido &amp; \\uc0\\u193{}lvarez, 2015; Castillo {\\i{}et al}., 2021; Hoshikawa {\\i{}et al}., 2021; Javansalehi &amp; Shourian, 2024)","plainCitation":"(Florido &amp; Álvarez, 2015; Castillo et al., 2021; Hoshikawa et al., 2021; Javansalehi &amp; Shourian, 2024)","noteIndex":0},"citationItems":[{"id":840,"uris":["http://zotero.org/users/12642312/items/5BXZC3QR"],"itemData":{"id":840,"type":"article-journal","container-title":"Cultivos Tropicales","ISSN":"0258-5936","note":"publisher: Ediciones INCA","page":"77-95","source":"SciELO","title":"Aspectos relacionados con el estrés de calor en tomate (Solanum lycopersicum L.)","URL":"http://scielo.sld.cu/scielo.php?script=sci_abstract&amp;pid=S0258-59362015000500008&amp;lng=es&amp;nrm=iso&amp;tlng=en","volume":"36","author":[{"family":"Florido","given":"Marilyn"},{"family":"Álvarez","given":"Marta"}],"accessed":{"date-parts":[["2025",3,25]]},"issued":{"date-parts":[["2015"]]}},"label":"page"},{"id":1154,"uris":["http://zotero.org/users/12642312/items/P994MFU3"],"itemData":{"id":1154,"type":"article-journal","abstract":"&lt;p&gt;While ambitious carbon reduction policies are needed to avoid dangerous levels of climate change, the costs of these policies can be balanced by wide ranging health benefits for local communities. Cities, responsible for ~70% of the world's greenhouse gas (GHG) emissions and home to a growing majority of the world's population, offer enormous opportunities for both climate action and health improvement. We aim to review the current state of knowledge on key pathways leading from carbon mitigation to human health benefits, and to evaluate our current ability to quantify health benefits for cities around the world. For example, because GHGs and air pollutants are both released during fuel combustion, reducing fuel burning can reduce both GHGs and air pollutants, leading to direct health benefits. Air quality improvements may be particularly important for city-scale climate action planning because the benefits occur locally and relatively immediately, compared with the global and long-term (typically, decades to centuries) benefits for the climate system. In addition to improved air quality, actions that promote active transport in cities via improved cycling and pedestrian infrastructure can reap large cardiovascular health benefits via increased physical activity. Exposure to green space has been associated with beneficial health outcomes in a growing number of epidemiological studies and meta-analyses conducted around the world. Finally, noise is an underappreciated environmental risk factor in cities which can be addressed through actions to reduce motor vehicle traffic and other noise sources. All of these environmental health pathways are supported by well-conducted epidemiological studies in multiple locales, providing quantitative exposure–response data that can be used as inputs to health impact assessments (HIAs). However, most epidemiologic evidence derives from studies in high-income countries. It is unclear to what extent such evidence is directly transferable for policies in low- and middle-income countries (LMICs). This gap calls for a future focus on building the evidence based in LMIC cities. Finally, the literature suggests that policies are likely to be most effective when they are developed by multidisciplinary teams that include policy makers, researchers, and representatives from affected communities.&lt;/p&gt;","container-title":"Frontiers in Sustainable Cities","DOI":"10.3389/frsc.2021.768227","ISSN":"2624-9634","journalAbbreviation":"Front. Sustain. Cities","language":"English","note":"publisher: Frontiers","source":"Frontiers","title":"Quantifying the Health Benefits of Urban Climate Mitigation Actions: Current State of the Epidemiological Evidence and Application in Health Impact Assessments","title-short":"Quantifying the Health Benefits of Urban Climate Mitigation Actions","URL":"https://www.frontiersin.org/journals/sustainable-cities/articles/10.3389/frsc.2021.768227/full","volume":"3","author":[{"family":"Castillo","given":"Maria D."},{"family":"Anenberg","given":"Susan C."},{"family":"Chafe","given":"Zoe A."},{"family":"Huxley","given":"Rachel"},{"family":"Johnson","given":"Lauren S."},{"family":"Kheirbek","given":"Iyad"},{"family":"Malik","given":"Maha"},{"family":"Marshall","given":"Julian D."},{"family":"Naidoo","given":"Seneca"},{"family":"Nelson","given":"Margaret L."},{"family":"Pendleton","given":"Nicholas V."},{"family":"Sun","given":"Yuantong"},{"family":"Broek d'Obrenan","given":"Honorine","non-dropping-particle":"van den"},{"family":"Kinney","given":"Patrick L."}],"accessed":{"date-parts":[["2025",4,1]]},"issued":{"date-parts":[["2021",11,15]]}},"label":"page"},{"id":1125,"uris":["http://zotero.org/users/12642312/items/D9BYETA7"],"itemData":{"id":1125,"type":"article-journal","abstract":"&lt;p&gt;Climate change is a major threat to global food security. Changes in climate can directly impact food systems by reducing the production and genetic diversity of crops and their wild relatives, thereby restricting future options for breeding improved varieties and reducing the ability to adapt crops to future challenges. The global surface temperature is predicted to rise by an average of 0.3°C during the next decade, and the Paris Agreement (Paris Climate Accords) aims to limit global warming to below an average of 2°C, preferably to 1.5°C compared to pre-industrial levels. Even if the goal of the Paris Agreement can be met, the predicted rise in temperatures will increase the likelihood of extreme weather events, including heatwaves, making heat stress (HS) a major global abiotic stress factor for many crops. HS can have adverse effects on plant morphology, physiology, and biochemistry during all stages of vegetative and reproductive development. In fruiting vegetables, even moderate HS reduces fruit set and yields, and high temperatures may result in poor fruit quality. In this review, we emphasize the effects of abiotic stress, especially at high temperatures, on crop plants, such as tomatoes, touching upon key processes determining plant growth and yield. Specifically, we investigated the molecular mechanisms involved in HS tolerance and the challenges of developing heat-tolerant tomato varieties. Finally, we discuss a strategy for effectively improving the heat tolerance of vegetable crops.&lt;/p&gt;","container-title":"Frontiers in Plant Science","DOI":"10.3389/fpls.2021.786688","ISSN":"1664-462X","journalAbbreviation":"Front. Plant Sci.","language":"English","note":"publisher: Frontiers","source":"Frontiers","title":"Genetic and Molecular Mechanisms Conferring Heat Stress Tolerance in Tomato Plants","URL":"https://www.frontiersin.org/journals/plant-science/articles/10.3389/fpls.2021.786688/full","volume":"12","author":[{"family":"Hoshikawa","given":"Ken"},{"family":"Pham","given":"Dung"},{"family":"Ezura","given":"Hiroshi"},{"family":"Schafleitner","given":"Roland"},{"family":"Nakashima","given":"Kazuo"}],"accessed":{"date-parts":[["2025",4,1]]},"issued":{"date-parts":[["2021",12,24]]}},"label":"page"},{"id":1156,"uris":["http://zotero.org/users/12642312/items/TA5X358K"],"itemData":{"id":1156,"type":"article-journal","abstract":"Understanding the intricate relationship between farmers’ water usage and its hydrological effects is crucial for developing adaptable water policies. However, conducting such an analysis proves challenging due to the lack of appropriate modeling tools that comprehensively integrate water policies, water utilization, and hydrological processes. To address this challenge, this study introduces an innovative socio-hydrological framework to investigate the interplay between farmer actions and water resources. This framework integrates an agent-based model, which is based on the Value-Belief-Norm (VBN) theory, linked with a distributed hydrological model (SWAT-MODFLOW) to capture farmer behaviors. The modeling framework is applied to the Mahabad River Basin to assess water use and hydrological impacts. To assess the framework's ability, Nash–Sutcliffe (NS) efficiency and the coefficient of determination (R2) are computed for simulating runoff, while Mean Absolute Residual Error (MAE) and Root Mean Square Error (RMSE) are computed for simulating groundwater head. Results demonstrate the acceptable performance of the proposed model, with NS = 0.61, R2 = 0.69, MAE = 1.16, and RMSE = 1.92. Moreover, this study integrates climate change data from the 6th IPCC report to evaluate the model's responsiveness to altering climate conditions. Findings suggest that farmers facing economic challenges tend to opt for high-profit crops to ameliorate their financial situation. So, without policy changes, climate change will reduce crop yield, farmer income, and water storage. Furthermore, the study evaluates enhancing irrigation efficiency and groundwater extraction restrictions to mitigate climate change effects. Enhancing irrigation efficiency annually conserves 38.39 MCM, boosts crop yields by 6 %, elevates farmer incomes, and encourages a shift toward low-water-consuming crops, contributing to regional groundwater sustainability. Overall, the results of this study can enhance our comprehension of the impact of human activities on hydrological cycles, offering valuable insights for water managers.","container-title":"Agricultural Water Management","DOI":"10.1016/j.agwat.2024.108919","ISSN":"0378-3774","journalAbbreviation":"Agricultural Water Management","page":"108919","source":"ScienceDirect","title":"Assessing the impacts of climate change on agriculture and water systems via coupled human-hydrological modeling","URL":"https://www.sciencedirect.com/science/article/pii/S0378377424002543","volume":"300","author":[{"family":"Javansalehi","given":"Maryam"},{"family":"Shourian","given":"Mojtaba"}],"accessed":{"date-parts":[["2025",4,1]]},"issued":{"date-parts":[["2024",7,1]]}},"label":"page"}],"schema":"https://github.com/citation-style-language/schema/raw/master/csl-citation.json"} </w:instrText>
      </w:r>
      <w:r>
        <w:rPr>
          <w:rFonts w:ascii="Arial" w:eastAsia="Calibri" w:hAnsi="Arial" w:cs="Arial"/>
          <w:sz w:val="24"/>
          <w:szCs w:val="24"/>
          <w:lang w:val="es-ES"/>
        </w:rPr>
        <w:fldChar w:fldCharType="separate"/>
      </w:r>
      <w:r w:rsidR="004B2428" w:rsidRPr="004B2428">
        <w:rPr>
          <w:rFonts w:ascii="Arial" w:hAnsi="Arial" w:cs="Arial"/>
          <w:sz w:val="24"/>
          <w:szCs w:val="24"/>
          <w:lang w:val="es-ES"/>
        </w:rPr>
        <w:t xml:space="preserve">(Florido &amp; Álvarez, 2015; Castillo </w:t>
      </w:r>
      <w:r w:rsidR="004B2428" w:rsidRPr="004B2428">
        <w:rPr>
          <w:rFonts w:ascii="Arial" w:hAnsi="Arial" w:cs="Arial"/>
          <w:i/>
          <w:iCs/>
          <w:sz w:val="24"/>
          <w:szCs w:val="24"/>
          <w:lang w:val="es-ES"/>
        </w:rPr>
        <w:t>et al</w:t>
      </w:r>
      <w:r w:rsidR="004B2428" w:rsidRPr="004B2428">
        <w:rPr>
          <w:rFonts w:ascii="Arial" w:hAnsi="Arial" w:cs="Arial"/>
          <w:sz w:val="24"/>
          <w:szCs w:val="24"/>
          <w:lang w:val="es-ES"/>
        </w:rPr>
        <w:t xml:space="preserve">., 2021; Hoshikawa </w:t>
      </w:r>
      <w:r w:rsidR="004B2428" w:rsidRPr="004B2428">
        <w:rPr>
          <w:rFonts w:ascii="Arial" w:hAnsi="Arial" w:cs="Arial"/>
          <w:i/>
          <w:iCs/>
          <w:sz w:val="24"/>
          <w:szCs w:val="24"/>
          <w:lang w:val="es-ES"/>
        </w:rPr>
        <w:t>et al</w:t>
      </w:r>
      <w:r w:rsidR="004B2428" w:rsidRPr="004B2428">
        <w:rPr>
          <w:rFonts w:ascii="Arial" w:hAnsi="Arial" w:cs="Arial"/>
          <w:sz w:val="24"/>
          <w:szCs w:val="24"/>
          <w:lang w:val="es-ES"/>
        </w:rPr>
        <w:t>., 2021; Javansalehi &amp; Shourian, 2024)</w:t>
      </w:r>
      <w:r>
        <w:rPr>
          <w:rFonts w:ascii="Arial" w:eastAsia="Calibri" w:hAnsi="Arial" w:cs="Arial"/>
          <w:sz w:val="24"/>
          <w:szCs w:val="24"/>
          <w:lang w:val="es-ES"/>
        </w:rPr>
        <w:fldChar w:fldCharType="end"/>
      </w:r>
      <w:r>
        <w:rPr>
          <w:rFonts w:ascii="Arial" w:eastAsia="Calibri" w:hAnsi="Arial" w:cs="Arial"/>
          <w:sz w:val="24"/>
          <w:szCs w:val="24"/>
          <w:lang w:val="es-ES"/>
        </w:rPr>
        <w:t>.</w:t>
      </w:r>
    </w:p>
    <w:p w14:paraId="1E27FFC3" w14:textId="2A5D6F64"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Para calibrar el modelo CROPGRO-Tomato incluido en el paquete DSSAT v 4.8.2 </w:t>
      </w:r>
      <w:r>
        <w:rPr>
          <w:rFonts w:ascii="Arial" w:hAnsi="Arial" w:cs="Arial"/>
          <w:sz w:val="24"/>
          <w:szCs w:val="24"/>
          <w:lang w:val="es-ES"/>
        </w:rPr>
        <w:fldChar w:fldCharType="begin"/>
      </w:r>
      <w:r w:rsidR="00EB246E">
        <w:rPr>
          <w:rFonts w:ascii="Arial" w:hAnsi="Arial" w:cs="Arial"/>
          <w:sz w:val="24"/>
          <w:szCs w:val="24"/>
          <w:lang w:val="es-ES"/>
        </w:rPr>
        <w:instrText xml:space="preserve"> ADDIN ZOTERO_ITEM CSL_CITATION {"citationID":"cGI0oQ2K","properties":{"custom":"(Hoogenboom {\\i{}et al}., 2023)","formattedCitation":"(Hoogenboom {\\i{}et al}., 2023)","plainCitation":"(Hoogenboom et al., 2023)","noteIndex":0},"citationItems":[{"id":1091,"uris":["http://zotero.org/users/12642312/items/GD6H5K4H"],"itemData":{"id":1091,"type":"webpage","abstract":"Official Home of the DSSAT Cropping Systems Model","container-title":"DSSAT.net","title":"DSSAT.net - Official Home of the DSSAT Cropping Systems Model","URL":"https://dssat.net/","author":[{"family":"Hoogenboom","given":"G"},{"family":"Porter","given":"C.H."},{"family":"Sheila","given":"V."},{"family":"Boote","given":"K.J."},{"family":"Singh","given":"U."},{"family":"Pavan","given":"W."},{"family":"Oliveira","given":"F.A.A."},{"family":"Jones","given":"J.W"}],"accessed":{"date-parts":[["2025",4,1]]},"issued":{"date-parts":[["2023"]]}}}],"schema":"https://github.com/citation-style-language/schema/raw/master/csl-citation.json"} </w:instrText>
      </w:r>
      <w:r>
        <w:rPr>
          <w:rFonts w:ascii="Arial" w:hAnsi="Arial" w:cs="Arial"/>
          <w:sz w:val="24"/>
          <w:szCs w:val="24"/>
          <w:lang w:val="es-ES"/>
        </w:rPr>
        <w:fldChar w:fldCharType="separate"/>
      </w:r>
      <w:r w:rsidR="00EB246E" w:rsidRPr="00EB246E">
        <w:rPr>
          <w:rFonts w:ascii="Arial" w:hAnsi="Arial" w:cs="Arial"/>
          <w:sz w:val="24"/>
          <w:szCs w:val="24"/>
          <w:lang w:val="es-ES"/>
        </w:rPr>
        <w:t xml:space="preserve">(Hoogenboom </w:t>
      </w:r>
      <w:r w:rsidR="00EB246E" w:rsidRPr="00EB246E">
        <w:rPr>
          <w:rFonts w:ascii="Arial" w:hAnsi="Arial" w:cs="Arial"/>
          <w:i/>
          <w:iCs/>
          <w:sz w:val="24"/>
          <w:szCs w:val="24"/>
          <w:lang w:val="es-ES"/>
        </w:rPr>
        <w:t>et al</w:t>
      </w:r>
      <w:r w:rsidR="00EB246E" w:rsidRPr="00EB246E">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 xml:space="preserve"> se probaron diferentes valores de los parámetros conservativos en la simulación de diferentes periodos, tomando como referencia la modificación de ajustes propuesta por </w:t>
      </w:r>
      <w:r>
        <w:rPr>
          <w:rFonts w:ascii="Arial" w:hAnsi="Arial" w:cs="Arial"/>
          <w:sz w:val="24"/>
          <w:szCs w:val="24"/>
          <w:lang w:val="es-ES"/>
        </w:rPr>
        <w:fldChar w:fldCharType="begin"/>
      </w:r>
      <w:r w:rsidR="00F967A5">
        <w:rPr>
          <w:rFonts w:ascii="Arial" w:hAnsi="Arial" w:cs="Arial"/>
          <w:sz w:val="24"/>
          <w:szCs w:val="24"/>
          <w:lang w:val="es-ES"/>
        </w:rPr>
        <w:instrText xml:space="preserve"> ADDIN ZOTERO_ITEM CSL_CITATION {"citationID":"5BjaX7OQ","properties":{"custom":"Chen {\\i{}et al}., (2025)","formattedCitation":"Chen {\\i{}et al}., (2025)","plainCitation":"Chen et al., (2025)","noteIndex":0},"citationItems":[{"id":1163,"uris":["http://zotero.org/users/12642312/items/AQACI5A9"],"itemData":{"id":1163,"type":"article-journal","abstract":"In order to explore the applicability of the peanut growth simulation model CSM-CROPGRO-Peanut under conditions of mulched drip irrigation in Xinjiang, and to determine the optimal scenario for parameter estimation and model validation, field experiments were conducted in 2022 and 2023 on the water and nitrogen regulation of peanut. Based on the water requirements during the stages of peanut growth, three irrigation levels (low, medium, and high) and two nitrogen application levels (100% N and 50% N) were set, resulting in six treatments. An additional control treatment (CK) with a medium irrigation level and no nitrogen application was also included. In this study, four different parameter estimation and validation protocols were designed, and different parameter estimation results were obtained using the DSSAT-GLUE parameter estimation module. The results showed that the FL-SH (time between first flower and first pod), FL-SD (time between first flower and first seed), SIZLF (time between first flower and first seed), XFRT (maximum size of full leaf), and WTPSD (maximum weight per seed) parameters exhibited strong variability, with coefficients of variation of 24.33%, 22.9%, 19.78%, 14.47%, and 23.82%, respectively, and were significantly affected by environment–management interactions. Other parameters showed weaker variability, with coefficients of variation that were all less than 10%. The model outputs varied significantly among different parameter estimation protocols. Scenario 3, which used data from the adequate irrigation and adequate fertilization treatment (W3N2) environment across both years for parameter estimation and data from other treatments for validation, showed the highest model calibration and validation accuracy. The average absolute relative error (ARE) and normalized root mean square error (nRMSE) for model calibration and validation were the lowest at 9.1% and 10.1%, respectively. The CSM-CROPGRO-Peanut model effectively simulated peanut growth and development as well as soil moisture dynamics under mulched drip irrigation conditions in Xinjiang, with the highest simulation accuracy observed under full irrigation conditions. The findings provide a basis for using the CSMCROPGRO-Peanut model to develop suitable irrigation and nitrogen application regimes for peanuts under mulched drip irrigation in Xinjiang.","container-title":"Plants","DOI":"10.3390/plants14040614","ISSN":"2223-7747","issue":"4","journalAbbreviation":"Plants","language":"en","license":"https://creativecommons.org/licenses/by/4.0/","page":"614","source":"DOI.org (Crossref)","title":"Calibration and Validation of the CSM-CROPGRO-Peanut Model Under Mulched Drip Irrigation Conditions in Xinjiang","URL":"https://www.mdpi.com/2223-7747/14/4/614","volume":"14","author":[{"family":"Chen","given":"Junwei"},{"family":"Li","given":"Qiang"},{"family":"Zhang","given":"Xiaopei"},{"family":"Dong","given":"Jianshu"},{"family":"Hou","given":"Xianfei"},{"family":"Miao","given":"Haocui"},{"family":"Li","given":"Haiming"},{"family":"Zhang","given":"Yuchao"},{"family":"Shen","given":"Xiaojun"},{"family":"Si","given":"Zhuanyun"},{"family":"Shan","given":"Zhijie"}],"accessed":{"date-parts":[["2025",4,1]]},"issued":{"date-parts":[["2025",2,18]]}}}],"schema":"https://github.com/citation-style-language/schema/raw/master/csl-citation.json"} </w:instrText>
      </w:r>
      <w:r>
        <w:rPr>
          <w:rFonts w:ascii="Arial" w:hAnsi="Arial" w:cs="Arial"/>
          <w:sz w:val="24"/>
          <w:szCs w:val="24"/>
          <w:lang w:val="es-ES"/>
        </w:rPr>
        <w:fldChar w:fldCharType="separate"/>
      </w:r>
      <w:proofErr w:type="spellStart"/>
      <w:r w:rsidR="00F967A5" w:rsidRPr="006C2949">
        <w:rPr>
          <w:rFonts w:ascii="Arial" w:hAnsi="Arial" w:cs="Arial"/>
          <w:sz w:val="24"/>
          <w:szCs w:val="24"/>
          <w:lang w:val="es-ES"/>
        </w:rPr>
        <w:t>Chen</w:t>
      </w:r>
      <w:proofErr w:type="spellEnd"/>
      <w:r w:rsidR="00F967A5" w:rsidRPr="006C2949">
        <w:rPr>
          <w:rFonts w:ascii="Arial" w:hAnsi="Arial" w:cs="Arial"/>
          <w:sz w:val="24"/>
          <w:szCs w:val="24"/>
          <w:lang w:val="es-ES"/>
        </w:rPr>
        <w:t xml:space="preserve"> </w:t>
      </w:r>
      <w:r w:rsidR="00F967A5" w:rsidRPr="006C2949">
        <w:rPr>
          <w:rFonts w:ascii="Arial" w:hAnsi="Arial" w:cs="Arial"/>
          <w:i/>
          <w:iCs/>
          <w:sz w:val="24"/>
          <w:szCs w:val="24"/>
          <w:lang w:val="es-ES"/>
        </w:rPr>
        <w:t>et al</w:t>
      </w:r>
      <w:r w:rsidR="00F967A5" w:rsidRPr="006C2949">
        <w:rPr>
          <w:rFonts w:ascii="Arial" w:hAnsi="Arial" w:cs="Arial"/>
          <w:sz w:val="24"/>
          <w:szCs w:val="24"/>
          <w:lang w:val="es-ES"/>
        </w:rPr>
        <w:t>., (2025)</w:t>
      </w:r>
      <w:r>
        <w:rPr>
          <w:rFonts w:ascii="Arial" w:hAnsi="Arial" w:cs="Arial"/>
          <w:sz w:val="24"/>
          <w:szCs w:val="24"/>
          <w:lang w:val="es-ES"/>
        </w:rPr>
        <w:fldChar w:fldCharType="end"/>
      </w:r>
      <w:r>
        <w:rPr>
          <w:rFonts w:ascii="Arial" w:hAnsi="Arial" w:cs="Arial"/>
          <w:sz w:val="24"/>
          <w:szCs w:val="24"/>
          <w:lang w:val="es-ES"/>
        </w:rPr>
        <w:t xml:space="preserve">. Para ello se ajustaron repetidamente los parámetros después de realizada la simulación con los datos medidos en los dos periodos en estudio. Mediante prueba y error se consiguió llegar a un conjunto de parámetros útiles para los tres periodos de siembra, y se verificó que en cada periodo de siembra se obtuviera una simulación cercana a los valores </w:t>
      </w:r>
      <w:r>
        <w:rPr>
          <w:rFonts w:ascii="Arial" w:hAnsi="Arial" w:cs="Arial"/>
          <w:sz w:val="24"/>
          <w:szCs w:val="24"/>
          <w:lang w:val="es-ES"/>
        </w:rPr>
        <w:lastRenderedPageBreak/>
        <w:t>medidos, logrando conjuntamente calibrar y validar el modelo en el área experimental del Instituto Nacional de Ciencias Agrícolas.</w:t>
      </w:r>
    </w:p>
    <w:p w14:paraId="7F8BA185" w14:textId="503F8F92"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El rango de variación de los coeficientes genéticos probados, así como los empleados en la calibración del cultivar de tomate Elbita, en el modelo CROPGRO-Tomato de la plataforma DSSAT para describir la duración de las fases de desarrollo de este cultivar se muestran en la tabla 5. La calibración se realizó mediante la modificación de los coeficientes genéticos del archivo *.CUL, con la finalidad de reducir la diferencia de datos observados y simulados del cultivar Elbita y de esa forma minimizar la raíz cuadrada del </w:t>
      </w:r>
      <w:r w:rsidR="00EE4C01">
        <w:rPr>
          <w:rFonts w:ascii="Arial" w:hAnsi="Arial" w:cs="Arial"/>
          <w:sz w:val="24"/>
          <w:szCs w:val="24"/>
          <w:lang w:val="es-ES"/>
        </w:rPr>
        <w:t xml:space="preserve">RMSE </w:t>
      </w:r>
      <w:r>
        <w:rPr>
          <w:rFonts w:ascii="Arial" w:hAnsi="Arial" w:cs="Arial"/>
          <w:sz w:val="24"/>
          <w:szCs w:val="24"/>
          <w:lang w:val="es-ES"/>
        </w:rPr>
        <w:t xml:space="preserve">y acercar el índice de concordancia d de </w:t>
      </w:r>
      <w:proofErr w:type="spellStart"/>
      <w:r w:rsidR="00F409C0">
        <w:rPr>
          <w:rFonts w:ascii="Arial" w:hAnsi="Arial" w:cs="Arial"/>
          <w:sz w:val="24"/>
          <w:szCs w:val="24"/>
          <w:lang w:val="es-ES"/>
        </w:rPr>
        <w:t>Willmott</w:t>
      </w:r>
      <w:proofErr w:type="spellEnd"/>
      <w:r w:rsidR="00F409C0">
        <w:rPr>
          <w:rFonts w:ascii="Arial" w:hAnsi="Arial" w:cs="Arial"/>
          <w:sz w:val="24"/>
          <w:szCs w:val="24"/>
          <w:lang w:val="es-ES"/>
        </w:rPr>
        <w:t xml:space="preserve">, (1982) </w:t>
      </w:r>
      <w:r>
        <w:rPr>
          <w:rFonts w:ascii="Arial" w:hAnsi="Arial" w:cs="Arial"/>
          <w:sz w:val="24"/>
          <w:szCs w:val="24"/>
          <w:lang w:val="es-ES"/>
        </w:rPr>
        <w:t>a 1.</w:t>
      </w:r>
      <w:bookmarkStart w:id="23" w:name="_GoBack"/>
      <w:bookmarkEnd w:id="23"/>
    </w:p>
    <w:p w14:paraId="2AC068AC" w14:textId="7FF9AF9E"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Para la fase vegetativa se modificaron los caracteres EM-FL (tiempo entre la emergencia de la planta y la floración se redujo de 31 a 23 días fototermales (PTD) con respecto a la calibración del cultivar </w:t>
      </w:r>
      <w:proofErr w:type="spellStart"/>
      <w:r>
        <w:rPr>
          <w:rFonts w:ascii="Arial" w:hAnsi="Arial" w:cs="Arial"/>
          <w:sz w:val="24"/>
          <w:szCs w:val="24"/>
          <w:lang w:val="es-ES"/>
        </w:rPr>
        <w:t>Solarset</w:t>
      </w:r>
      <w:proofErr w:type="spellEnd"/>
      <w:r>
        <w:rPr>
          <w:rFonts w:ascii="Arial" w:hAnsi="Arial" w:cs="Arial"/>
          <w:sz w:val="24"/>
          <w:szCs w:val="24"/>
          <w:lang w:val="es-ES"/>
        </w:rPr>
        <w:t xml:space="preserve"> informado por </w:t>
      </w:r>
      <w:r>
        <w:rPr>
          <w:rFonts w:ascii="Arial" w:hAnsi="Arial" w:cs="Arial"/>
          <w:sz w:val="24"/>
          <w:szCs w:val="24"/>
          <w:lang w:val="es-ES"/>
        </w:rPr>
        <w:fldChar w:fldCharType="begin"/>
      </w:r>
      <w:r w:rsidR="005F4615">
        <w:rPr>
          <w:rFonts w:ascii="Arial" w:hAnsi="Arial" w:cs="Arial"/>
          <w:sz w:val="24"/>
          <w:szCs w:val="24"/>
          <w:lang w:val="es-ES"/>
        </w:rPr>
        <w:instrText xml:space="preserve"> ADDIN ZOTERO_ITEM CSL_CITATION {"citationID":"6brj3POh","properties":{"custom":"(Boote {\\i{}et al}., 2012)","formattedCitation":"(Boote {\\i{}et al}., 2012)","plainCitation":"(Boote et al., 2012)","noteIndex":0},"citationItems":[{"id":"CwEAk9Hn/WH6Y4utA","uris":["http://zotero.org/users/12642312/items/IDLXJN5U"],"itemData":{"id":703,"type":"article-journal","abstract":"Parameterizing crop models for more accurate response to climate factors such as temperature is important considering potential temperature increases associated with climate change, particularly for tomato (Lycopersicon esculentum Mill.), which is a heatsensitive crop. The objective of this work was to update the cardinal temperature parameters of the CROPGRO-Tomato model affecting the simulation of crop development, daily dry matter (DM) production, fruit set, and DM partitioning of ﬁeld-grown tomato from transplanting to harvest. The main adaptation relied on new literature values for cardinal temperature parameters that affect tomato crop phenology, fruit set, and fruit growth. The new cardinal temperature values are considered reliable because they come from recent published experiments conducted in controlled-temperature environments. Use of the new cardinal temperatures in the CROPGRO-Tomato model affected the rate of crop development compared with prior default parameters; thus, we found it necessary to recalibrate genetic coefﬁcients that affect life cycle phases and growth simulated by the model. The model was recalibrated and evaluated with 10 growth analyses data sets collected in ﬁeld experiments conducted at three locations in Florida (Bradenton, Quincy, and Gainesville) from 1991 to 2007. Use of modiﬁed parameters sufﬁciently improved model performance to provide accurate prediction of crop and fruit DM accumulation throughout the season. Overall, the average root mean square error (RMSE) over all experiments was reduced 44% for leaf area index, 71% for fruit number, and 36% for both aboveground biomass and fruit dry weight simulations with the modiﬁed parameters compared with the default. The Willmott d index was higher and was always above 0.92. The CROPGRO-Tomato model with these modiﬁed cardinal temperature parameters will predict more accurately tomato growth and yield response to temperature and thus be useful in model applications.","container-title":"HortScience","DOI":"10.21273/HORTSCI.47.8.1038","ISSN":"0018-5345, 2327-9834","issue":"8","journalAbbreviation":"horts","language":"en","page":"1038-1049","source":"DOI.org (Crossref)","title":"Improving the CROPGRO-Tomato Model for Predicting Growth and Yield Response to Temperature","URL":"https://journals.ashs.org/view/journals/hortsci/47/8/article-p1038.xml","volume":"47","author":[{"family":"Boote","given":"Kenneth J."},{"family":"Rybak","given":"Maria R."},{"family":"Scholberg","given":"Johan M.S."},{"family":"Jones","given":"James W."}],"accessed":{"date-parts":[["2025",3,12]]},"issued":{"date-parts":[["2012",8]]}}}],"schema":"https://github.com/citation-style-language/schema/raw/master/csl-citation.json"}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Boote </w:t>
      </w:r>
      <w:r>
        <w:rPr>
          <w:rFonts w:ascii="Arial" w:hAnsi="Arial" w:cs="Arial"/>
          <w:i/>
          <w:iCs/>
          <w:sz w:val="24"/>
          <w:szCs w:val="24"/>
          <w:lang w:val="es-ES"/>
        </w:rPr>
        <w:t>et al</w:t>
      </w:r>
      <w:r>
        <w:rPr>
          <w:rFonts w:ascii="Arial" w:hAnsi="Arial" w:cs="Arial"/>
          <w:sz w:val="24"/>
          <w:szCs w:val="24"/>
          <w:lang w:val="es-ES"/>
        </w:rPr>
        <w:t xml:space="preserve">., </w:t>
      </w:r>
      <w:r w:rsidR="00B1030D">
        <w:rPr>
          <w:rFonts w:ascii="Arial" w:hAnsi="Arial" w:cs="Arial"/>
          <w:sz w:val="24"/>
          <w:szCs w:val="24"/>
          <w:lang w:val="es-ES"/>
        </w:rPr>
        <w:t>(</w:t>
      </w:r>
      <w:r>
        <w:rPr>
          <w:rFonts w:ascii="Arial" w:hAnsi="Arial" w:cs="Arial"/>
          <w:sz w:val="24"/>
          <w:szCs w:val="24"/>
          <w:lang w:val="es-ES"/>
        </w:rPr>
        <w:t>2012)</w:t>
      </w:r>
      <w:r>
        <w:rPr>
          <w:rFonts w:ascii="Arial" w:hAnsi="Arial" w:cs="Arial"/>
          <w:sz w:val="24"/>
          <w:szCs w:val="24"/>
          <w:lang w:val="es-ES"/>
        </w:rPr>
        <w:fldChar w:fldCharType="end"/>
      </w:r>
      <w:r>
        <w:rPr>
          <w:rFonts w:ascii="Arial" w:hAnsi="Arial" w:cs="Arial"/>
          <w:sz w:val="24"/>
          <w:szCs w:val="24"/>
          <w:lang w:val="es-ES"/>
        </w:rPr>
        <w:t xml:space="preserve">, para alcanzar una floración y un cuajado de los frutos más tempranos. Después del inicio de la producción de frutos, el tiempo entre la primera semilla y la madurez fisiológica (SD-PM) se redujo de 47 a 45 PTD para disminuir la duración de esta fase. El coeficiente PODUR se redujo en dos PTD de 56 a 50 para mejorar la simulación del crecimiento de los frutos. Otros cambios en los coeficientes de Elbita fueron la reducción en FL-LF (tiempo entre la primera flor y el final de la expansión foliar) de 47 a 525 PTD.  </w:t>
      </w:r>
    </w:p>
    <w:p w14:paraId="327C63FB"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Los coeficientes genéticos obtenidos en este trabajo presentan algunas variaciones con respecto a los que se encuentran dentro del programa DSSAT, ya que los trabajos se realizaron en ambientes diferentes y con un nuevo cultivar (Elbita), diferentes a los de este experimento. </w:t>
      </w:r>
    </w:p>
    <w:p w14:paraId="69145153" w14:textId="2D0D29A6" w:rsidR="008403BD" w:rsidRDefault="007D49D9">
      <w:pPr>
        <w:autoSpaceDE w:val="0"/>
        <w:autoSpaceDN w:val="0"/>
        <w:adjustRightInd w:val="0"/>
        <w:spacing w:before="120" w:after="0" w:line="360" w:lineRule="auto"/>
        <w:jc w:val="both"/>
        <w:rPr>
          <w:rFonts w:ascii="Arial" w:hAnsi="Arial" w:cs="Arial"/>
          <w:b/>
          <w:sz w:val="24"/>
          <w:szCs w:val="24"/>
          <w:lang w:val="es-US"/>
        </w:rPr>
      </w:pPr>
      <w:r>
        <w:rPr>
          <w:rFonts w:ascii="Arial" w:hAnsi="Arial" w:cs="Arial"/>
          <w:sz w:val="24"/>
          <w:szCs w:val="24"/>
          <w:lang w:val="es-ES"/>
        </w:rPr>
        <w:t>Los valores simulados y medidos basados en el modelo calibrado DSSAT en los diferentes periodos de siembra, incluyendo las fases fenológicas, el número de frutos por metro cuadrado y el rendimiento en k</w:t>
      </w:r>
      <w:r w:rsidR="00AB4EFA">
        <w:rPr>
          <w:rFonts w:ascii="Arial" w:hAnsi="Arial" w:cs="Arial"/>
          <w:sz w:val="24"/>
          <w:szCs w:val="24"/>
          <w:lang w:val="es-ES"/>
        </w:rPr>
        <w:t>g</w:t>
      </w:r>
      <w:r>
        <w:rPr>
          <w:rFonts w:ascii="Arial" w:hAnsi="Arial" w:cs="Arial"/>
          <w:sz w:val="24"/>
          <w:szCs w:val="24"/>
          <w:lang w:val="es-ES"/>
        </w:rPr>
        <w:t xml:space="preserve"> ha de masa seca, </w:t>
      </w:r>
      <w:r>
        <w:rPr>
          <w:rStyle w:val="tlid-translation"/>
          <w:rFonts w:ascii="Arial" w:hAnsi="Arial" w:cs="Arial"/>
          <w:sz w:val="24"/>
          <w:szCs w:val="24"/>
          <w:lang w:val="es-ES"/>
        </w:rPr>
        <w:t xml:space="preserve">así como los indicadores de bondad de ajuste </w:t>
      </w:r>
      <w:r>
        <w:rPr>
          <w:rFonts w:ascii="Arial" w:hAnsi="Arial" w:cs="Arial"/>
          <w:sz w:val="24"/>
          <w:szCs w:val="24"/>
          <w:lang w:val="es-ES"/>
        </w:rPr>
        <w:t xml:space="preserve">se muestran en la </w:t>
      </w:r>
      <w:r w:rsidR="00650AD0">
        <w:rPr>
          <w:rFonts w:ascii="Arial" w:hAnsi="Arial" w:cs="Arial"/>
          <w:sz w:val="24"/>
          <w:szCs w:val="24"/>
          <w:lang w:val="es-ES"/>
        </w:rPr>
        <w:t>t</w:t>
      </w:r>
      <w:r>
        <w:rPr>
          <w:rFonts w:ascii="Arial" w:hAnsi="Arial" w:cs="Arial"/>
          <w:sz w:val="24"/>
          <w:szCs w:val="24"/>
          <w:lang w:val="es-ES"/>
        </w:rPr>
        <w:t>abla 6.</w:t>
      </w:r>
    </w:p>
    <w:p w14:paraId="4B80BF62" w14:textId="77777777" w:rsidR="008403BD" w:rsidRDefault="007D49D9">
      <w:pPr>
        <w:spacing w:after="160" w:line="259" w:lineRule="auto"/>
        <w:rPr>
          <w:rFonts w:ascii="Arial" w:hAnsi="Arial" w:cs="Arial"/>
          <w:b/>
          <w:sz w:val="24"/>
          <w:szCs w:val="24"/>
          <w:lang w:val="es-US"/>
        </w:rPr>
      </w:pPr>
      <w:r>
        <w:rPr>
          <w:rFonts w:ascii="Arial" w:hAnsi="Arial" w:cs="Arial"/>
          <w:b/>
          <w:sz w:val="24"/>
          <w:szCs w:val="24"/>
          <w:lang w:val="es-US"/>
        </w:rPr>
        <w:br w:type="page"/>
      </w:r>
    </w:p>
    <w:p w14:paraId="253AF176" w14:textId="77777777" w:rsidR="008403BD" w:rsidRDefault="007D49D9">
      <w:pPr>
        <w:spacing w:before="120" w:after="0" w:line="360" w:lineRule="auto"/>
        <w:jc w:val="both"/>
        <w:rPr>
          <w:rFonts w:ascii="Arial" w:hAnsi="Arial" w:cs="Arial"/>
          <w:b/>
          <w:sz w:val="24"/>
          <w:szCs w:val="24"/>
          <w:lang w:val="es-US"/>
        </w:rPr>
      </w:pPr>
      <w:r>
        <w:rPr>
          <w:rFonts w:ascii="Arial" w:hAnsi="Arial" w:cs="Arial"/>
          <w:b/>
          <w:sz w:val="24"/>
          <w:szCs w:val="24"/>
          <w:lang w:val="es-US"/>
        </w:rPr>
        <w:lastRenderedPageBreak/>
        <w:t>Tabla 5</w:t>
      </w:r>
      <w:r w:rsidR="003A0574">
        <w:rPr>
          <w:rFonts w:ascii="Arial" w:hAnsi="Arial" w:cs="Arial"/>
          <w:b/>
          <w:sz w:val="24"/>
          <w:szCs w:val="24"/>
          <w:lang w:val="es-US"/>
        </w:rPr>
        <w:t>.</w:t>
      </w:r>
      <w:r>
        <w:rPr>
          <w:rFonts w:ascii="Arial" w:hAnsi="Arial" w:cs="Arial"/>
          <w:b/>
          <w:sz w:val="24"/>
          <w:szCs w:val="24"/>
          <w:lang w:val="es-US"/>
        </w:rPr>
        <w:t xml:space="preserve"> </w:t>
      </w:r>
      <w:r w:rsidRPr="003A0574">
        <w:rPr>
          <w:rFonts w:ascii="Arial" w:hAnsi="Arial" w:cs="Arial"/>
          <w:sz w:val="24"/>
          <w:szCs w:val="24"/>
          <w:lang w:val="es-US"/>
        </w:rPr>
        <w:t xml:space="preserve">Rango y calibración de los valores de los coeficientes genéticos </w:t>
      </w:r>
      <w:r w:rsidR="003A0574">
        <w:rPr>
          <w:rFonts w:ascii="Arial" w:hAnsi="Arial" w:cs="Arial"/>
          <w:sz w:val="24"/>
          <w:szCs w:val="24"/>
          <w:lang w:val="es-US"/>
        </w:rPr>
        <w:t>en el modelo CSM-CROPGRO-Tomato</w:t>
      </w:r>
    </w:p>
    <w:tbl>
      <w:tblPr>
        <w:tblStyle w:val="Tablaconcuadrcula"/>
        <w:tblW w:w="0" w:type="auto"/>
        <w:tblInd w:w="0" w:type="dxa"/>
        <w:tblLayout w:type="fixed"/>
        <w:tblLook w:val="04A0" w:firstRow="1" w:lastRow="0" w:firstColumn="1" w:lastColumn="0" w:noHBand="0" w:noVBand="1"/>
      </w:tblPr>
      <w:tblGrid>
        <w:gridCol w:w="4198"/>
        <w:gridCol w:w="1580"/>
        <w:gridCol w:w="1276"/>
        <w:gridCol w:w="992"/>
        <w:gridCol w:w="897"/>
      </w:tblGrid>
      <w:tr w:rsidR="008403BD" w14:paraId="47D339A1" w14:textId="77777777">
        <w:tc>
          <w:tcPr>
            <w:tcW w:w="4198" w:type="dxa"/>
          </w:tcPr>
          <w:p w14:paraId="614E140E" w14:textId="77777777" w:rsidR="008403BD" w:rsidRDefault="007D49D9">
            <w:pPr>
              <w:jc w:val="both"/>
              <w:rPr>
                <w:rFonts w:ascii="Arial" w:hAnsi="Arial" w:cs="Arial"/>
                <w:b/>
                <w:sz w:val="23"/>
                <w:szCs w:val="23"/>
                <w:lang w:val="es-US"/>
              </w:rPr>
            </w:pPr>
            <w:r>
              <w:rPr>
                <w:rFonts w:ascii="Arial" w:hAnsi="Arial" w:cs="Arial"/>
                <w:b/>
                <w:sz w:val="23"/>
                <w:szCs w:val="23"/>
                <w:lang w:val="es-US"/>
              </w:rPr>
              <w:t xml:space="preserve">Coeficientes genéticos </w:t>
            </w:r>
          </w:p>
        </w:tc>
        <w:tc>
          <w:tcPr>
            <w:tcW w:w="1580" w:type="dxa"/>
          </w:tcPr>
          <w:p w14:paraId="0B645546" w14:textId="77777777" w:rsidR="008403BD" w:rsidRDefault="007D49D9">
            <w:pPr>
              <w:jc w:val="both"/>
              <w:rPr>
                <w:rFonts w:ascii="Arial" w:hAnsi="Arial" w:cs="Arial"/>
                <w:b/>
                <w:sz w:val="23"/>
                <w:szCs w:val="23"/>
                <w:lang w:val="es-US"/>
              </w:rPr>
            </w:pPr>
            <w:r>
              <w:rPr>
                <w:rFonts w:ascii="Arial" w:hAnsi="Arial" w:cs="Arial"/>
                <w:b/>
                <w:sz w:val="23"/>
                <w:szCs w:val="23"/>
                <w:lang w:val="es-US"/>
              </w:rPr>
              <w:t>Abreviatura</w:t>
            </w:r>
          </w:p>
        </w:tc>
        <w:tc>
          <w:tcPr>
            <w:tcW w:w="1276" w:type="dxa"/>
          </w:tcPr>
          <w:p w14:paraId="23281F65" w14:textId="77777777" w:rsidR="008403BD" w:rsidRDefault="007D49D9">
            <w:pPr>
              <w:jc w:val="both"/>
              <w:rPr>
                <w:rFonts w:ascii="Arial" w:hAnsi="Arial" w:cs="Arial"/>
                <w:b/>
                <w:sz w:val="23"/>
                <w:szCs w:val="23"/>
                <w:lang w:val="es-US"/>
              </w:rPr>
            </w:pPr>
            <w:proofErr w:type="spellStart"/>
            <w:r>
              <w:rPr>
                <w:rFonts w:ascii="Arial" w:hAnsi="Arial" w:cs="Arial"/>
                <w:b/>
                <w:sz w:val="23"/>
                <w:szCs w:val="23"/>
                <w:lang w:val="es-US"/>
              </w:rPr>
              <w:t>Solarset</w:t>
            </w:r>
            <w:proofErr w:type="spellEnd"/>
          </w:p>
        </w:tc>
        <w:tc>
          <w:tcPr>
            <w:tcW w:w="992" w:type="dxa"/>
          </w:tcPr>
          <w:p w14:paraId="55492BAC" w14:textId="77777777" w:rsidR="008403BD" w:rsidRDefault="007D49D9">
            <w:pPr>
              <w:jc w:val="both"/>
              <w:rPr>
                <w:rFonts w:ascii="Arial" w:hAnsi="Arial" w:cs="Arial"/>
                <w:b/>
                <w:sz w:val="23"/>
                <w:szCs w:val="23"/>
                <w:lang w:val="es-US"/>
              </w:rPr>
            </w:pPr>
            <w:r>
              <w:rPr>
                <w:rFonts w:ascii="Arial" w:hAnsi="Arial" w:cs="Arial"/>
                <w:b/>
                <w:sz w:val="23"/>
                <w:szCs w:val="23"/>
                <w:lang w:val="es-US"/>
              </w:rPr>
              <w:t>Rango</w:t>
            </w:r>
          </w:p>
        </w:tc>
        <w:tc>
          <w:tcPr>
            <w:tcW w:w="897" w:type="dxa"/>
          </w:tcPr>
          <w:p w14:paraId="731D5859" w14:textId="77777777" w:rsidR="008403BD" w:rsidRDefault="007D49D9">
            <w:pPr>
              <w:jc w:val="both"/>
              <w:rPr>
                <w:rFonts w:ascii="Arial" w:hAnsi="Arial" w:cs="Arial"/>
                <w:b/>
                <w:sz w:val="23"/>
                <w:szCs w:val="23"/>
                <w:lang w:val="es-US"/>
              </w:rPr>
            </w:pPr>
            <w:r>
              <w:rPr>
                <w:rFonts w:ascii="Arial" w:hAnsi="Arial" w:cs="Arial"/>
                <w:b/>
                <w:sz w:val="23"/>
                <w:szCs w:val="23"/>
                <w:lang w:val="es-US"/>
              </w:rPr>
              <w:t>Elbita</w:t>
            </w:r>
          </w:p>
        </w:tc>
      </w:tr>
      <w:tr w:rsidR="008403BD" w14:paraId="34D4989B" w14:textId="77777777">
        <w:tc>
          <w:tcPr>
            <w:tcW w:w="4198" w:type="dxa"/>
          </w:tcPr>
          <w:p w14:paraId="0D56B387" w14:textId="77777777" w:rsidR="008403BD" w:rsidRDefault="007D49D9">
            <w:pPr>
              <w:tabs>
                <w:tab w:val="left" w:pos="1485"/>
              </w:tabs>
              <w:jc w:val="both"/>
              <w:rPr>
                <w:rFonts w:ascii="Arial" w:hAnsi="Arial" w:cs="Arial"/>
                <w:sz w:val="23"/>
                <w:szCs w:val="23"/>
                <w:lang w:val="es-ES"/>
              </w:rPr>
            </w:pPr>
            <w:r>
              <w:rPr>
                <w:rFonts w:ascii="Arial" w:hAnsi="Arial" w:cs="Arial"/>
                <w:sz w:val="23"/>
                <w:szCs w:val="23"/>
                <w:lang w:val="es-ES"/>
              </w:rPr>
              <w:t>Tiempo entre la emergencia de la planta y la aparición de la flor (R1) (Días fototermales)</w:t>
            </w:r>
          </w:p>
        </w:tc>
        <w:tc>
          <w:tcPr>
            <w:tcW w:w="1580" w:type="dxa"/>
          </w:tcPr>
          <w:p w14:paraId="5231F3F2" w14:textId="77777777" w:rsidR="008403BD" w:rsidRDefault="007D49D9">
            <w:pPr>
              <w:tabs>
                <w:tab w:val="left" w:pos="1485"/>
              </w:tabs>
              <w:jc w:val="both"/>
              <w:rPr>
                <w:rFonts w:ascii="Arial" w:hAnsi="Arial" w:cs="Arial"/>
                <w:sz w:val="23"/>
                <w:szCs w:val="23"/>
                <w:lang w:val="es-ES"/>
              </w:rPr>
            </w:pPr>
            <w:r>
              <w:rPr>
                <w:rFonts w:ascii="Arial" w:hAnsi="Arial" w:cs="Arial"/>
                <w:sz w:val="23"/>
                <w:szCs w:val="23"/>
                <w:lang w:val="es-ES"/>
              </w:rPr>
              <w:t xml:space="preserve">EM-FL         </w:t>
            </w:r>
          </w:p>
        </w:tc>
        <w:tc>
          <w:tcPr>
            <w:tcW w:w="1276" w:type="dxa"/>
          </w:tcPr>
          <w:p w14:paraId="616863B4" w14:textId="77777777" w:rsidR="008403BD" w:rsidRDefault="007D49D9">
            <w:pPr>
              <w:jc w:val="both"/>
              <w:rPr>
                <w:rFonts w:ascii="Arial" w:hAnsi="Arial" w:cs="Arial"/>
                <w:sz w:val="23"/>
                <w:szCs w:val="23"/>
                <w:lang w:val="es-US"/>
              </w:rPr>
            </w:pPr>
            <w:r>
              <w:rPr>
                <w:rFonts w:ascii="Arial" w:hAnsi="Arial" w:cs="Arial"/>
                <w:sz w:val="23"/>
                <w:szCs w:val="23"/>
                <w:lang w:val="es-US"/>
              </w:rPr>
              <w:t>31</w:t>
            </w:r>
          </w:p>
        </w:tc>
        <w:tc>
          <w:tcPr>
            <w:tcW w:w="992" w:type="dxa"/>
          </w:tcPr>
          <w:p w14:paraId="7CC5D398" w14:textId="77777777" w:rsidR="008403BD" w:rsidRDefault="007D49D9">
            <w:pPr>
              <w:jc w:val="both"/>
              <w:rPr>
                <w:rFonts w:ascii="Arial" w:hAnsi="Arial" w:cs="Arial"/>
                <w:sz w:val="23"/>
                <w:szCs w:val="23"/>
                <w:lang w:val="es-US"/>
              </w:rPr>
            </w:pPr>
            <w:r>
              <w:rPr>
                <w:rFonts w:ascii="Arial" w:hAnsi="Arial" w:cs="Arial"/>
                <w:sz w:val="23"/>
                <w:szCs w:val="23"/>
                <w:lang w:val="es-US"/>
              </w:rPr>
              <w:t>7-35</w:t>
            </w:r>
          </w:p>
        </w:tc>
        <w:tc>
          <w:tcPr>
            <w:tcW w:w="897" w:type="dxa"/>
          </w:tcPr>
          <w:p w14:paraId="4C535AF0" w14:textId="77777777" w:rsidR="008403BD" w:rsidRDefault="007D49D9">
            <w:pPr>
              <w:jc w:val="both"/>
              <w:rPr>
                <w:rFonts w:ascii="Arial" w:hAnsi="Arial" w:cs="Arial"/>
                <w:sz w:val="23"/>
                <w:szCs w:val="23"/>
                <w:lang w:val="es-US"/>
              </w:rPr>
            </w:pPr>
            <w:r>
              <w:rPr>
                <w:rFonts w:ascii="Arial" w:hAnsi="Arial" w:cs="Arial"/>
                <w:sz w:val="23"/>
                <w:szCs w:val="23"/>
                <w:lang w:val="es-US"/>
              </w:rPr>
              <w:t>23</w:t>
            </w:r>
          </w:p>
        </w:tc>
      </w:tr>
      <w:tr w:rsidR="008403BD" w14:paraId="1D079049" w14:textId="77777777">
        <w:tc>
          <w:tcPr>
            <w:tcW w:w="4198" w:type="dxa"/>
          </w:tcPr>
          <w:p w14:paraId="5AEF4FF8" w14:textId="77777777" w:rsidR="008403BD" w:rsidRDefault="007D49D9">
            <w:pPr>
              <w:jc w:val="both"/>
              <w:rPr>
                <w:rFonts w:ascii="Arial" w:hAnsi="Arial" w:cs="Arial"/>
                <w:sz w:val="23"/>
                <w:szCs w:val="23"/>
                <w:lang w:val="es-ES"/>
              </w:rPr>
            </w:pPr>
            <w:r>
              <w:rPr>
                <w:rFonts w:ascii="Arial" w:hAnsi="Arial" w:cs="Arial"/>
                <w:sz w:val="23"/>
                <w:szCs w:val="23"/>
                <w:lang w:val="es-ES"/>
              </w:rPr>
              <w:t>Tiempo entre la primera flor y el primer fruto (R3) (Días fototermales)</w:t>
            </w:r>
          </w:p>
        </w:tc>
        <w:tc>
          <w:tcPr>
            <w:tcW w:w="1580" w:type="dxa"/>
          </w:tcPr>
          <w:p w14:paraId="29DBB8E2" w14:textId="77777777" w:rsidR="008403BD" w:rsidRDefault="007D49D9">
            <w:pPr>
              <w:jc w:val="both"/>
              <w:rPr>
                <w:rFonts w:ascii="Arial" w:hAnsi="Arial" w:cs="Arial"/>
                <w:b/>
                <w:sz w:val="23"/>
                <w:szCs w:val="23"/>
                <w:lang w:val="es-ES"/>
              </w:rPr>
            </w:pPr>
            <w:r>
              <w:rPr>
                <w:rFonts w:ascii="Arial" w:hAnsi="Arial" w:cs="Arial"/>
                <w:sz w:val="23"/>
                <w:szCs w:val="23"/>
                <w:lang w:val="es-ES"/>
              </w:rPr>
              <w:t>FL-SH</w:t>
            </w:r>
          </w:p>
        </w:tc>
        <w:tc>
          <w:tcPr>
            <w:tcW w:w="1276" w:type="dxa"/>
          </w:tcPr>
          <w:p w14:paraId="6D507D22" w14:textId="77777777" w:rsidR="008403BD" w:rsidRDefault="007D49D9">
            <w:pPr>
              <w:jc w:val="both"/>
              <w:rPr>
                <w:rFonts w:ascii="Arial" w:hAnsi="Arial" w:cs="Arial"/>
                <w:sz w:val="23"/>
                <w:szCs w:val="23"/>
                <w:lang w:val="es-US"/>
              </w:rPr>
            </w:pPr>
            <w:r>
              <w:rPr>
                <w:rFonts w:ascii="Arial" w:hAnsi="Arial" w:cs="Arial"/>
                <w:sz w:val="23"/>
                <w:szCs w:val="23"/>
                <w:lang w:val="es-US"/>
              </w:rPr>
              <w:t>4,6</w:t>
            </w:r>
          </w:p>
        </w:tc>
        <w:tc>
          <w:tcPr>
            <w:tcW w:w="992" w:type="dxa"/>
          </w:tcPr>
          <w:p w14:paraId="43DD62AF" w14:textId="77777777" w:rsidR="008403BD" w:rsidRDefault="007D49D9">
            <w:pPr>
              <w:jc w:val="both"/>
              <w:rPr>
                <w:rFonts w:ascii="Arial" w:hAnsi="Arial" w:cs="Arial"/>
                <w:sz w:val="23"/>
                <w:szCs w:val="23"/>
                <w:lang w:val="es-US"/>
              </w:rPr>
            </w:pPr>
            <w:r>
              <w:rPr>
                <w:rFonts w:ascii="Arial" w:hAnsi="Arial" w:cs="Arial"/>
                <w:sz w:val="23"/>
                <w:szCs w:val="23"/>
                <w:lang w:val="es-US"/>
              </w:rPr>
              <w:t>1-9</w:t>
            </w:r>
          </w:p>
        </w:tc>
        <w:tc>
          <w:tcPr>
            <w:tcW w:w="897" w:type="dxa"/>
          </w:tcPr>
          <w:p w14:paraId="1F1FAB9E" w14:textId="77777777" w:rsidR="008403BD" w:rsidRDefault="007D49D9">
            <w:pPr>
              <w:jc w:val="both"/>
              <w:rPr>
                <w:rFonts w:ascii="Arial" w:hAnsi="Arial" w:cs="Arial"/>
                <w:sz w:val="23"/>
                <w:szCs w:val="23"/>
                <w:lang w:val="es-US"/>
              </w:rPr>
            </w:pPr>
            <w:r>
              <w:rPr>
                <w:rFonts w:ascii="Arial" w:hAnsi="Arial" w:cs="Arial"/>
                <w:sz w:val="23"/>
                <w:szCs w:val="23"/>
                <w:lang w:val="es-US"/>
              </w:rPr>
              <w:t>2,2</w:t>
            </w:r>
          </w:p>
        </w:tc>
      </w:tr>
      <w:tr w:rsidR="008403BD" w14:paraId="539AA6C3" w14:textId="77777777">
        <w:tc>
          <w:tcPr>
            <w:tcW w:w="4198" w:type="dxa"/>
          </w:tcPr>
          <w:p w14:paraId="463709B9" w14:textId="77777777" w:rsidR="008403BD" w:rsidRDefault="007D49D9">
            <w:pPr>
              <w:jc w:val="both"/>
              <w:rPr>
                <w:rFonts w:ascii="Arial" w:hAnsi="Arial" w:cs="Arial"/>
                <w:sz w:val="23"/>
                <w:szCs w:val="23"/>
                <w:lang w:val="es-ES"/>
              </w:rPr>
            </w:pPr>
            <w:r>
              <w:rPr>
                <w:rFonts w:ascii="Arial" w:hAnsi="Arial" w:cs="Arial"/>
                <w:sz w:val="23"/>
                <w:szCs w:val="23"/>
                <w:lang w:val="es-ES"/>
              </w:rPr>
              <w:t>Tiempo entre la primera flor y la primera semilla (R5). (Días fototermales)</w:t>
            </w:r>
          </w:p>
        </w:tc>
        <w:tc>
          <w:tcPr>
            <w:tcW w:w="1580" w:type="dxa"/>
          </w:tcPr>
          <w:p w14:paraId="487CE9CE" w14:textId="77777777" w:rsidR="008403BD" w:rsidRDefault="007D49D9">
            <w:pPr>
              <w:jc w:val="both"/>
              <w:rPr>
                <w:rFonts w:ascii="Arial" w:hAnsi="Arial" w:cs="Arial"/>
                <w:b/>
                <w:sz w:val="23"/>
                <w:szCs w:val="23"/>
                <w:lang w:val="es-ES"/>
              </w:rPr>
            </w:pPr>
            <w:r>
              <w:rPr>
                <w:rFonts w:ascii="Arial" w:hAnsi="Arial" w:cs="Arial"/>
                <w:sz w:val="23"/>
                <w:szCs w:val="23"/>
                <w:lang w:val="es-ES"/>
              </w:rPr>
              <w:t>FL-SD</w:t>
            </w:r>
          </w:p>
        </w:tc>
        <w:tc>
          <w:tcPr>
            <w:tcW w:w="1276" w:type="dxa"/>
          </w:tcPr>
          <w:p w14:paraId="7B225761" w14:textId="77777777" w:rsidR="008403BD" w:rsidRDefault="007D49D9">
            <w:pPr>
              <w:jc w:val="both"/>
              <w:rPr>
                <w:rFonts w:ascii="Arial" w:hAnsi="Arial" w:cs="Arial"/>
                <w:sz w:val="23"/>
                <w:szCs w:val="23"/>
                <w:lang w:val="es-US"/>
              </w:rPr>
            </w:pPr>
            <w:r>
              <w:rPr>
                <w:rFonts w:ascii="Arial" w:hAnsi="Arial" w:cs="Arial"/>
                <w:sz w:val="23"/>
                <w:szCs w:val="23"/>
                <w:lang w:val="es-US"/>
              </w:rPr>
              <w:t>21</w:t>
            </w:r>
          </w:p>
        </w:tc>
        <w:tc>
          <w:tcPr>
            <w:tcW w:w="992" w:type="dxa"/>
          </w:tcPr>
          <w:p w14:paraId="6F7F1261" w14:textId="77777777" w:rsidR="008403BD" w:rsidRDefault="007D49D9">
            <w:pPr>
              <w:jc w:val="both"/>
              <w:rPr>
                <w:rFonts w:ascii="Arial" w:hAnsi="Arial" w:cs="Arial"/>
                <w:sz w:val="23"/>
                <w:szCs w:val="23"/>
                <w:lang w:val="es-US"/>
              </w:rPr>
            </w:pPr>
            <w:r>
              <w:rPr>
                <w:rFonts w:ascii="Arial" w:hAnsi="Arial" w:cs="Arial"/>
                <w:sz w:val="23"/>
                <w:szCs w:val="23"/>
                <w:lang w:val="es-US"/>
              </w:rPr>
              <w:t>15-21</w:t>
            </w:r>
          </w:p>
        </w:tc>
        <w:tc>
          <w:tcPr>
            <w:tcW w:w="897" w:type="dxa"/>
          </w:tcPr>
          <w:p w14:paraId="78F11409" w14:textId="77777777" w:rsidR="008403BD" w:rsidRDefault="007D49D9">
            <w:pPr>
              <w:jc w:val="both"/>
              <w:rPr>
                <w:rFonts w:ascii="Arial" w:hAnsi="Arial" w:cs="Arial"/>
                <w:sz w:val="23"/>
                <w:szCs w:val="23"/>
                <w:lang w:val="es-US"/>
              </w:rPr>
            </w:pPr>
            <w:r>
              <w:rPr>
                <w:rFonts w:ascii="Arial" w:hAnsi="Arial" w:cs="Arial"/>
                <w:sz w:val="23"/>
                <w:szCs w:val="23"/>
                <w:lang w:val="es-US"/>
              </w:rPr>
              <w:t>21</w:t>
            </w:r>
          </w:p>
        </w:tc>
      </w:tr>
      <w:tr w:rsidR="008403BD" w14:paraId="1EC7AF87" w14:textId="77777777">
        <w:tc>
          <w:tcPr>
            <w:tcW w:w="4198" w:type="dxa"/>
          </w:tcPr>
          <w:p w14:paraId="6EFC6CAA" w14:textId="77777777" w:rsidR="008403BD" w:rsidRDefault="007D49D9">
            <w:pPr>
              <w:jc w:val="both"/>
              <w:rPr>
                <w:rFonts w:ascii="Arial" w:hAnsi="Arial" w:cs="Arial"/>
                <w:sz w:val="23"/>
                <w:szCs w:val="23"/>
                <w:lang w:val="es-ES"/>
              </w:rPr>
            </w:pPr>
            <w:r>
              <w:rPr>
                <w:rFonts w:ascii="Arial" w:hAnsi="Arial" w:cs="Arial"/>
                <w:sz w:val="23"/>
                <w:szCs w:val="23"/>
                <w:lang w:val="es-ES"/>
              </w:rPr>
              <w:t>Tiempo entre la primera semilla (R5) y la madurez fisiológica (R7). (Días fototermales)</w:t>
            </w:r>
          </w:p>
        </w:tc>
        <w:tc>
          <w:tcPr>
            <w:tcW w:w="1580" w:type="dxa"/>
          </w:tcPr>
          <w:p w14:paraId="64E1B030" w14:textId="77777777" w:rsidR="008403BD" w:rsidRDefault="007D49D9">
            <w:pPr>
              <w:jc w:val="both"/>
              <w:rPr>
                <w:rFonts w:ascii="Arial" w:hAnsi="Arial" w:cs="Arial"/>
                <w:sz w:val="23"/>
                <w:szCs w:val="23"/>
                <w:lang w:val="es-ES"/>
              </w:rPr>
            </w:pPr>
            <w:r>
              <w:rPr>
                <w:rFonts w:ascii="Arial" w:hAnsi="Arial" w:cs="Arial"/>
                <w:sz w:val="23"/>
                <w:szCs w:val="23"/>
                <w:lang w:val="es-ES"/>
              </w:rPr>
              <w:t>SD-PM</w:t>
            </w:r>
          </w:p>
        </w:tc>
        <w:tc>
          <w:tcPr>
            <w:tcW w:w="1276" w:type="dxa"/>
          </w:tcPr>
          <w:p w14:paraId="41311A26" w14:textId="77777777" w:rsidR="008403BD" w:rsidRDefault="007D49D9">
            <w:pPr>
              <w:jc w:val="both"/>
              <w:rPr>
                <w:rFonts w:ascii="Arial" w:hAnsi="Arial" w:cs="Arial"/>
                <w:sz w:val="23"/>
                <w:szCs w:val="23"/>
                <w:lang w:val="es-US"/>
              </w:rPr>
            </w:pPr>
            <w:r>
              <w:rPr>
                <w:rFonts w:ascii="Arial" w:hAnsi="Arial" w:cs="Arial"/>
                <w:sz w:val="23"/>
                <w:szCs w:val="23"/>
                <w:lang w:val="es-US"/>
              </w:rPr>
              <w:t>47</w:t>
            </w:r>
          </w:p>
        </w:tc>
        <w:tc>
          <w:tcPr>
            <w:tcW w:w="992" w:type="dxa"/>
          </w:tcPr>
          <w:p w14:paraId="13C4EF30" w14:textId="77777777" w:rsidR="008403BD" w:rsidRDefault="007D49D9">
            <w:pPr>
              <w:jc w:val="both"/>
              <w:rPr>
                <w:rFonts w:ascii="Arial" w:hAnsi="Arial" w:cs="Arial"/>
                <w:sz w:val="23"/>
                <w:szCs w:val="23"/>
                <w:lang w:val="es-US"/>
              </w:rPr>
            </w:pPr>
            <w:r>
              <w:rPr>
                <w:rFonts w:ascii="Arial" w:hAnsi="Arial" w:cs="Arial"/>
                <w:sz w:val="23"/>
                <w:szCs w:val="23"/>
                <w:lang w:val="es-US"/>
              </w:rPr>
              <w:t>45-55</w:t>
            </w:r>
          </w:p>
        </w:tc>
        <w:tc>
          <w:tcPr>
            <w:tcW w:w="897" w:type="dxa"/>
          </w:tcPr>
          <w:p w14:paraId="0518AD94" w14:textId="77777777" w:rsidR="008403BD" w:rsidRDefault="007D49D9">
            <w:pPr>
              <w:jc w:val="both"/>
              <w:rPr>
                <w:rFonts w:ascii="Arial" w:hAnsi="Arial" w:cs="Arial"/>
                <w:sz w:val="23"/>
                <w:szCs w:val="23"/>
                <w:lang w:val="es-US"/>
              </w:rPr>
            </w:pPr>
            <w:r>
              <w:rPr>
                <w:rFonts w:ascii="Arial" w:hAnsi="Arial" w:cs="Arial"/>
                <w:sz w:val="23"/>
                <w:szCs w:val="23"/>
                <w:lang w:val="es-US"/>
              </w:rPr>
              <w:t>45</w:t>
            </w:r>
          </w:p>
        </w:tc>
      </w:tr>
      <w:tr w:rsidR="008403BD" w14:paraId="64DDE29E" w14:textId="77777777">
        <w:tc>
          <w:tcPr>
            <w:tcW w:w="4198" w:type="dxa"/>
          </w:tcPr>
          <w:p w14:paraId="6DA5A0B0" w14:textId="77777777" w:rsidR="008403BD" w:rsidRDefault="007D49D9">
            <w:pPr>
              <w:jc w:val="both"/>
              <w:rPr>
                <w:rFonts w:ascii="Arial" w:hAnsi="Arial" w:cs="Arial"/>
                <w:sz w:val="23"/>
                <w:szCs w:val="23"/>
                <w:lang w:val="es-ES"/>
              </w:rPr>
            </w:pPr>
            <w:r>
              <w:rPr>
                <w:rFonts w:ascii="Arial" w:hAnsi="Arial" w:cs="Arial"/>
                <w:sz w:val="23"/>
                <w:szCs w:val="23"/>
                <w:lang w:val="es-ES"/>
              </w:rPr>
              <w:t>Tiempo entre la primera flor y el final de la expansión foliar (Días fototermales)</w:t>
            </w:r>
          </w:p>
        </w:tc>
        <w:tc>
          <w:tcPr>
            <w:tcW w:w="1580" w:type="dxa"/>
          </w:tcPr>
          <w:p w14:paraId="06126731" w14:textId="77777777" w:rsidR="008403BD" w:rsidRDefault="007D49D9">
            <w:pPr>
              <w:jc w:val="both"/>
              <w:rPr>
                <w:rFonts w:ascii="Arial" w:hAnsi="Arial" w:cs="Arial"/>
                <w:sz w:val="23"/>
                <w:szCs w:val="23"/>
                <w:lang w:val="es-ES"/>
              </w:rPr>
            </w:pPr>
            <w:r>
              <w:rPr>
                <w:rFonts w:ascii="Arial" w:hAnsi="Arial" w:cs="Arial"/>
                <w:sz w:val="23"/>
                <w:szCs w:val="23"/>
                <w:lang w:val="es-ES"/>
              </w:rPr>
              <w:t>FL-LF</w:t>
            </w:r>
          </w:p>
        </w:tc>
        <w:tc>
          <w:tcPr>
            <w:tcW w:w="1276" w:type="dxa"/>
          </w:tcPr>
          <w:p w14:paraId="0B0D81F8" w14:textId="77777777" w:rsidR="008403BD" w:rsidRDefault="007D49D9">
            <w:pPr>
              <w:jc w:val="both"/>
              <w:rPr>
                <w:rFonts w:ascii="Arial" w:hAnsi="Arial" w:cs="Arial"/>
                <w:sz w:val="23"/>
                <w:szCs w:val="23"/>
                <w:lang w:val="es-US"/>
              </w:rPr>
            </w:pPr>
            <w:r>
              <w:rPr>
                <w:rFonts w:ascii="Arial" w:hAnsi="Arial" w:cs="Arial"/>
                <w:sz w:val="23"/>
                <w:szCs w:val="23"/>
                <w:lang w:val="es-US"/>
              </w:rPr>
              <w:t>47</w:t>
            </w:r>
          </w:p>
        </w:tc>
        <w:tc>
          <w:tcPr>
            <w:tcW w:w="992" w:type="dxa"/>
          </w:tcPr>
          <w:p w14:paraId="203FBF4B" w14:textId="77777777" w:rsidR="008403BD" w:rsidRDefault="007D49D9">
            <w:pPr>
              <w:jc w:val="both"/>
              <w:rPr>
                <w:rFonts w:ascii="Arial" w:hAnsi="Arial" w:cs="Arial"/>
                <w:sz w:val="23"/>
                <w:szCs w:val="23"/>
                <w:lang w:val="es-US"/>
              </w:rPr>
            </w:pPr>
            <w:r>
              <w:rPr>
                <w:rFonts w:ascii="Arial" w:hAnsi="Arial" w:cs="Arial"/>
                <w:sz w:val="23"/>
                <w:szCs w:val="23"/>
                <w:lang w:val="es-US"/>
              </w:rPr>
              <w:t>35-55</w:t>
            </w:r>
          </w:p>
        </w:tc>
        <w:tc>
          <w:tcPr>
            <w:tcW w:w="897" w:type="dxa"/>
          </w:tcPr>
          <w:p w14:paraId="489A5C90" w14:textId="77777777" w:rsidR="008403BD" w:rsidRDefault="007D49D9">
            <w:pPr>
              <w:jc w:val="both"/>
              <w:rPr>
                <w:rFonts w:ascii="Arial" w:hAnsi="Arial" w:cs="Arial"/>
                <w:sz w:val="23"/>
                <w:szCs w:val="23"/>
                <w:lang w:val="es-US"/>
              </w:rPr>
            </w:pPr>
            <w:r>
              <w:rPr>
                <w:rFonts w:ascii="Arial" w:hAnsi="Arial" w:cs="Arial"/>
                <w:sz w:val="23"/>
                <w:szCs w:val="23"/>
                <w:lang w:val="es-US"/>
              </w:rPr>
              <w:t>52</w:t>
            </w:r>
          </w:p>
        </w:tc>
      </w:tr>
      <w:tr w:rsidR="008403BD" w14:paraId="0528D783" w14:textId="77777777">
        <w:tc>
          <w:tcPr>
            <w:tcW w:w="4198" w:type="dxa"/>
          </w:tcPr>
          <w:p w14:paraId="2F4BAD3A" w14:textId="77777777" w:rsidR="008403BD" w:rsidRDefault="007D49D9">
            <w:pPr>
              <w:jc w:val="both"/>
              <w:rPr>
                <w:rFonts w:ascii="Arial" w:hAnsi="Arial" w:cs="Arial"/>
                <w:sz w:val="23"/>
                <w:szCs w:val="23"/>
                <w:lang w:val="es-ES"/>
              </w:rPr>
            </w:pPr>
            <w:r>
              <w:rPr>
                <w:rFonts w:ascii="Arial" w:hAnsi="Arial" w:cs="Arial"/>
                <w:sz w:val="23"/>
                <w:szCs w:val="23"/>
                <w:lang w:val="es-ES"/>
              </w:rPr>
              <w:t xml:space="preserve">Tasa máxima de fotosíntesis de las hojas a 30 </w:t>
            </w:r>
            <w:proofErr w:type="spellStart"/>
            <w:r>
              <w:rPr>
                <w:rFonts w:ascii="Arial" w:hAnsi="Arial" w:cs="Arial"/>
                <w:color w:val="000000"/>
                <w:sz w:val="23"/>
                <w:szCs w:val="23"/>
                <w:lang w:val="es-ES"/>
              </w:rPr>
              <w:t>ºC</w:t>
            </w:r>
            <w:proofErr w:type="spellEnd"/>
            <w:r>
              <w:rPr>
                <w:rFonts w:ascii="Arial" w:hAnsi="Arial" w:cs="Arial"/>
                <w:sz w:val="23"/>
                <w:szCs w:val="23"/>
                <w:lang w:val="es-ES"/>
              </w:rPr>
              <w:t xml:space="preserve">, 350 </w:t>
            </w:r>
            <w:proofErr w:type="spellStart"/>
            <w:r>
              <w:rPr>
                <w:rFonts w:ascii="Arial" w:hAnsi="Arial" w:cs="Arial"/>
                <w:sz w:val="23"/>
                <w:szCs w:val="23"/>
                <w:lang w:val="es-ES"/>
              </w:rPr>
              <w:t>vpm</w:t>
            </w:r>
            <w:proofErr w:type="spellEnd"/>
            <w:r>
              <w:rPr>
                <w:rFonts w:ascii="Arial" w:hAnsi="Arial" w:cs="Arial"/>
                <w:sz w:val="23"/>
                <w:szCs w:val="23"/>
                <w:lang w:val="es-ES"/>
              </w:rPr>
              <w:t xml:space="preserve"> de CO</w:t>
            </w:r>
            <w:r>
              <w:rPr>
                <w:rFonts w:ascii="Arial" w:hAnsi="Arial" w:cs="Arial"/>
                <w:sz w:val="23"/>
                <w:szCs w:val="23"/>
                <w:vertAlign w:val="subscript"/>
                <w:lang w:val="es-ES"/>
              </w:rPr>
              <w:t>2</w:t>
            </w:r>
            <w:r>
              <w:rPr>
                <w:rFonts w:ascii="Arial" w:hAnsi="Arial" w:cs="Arial"/>
                <w:sz w:val="23"/>
                <w:szCs w:val="23"/>
                <w:lang w:val="es-ES"/>
              </w:rPr>
              <w:t xml:space="preserve"> y alta luminosidad (mg CO2 m</w:t>
            </w:r>
            <w:r>
              <w:rPr>
                <w:rFonts w:ascii="Arial" w:hAnsi="Arial" w:cs="Arial"/>
                <w:sz w:val="23"/>
                <w:szCs w:val="23"/>
                <w:vertAlign w:val="superscript"/>
                <w:lang w:val="es-ES"/>
              </w:rPr>
              <w:t xml:space="preserve">–2 </w:t>
            </w:r>
            <w:r>
              <w:rPr>
                <w:rFonts w:ascii="Arial" w:hAnsi="Arial" w:cs="Arial"/>
                <w:sz w:val="23"/>
                <w:szCs w:val="23"/>
                <w:lang w:val="es-ES"/>
              </w:rPr>
              <w:t>s</w:t>
            </w:r>
            <w:r>
              <w:rPr>
                <w:rFonts w:ascii="Arial" w:hAnsi="Arial" w:cs="Arial"/>
                <w:sz w:val="23"/>
                <w:szCs w:val="23"/>
                <w:vertAlign w:val="superscript"/>
                <w:lang w:val="es-ES"/>
              </w:rPr>
              <w:t>–1</w:t>
            </w:r>
            <w:r>
              <w:rPr>
                <w:rFonts w:ascii="Arial" w:hAnsi="Arial" w:cs="Arial"/>
                <w:sz w:val="23"/>
                <w:szCs w:val="23"/>
                <w:lang w:val="es-ES"/>
              </w:rPr>
              <w:t>)</w:t>
            </w:r>
          </w:p>
        </w:tc>
        <w:tc>
          <w:tcPr>
            <w:tcW w:w="1580" w:type="dxa"/>
          </w:tcPr>
          <w:p w14:paraId="05415E25" w14:textId="77777777" w:rsidR="008403BD" w:rsidRDefault="007D49D9">
            <w:pPr>
              <w:jc w:val="both"/>
              <w:rPr>
                <w:rFonts w:ascii="Arial" w:hAnsi="Arial" w:cs="Arial"/>
                <w:sz w:val="23"/>
                <w:szCs w:val="23"/>
                <w:lang w:val="es-ES"/>
              </w:rPr>
            </w:pPr>
            <w:r>
              <w:rPr>
                <w:rFonts w:ascii="Arial" w:hAnsi="Arial" w:cs="Arial"/>
                <w:sz w:val="23"/>
                <w:szCs w:val="23"/>
                <w:lang w:val="es-ES"/>
              </w:rPr>
              <w:t>LFMAX</w:t>
            </w:r>
          </w:p>
        </w:tc>
        <w:tc>
          <w:tcPr>
            <w:tcW w:w="1276" w:type="dxa"/>
          </w:tcPr>
          <w:p w14:paraId="37C55D46" w14:textId="77777777" w:rsidR="008403BD" w:rsidRDefault="007D49D9">
            <w:pPr>
              <w:jc w:val="both"/>
              <w:rPr>
                <w:rFonts w:ascii="Arial" w:hAnsi="Arial" w:cs="Arial"/>
                <w:sz w:val="23"/>
                <w:szCs w:val="23"/>
                <w:lang w:val="es-US"/>
              </w:rPr>
            </w:pPr>
            <w:r>
              <w:rPr>
                <w:rFonts w:ascii="Arial" w:hAnsi="Arial" w:cs="Arial"/>
                <w:sz w:val="23"/>
                <w:szCs w:val="23"/>
                <w:lang w:val="es-US"/>
              </w:rPr>
              <w:t>1,36</w:t>
            </w:r>
          </w:p>
        </w:tc>
        <w:tc>
          <w:tcPr>
            <w:tcW w:w="992" w:type="dxa"/>
          </w:tcPr>
          <w:p w14:paraId="29982A3C" w14:textId="77777777" w:rsidR="008403BD" w:rsidRDefault="007D49D9">
            <w:pPr>
              <w:jc w:val="both"/>
              <w:rPr>
                <w:rFonts w:ascii="Arial" w:hAnsi="Arial" w:cs="Arial"/>
                <w:sz w:val="23"/>
                <w:szCs w:val="23"/>
                <w:lang w:val="es-US"/>
              </w:rPr>
            </w:pPr>
            <w:r>
              <w:rPr>
                <w:rFonts w:ascii="Arial" w:hAnsi="Arial" w:cs="Arial"/>
                <w:sz w:val="23"/>
                <w:szCs w:val="23"/>
                <w:lang w:val="es-US"/>
              </w:rPr>
              <w:t>1-1,4</w:t>
            </w:r>
          </w:p>
        </w:tc>
        <w:tc>
          <w:tcPr>
            <w:tcW w:w="897" w:type="dxa"/>
          </w:tcPr>
          <w:p w14:paraId="4D99178A" w14:textId="77777777" w:rsidR="008403BD" w:rsidRDefault="007D49D9">
            <w:pPr>
              <w:jc w:val="both"/>
              <w:rPr>
                <w:rFonts w:ascii="Arial" w:hAnsi="Arial" w:cs="Arial"/>
                <w:sz w:val="23"/>
                <w:szCs w:val="23"/>
                <w:lang w:val="es-US"/>
              </w:rPr>
            </w:pPr>
            <w:r>
              <w:rPr>
                <w:rFonts w:ascii="Arial" w:hAnsi="Arial" w:cs="Arial"/>
                <w:sz w:val="23"/>
                <w:szCs w:val="23"/>
                <w:lang w:val="es-US"/>
              </w:rPr>
              <w:t>1,36</w:t>
            </w:r>
          </w:p>
        </w:tc>
      </w:tr>
      <w:tr w:rsidR="008403BD" w14:paraId="2D31AAEE" w14:textId="77777777">
        <w:tc>
          <w:tcPr>
            <w:tcW w:w="4198" w:type="dxa"/>
          </w:tcPr>
          <w:p w14:paraId="0AE06FEB" w14:textId="77777777" w:rsidR="008403BD" w:rsidRDefault="007D49D9">
            <w:pPr>
              <w:jc w:val="both"/>
              <w:rPr>
                <w:rFonts w:ascii="Arial" w:hAnsi="Arial" w:cs="Arial"/>
                <w:sz w:val="23"/>
                <w:szCs w:val="23"/>
                <w:lang w:val="es-ES"/>
              </w:rPr>
            </w:pPr>
            <w:r>
              <w:rPr>
                <w:rFonts w:ascii="Arial" w:hAnsi="Arial" w:cs="Arial"/>
                <w:sz w:val="23"/>
                <w:szCs w:val="23"/>
                <w:lang w:val="es-ES"/>
              </w:rPr>
              <w:t>Área foliar específica de la variedad en condiciones de crecimiento estándar  (cm</w:t>
            </w:r>
            <w:r>
              <w:rPr>
                <w:rFonts w:ascii="Arial" w:hAnsi="Arial" w:cs="Arial"/>
                <w:sz w:val="23"/>
                <w:szCs w:val="23"/>
                <w:vertAlign w:val="superscript"/>
                <w:lang w:val="es-ES"/>
              </w:rPr>
              <w:t>2</w:t>
            </w:r>
            <w:r>
              <w:rPr>
                <w:rFonts w:ascii="Arial" w:hAnsi="Arial" w:cs="Arial"/>
                <w:sz w:val="23"/>
                <w:szCs w:val="23"/>
                <w:lang w:val="es-ES"/>
              </w:rPr>
              <w:t xml:space="preserve"> g</w:t>
            </w:r>
            <w:r>
              <w:rPr>
                <w:rFonts w:ascii="Arial" w:hAnsi="Arial" w:cs="Arial"/>
                <w:sz w:val="23"/>
                <w:szCs w:val="23"/>
                <w:vertAlign w:val="superscript"/>
                <w:lang w:val="es-ES"/>
              </w:rPr>
              <w:t>–1</w:t>
            </w:r>
            <w:r>
              <w:rPr>
                <w:rFonts w:ascii="Arial" w:hAnsi="Arial" w:cs="Arial"/>
                <w:sz w:val="23"/>
                <w:szCs w:val="23"/>
                <w:lang w:val="es-ES"/>
              </w:rPr>
              <w:t>)</w:t>
            </w:r>
          </w:p>
        </w:tc>
        <w:tc>
          <w:tcPr>
            <w:tcW w:w="1580" w:type="dxa"/>
          </w:tcPr>
          <w:p w14:paraId="5F324E1B" w14:textId="77777777" w:rsidR="008403BD" w:rsidRDefault="007D49D9">
            <w:pPr>
              <w:jc w:val="both"/>
              <w:rPr>
                <w:rFonts w:ascii="Arial" w:hAnsi="Arial" w:cs="Arial"/>
                <w:sz w:val="23"/>
                <w:szCs w:val="23"/>
                <w:lang w:val="es-ES"/>
              </w:rPr>
            </w:pPr>
            <w:r>
              <w:rPr>
                <w:rFonts w:ascii="Arial" w:hAnsi="Arial" w:cs="Arial"/>
                <w:sz w:val="23"/>
                <w:szCs w:val="23"/>
                <w:lang w:val="es-ES"/>
              </w:rPr>
              <w:t>SLAVR</w:t>
            </w:r>
          </w:p>
        </w:tc>
        <w:tc>
          <w:tcPr>
            <w:tcW w:w="1276" w:type="dxa"/>
          </w:tcPr>
          <w:p w14:paraId="27EB4371" w14:textId="77777777" w:rsidR="008403BD" w:rsidRDefault="007D49D9">
            <w:pPr>
              <w:jc w:val="both"/>
              <w:rPr>
                <w:rFonts w:ascii="Arial" w:hAnsi="Arial" w:cs="Arial"/>
                <w:sz w:val="23"/>
                <w:szCs w:val="23"/>
                <w:lang w:val="es-US"/>
              </w:rPr>
            </w:pPr>
            <w:r>
              <w:rPr>
                <w:rFonts w:ascii="Arial" w:hAnsi="Arial" w:cs="Arial"/>
                <w:sz w:val="23"/>
                <w:szCs w:val="23"/>
                <w:lang w:val="es-US"/>
              </w:rPr>
              <w:t>300</w:t>
            </w:r>
          </w:p>
        </w:tc>
        <w:tc>
          <w:tcPr>
            <w:tcW w:w="992" w:type="dxa"/>
          </w:tcPr>
          <w:p w14:paraId="07871388" w14:textId="77777777" w:rsidR="008403BD" w:rsidRDefault="007D49D9">
            <w:pPr>
              <w:jc w:val="both"/>
              <w:rPr>
                <w:rFonts w:ascii="Arial" w:hAnsi="Arial" w:cs="Arial"/>
                <w:sz w:val="23"/>
                <w:szCs w:val="23"/>
                <w:lang w:val="es-US"/>
              </w:rPr>
            </w:pPr>
            <w:r>
              <w:rPr>
                <w:rFonts w:ascii="Arial" w:hAnsi="Arial" w:cs="Arial"/>
                <w:sz w:val="23"/>
                <w:szCs w:val="23"/>
                <w:lang w:val="es-US"/>
              </w:rPr>
              <w:t>300-380</w:t>
            </w:r>
          </w:p>
        </w:tc>
        <w:tc>
          <w:tcPr>
            <w:tcW w:w="897" w:type="dxa"/>
          </w:tcPr>
          <w:p w14:paraId="6404F4D6" w14:textId="77777777" w:rsidR="008403BD" w:rsidRDefault="007D49D9">
            <w:pPr>
              <w:jc w:val="both"/>
              <w:rPr>
                <w:rFonts w:ascii="Arial" w:hAnsi="Arial" w:cs="Arial"/>
                <w:sz w:val="23"/>
                <w:szCs w:val="23"/>
                <w:lang w:val="es-US"/>
              </w:rPr>
            </w:pPr>
            <w:r>
              <w:rPr>
                <w:rFonts w:ascii="Arial" w:hAnsi="Arial" w:cs="Arial"/>
                <w:sz w:val="23"/>
                <w:szCs w:val="23"/>
                <w:lang w:val="es-US"/>
              </w:rPr>
              <w:t>300</w:t>
            </w:r>
          </w:p>
        </w:tc>
      </w:tr>
      <w:tr w:rsidR="008403BD" w14:paraId="2B52162D" w14:textId="77777777">
        <w:tc>
          <w:tcPr>
            <w:tcW w:w="4198" w:type="dxa"/>
          </w:tcPr>
          <w:p w14:paraId="65774998" w14:textId="77777777" w:rsidR="008403BD" w:rsidRDefault="007D49D9">
            <w:pPr>
              <w:jc w:val="both"/>
              <w:rPr>
                <w:rFonts w:ascii="Arial" w:hAnsi="Arial" w:cs="Arial"/>
                <w:sz w:val="23"/>
                <w:szCs w:val="23"/>
                <w:lang w:val="es-ES"/>
              </w:rPr>
            </w:pPr>
            <w:r>
              <w:rPr>
                <w:rFonts w:ascii="Arial" w:hAnsi="Arial" w:cs="Arial"/>
                <w:sz w:val="23"/>
                <w:szCs w:val="23"/>
                <w:lang w:val="es-ES"/>
              </w:rPr>
              <w:t>Tamaño máximo de hoja completa.(todas las hojas) (cm</w:t>
            </w:r>
            <w:r>
              <w:rPr>
                <w:rFonts w:ascii="Arial" w:hAnsi="Arial" w:cs="Arial"/>
                <w:sz w:val="23"/>
                <w:szCs w:val="23"/>
                <w:vertAlign w:val="superscript"/>
                <w:lang w:val="es-ES"/>
              </w:rPr>
              <w:t>2</w:t>
            </w:r>
            <w:r>
              <w:rPr>
                <w:rFonts w:ascii="Arial" w:hAnsi="Arial" w:cs="Arial"/>
                <w:sz w:val="23"/>
                <w:szCs w:val="23"/>
                <w:lang w:val="es-ES"/>
              </w:rPr>
              <w:t>)</w:t>
            </w:r>
          </w:p>
        </w:tc>
        <w:tc>
          <w:tcPr>
            <w:tcW w:w="1580" w:type="dxa"/>
          </w:tcPr>
          <w:p w14:paraId="2C4F43F5" w14:textId="77777777" w:rsidR="008403BD" w:rsidRDefault="007D49D9">
            <w:pPr>
              <w:jc w:val="both"/>
              <w:rPr>
                <w:rFonts w:ascii="Arial" w:hAnsi="Arial" w:cs="Arial"/>
                <w:sz w:val="23"/>
                <w:szCs w:val="23"/>
                <w:lang w:val="es-ES"/>
              </w:rPr>
            </w:pPr>
            <w:r>
              <w:rPr>
                <w:rFonts w:ascii="Arial" w:hAnsi="Arial" w:cs="Arial"/>
                <w:sz w:val="23"/>
                <w:szCs w:val="23"/>
                <w:lang w:val="es-ES"/>
              </w:rPr>
              <w:t>SIZLF</w:t>
            </w:r>
          </w:p>
        </w:tc>
        <w:tc>
          <w:tcPr>
            <w:tcW w:w="1276" w:type="dxa"/>
          </w:tcPr>
          <w:p w14:paraId="77EECB84" w14:textId="77777777" w:rsidR="008403BD" w:rsidRDefault="007D49D9">
            <w:pPr>
              <w:jc w:val="both"/>
              <w:rPr>
                <w:rFonts w:ascii="Arial" w:hAnsi="Arial" w:cs="Arial"/>
                <w:sz w:val="23"/>
                <w:szCs w:val="23"/>
                <w:lang w:val="es-US"/>
              </w:rPr>
            </w:pPr>
            <w:r>
              <w:rPr>
                <w:rFonts w:ascii="Arial" w:hAnsi="Arial" w:cs="Arial"/>
                <w:sz w:val="23"/>
                <w:szCs w:val="23"/>
                <w:lang w:val="es-US"/>
              </w:rPr>
              <w:t>300</w:t>
            </w:r>
          </w:p>
        </w:tc>
        <w:tc>
          <w:tcPr>
            <w:tcW w:w="992" w:type="dxa"/>
          </w:tcPr>
          <w:p w14:paraId="1F028C07" w14:textId="77777777" w:rsidR="008403BD" w:rsidRDefault="008403BD">
            <w:pPr>
              <w:jc w:val="both"/>
              <w:rPr>
                <w:rFonts w:ascii="Arial" w:hAnsi="Arial" w:cs="Arial"/>
                <w:sz w:val="23"/>
                <w:szCs w:val="23"/>
                <w:lang w:val="es-US"/>
              </w:rPr>
            </w:pPr>
          </w:p>
        </w:tc>
        <w:tc>
          <w:tcPr>
            <w:tcW w:w="897" w:type="dxa"/>
          </w:tcPr>
          <w:p w14:paraId="3FC2B2CC" w14:textId="77777777" w:rsidR="008403BD" w:rsidRDefault="007D49D9">
            <w:pPr>
              <w:jc w:val="both"/>
              <w:rPr>
                <w:rFonts w:ascii="Arial" w:hAnsi="Arial" w:cs="Arial"/>
                <w:sz w:val="23"/>
                <w:szCs w:val="23"/>
                <w:lang w:val="es-US"/>
              </w:rPr>
            </w:pPr>
            <w:r>
              <w:rPr>
                <w:rFonts w:ascii="Arial" w:hAnsi="Arial" w:cs="Arial"/>
                <w:sz w:val="23"/>
                <w:szCs w:val="23"/>
                <w:lang w:val="es-US"/>
              </w:rPr>
              <w:t>300</w:t>
            </w:r>
          </w:p>
        </w:tc>
      </w:tr>
      <w:tr w:rsidR="008403BD" w14:paraId="1529DD71" w14:textId="77777777">
        <w:trPr>
          <w:trHeight w:val="500"/>
        </w:trPr>
        <w:tc>
          <w:tcPr>
            <w:tcW w:w="4198" w:type="dxa"/>
          </w:tcPr>
          <w:p w14:paraId="07297C91" w14:textId="77777777" w:rsidR="008403BD" w:rsidRDefault="007D49D9">
            <w:pPr>
              <w:jc w:val="both"/>
              <w:rPr>
                <w:rFonts w:ascii="Arial" w:hAnsi="Arial" w:cs="Arial"/>
                <w:sz w:val="23"/>
                <w:szCs w:val="23"/>
                <w:lang w:val="es-ES"/>
              </w:rPr>
            </w:pPr>
            <w:r>
              <w:rPr>
                <w:rFonts w:ascii="Arial" w:hAnsi="Arial" w:cs="Arial"/>
                <w:sz w:val="23"/>
                <w:szCs w:val="23"/>
                <w:lang w:val="es-ES"/>
              </w:rPr>
              <w:t>Fracción máxima del crecimiento diario que se reparte a las semillas + la concha</w:t>
            </w:r>
          </w:p>
        </w:tc>
        <w:tc>
          <w:tcPr>
            <w:tcW w:w="1580" w:type="dxa"/>
          </w:tcPr>
          <w:p w14:paraId="5D9C6D56" w14:textId="77777777" w:rsidR="008403BD" w:rsidRDefault="007D49D9">
            <w:pPr>
              <w:jc w:val="both"/>
              <w:rPr>
                <w:rFonts w:ascii="Arial" w:hAnsi="Arial" w:cs="Arial"/>
                <w:sz w:val="23"/>
                <w:szCs w:val="23"/>
                <w:lang w:val="es-ES"/>
              </w:rPr>
            </w:pPr>
            <w:r>
              <w:rPr>
                <w:rFonts w:ascii="Arial" w:hAnsi="Arial" w:cs="Arial"/>
                <w:sz w:val="23"/>
                <w:szCs w:val="23"/>
                <w:lang w:val="es-ES"/>
              </w:rPr>
              <w:t>XFRUIT</w:t>
            </w:r>
          </w:p>
        </w:tc>
        <w:tc>
          <w:tcPr>
            <w:tcW w:w="1276" w:type="dxa"/>
          </w:tcPr>
          <w:p w14:paraId="551B71F4" w14:textId="77777777" w:rsidR="008403BD" w:rsidRDefault="007D49D9">
            <w:pPr>
              <w:jc w:val="both"/>
              <w:rPr>
                <w:rFonts w:ascii="Arial" w:hAnsi="Arial" w:cs="Arial"/>
                <w:sz w:val="23"/>
                <w:szCs w:val="23"/>
                <w:lang w:val="es-US"/>
              </w:rPr>
            </w:pPr>
            <w:r>
              <w:rPr>
                <w:rFonts w:ascii="Arial" w:hAnsi="Arial" w:cs="Arial"/>
                <w:sz w:val="23"/>
                <w:szCs w:val="23"/>
                <w:lang w:val="es-US"/>
              </w:rPr>
              <w:t>0,78</w:t>
            </w:r>
          </w:p>
        </w:tc>
        <w:tc>
          <w:tcPr>
            <w:tcW w:w="992" w:type="dxa"/>
          </w:tcPr>
          <w:p w14:paraId="18EF8532" w14:textId="77777777" w:rsidR="008403BD" w:rsidRDefault="007D49D9">
            <w:pPr>
              <w:jc w:val="both"/>
              <w:rPr>
                <w:rFonts w:ascii="Arial" w:hAnsi="Arial" w:cs="Arial"/>
                <w:sz w:val="23"/>
                <w:szCs w:val="23"/>
                <w:lang w:val="es-US"/>
              </w:rPr>
            </w:pPr>
            <w:r>
              <w:rPr>
                <w:rFonts w:ascii="Arial" w:hAnsi="Arial" w:cs="Arial"/>
                <w:sz w:val="23"/>
                <w:szCs w:val="23"/>
                <w:lang w:val="es-US"/>
              </w:rPr>
              <w:t>0,65-0,85</w:t>
            </w:r>
          </w:p>
        </w:tc>
        <w:tc>
          <w:tcPr>
            <w:tcW w:w="897" w:type="dxa"/>
          </w:tcPr>
          <w:p w14:paraId="37D583B1" w14:textId="77777777" w:rsidR="008403BD" w:rsidRDefault="007D49D9">
            <w:pPr>
              <w:jc w:val="both"/>
              <w:rPr>
                <w:rFonts w:ascii="Arial" w:hAnsi="Arial" w:cs="Arial"/>
                <w:sz w:val="23"/>
                <w:szCs w:val="23"/>
                <w:lang w:val="es-US"/>
              </w:rPr>
            </w:pPr>
            <w:r>
              <w:rPr>
                <w:rFonts w:ascii="Arial" w:hAnsi="Arial" w:cs="Arial"/>
                <w:sz w:val="23"/>
                <w:szCs w:val="23"/>
                <w:lang w:val="es-US"/>
              </w:rPr>
              <w:t>0,78</w:t>
            </w:r>
          </w:p>
        </w:tc>
      </w:tr>
      <w:tr w:rsidR="008403BD" w14:paraId="4110FDAE" w14:textId="77777777">
        <w:tc>
          <w:tcPr>
            <w:tcW w:w="4198" w:type="dxa"/>
          </w:tcPr>
          <w:p w14:paraId="0220FE1D" w14:textId="77777777" w:rsidR="008403BD" w:rsidRDefault="007D49D9">
            <w:pPr>
              <w:jc w:val="both"/>
              <w:rPr>
                <w:rFonts w:ascii="Arial" w:hAnsi="Arial" w:cs="Arial"/>
                <w:sz w:val="23"/>
                <w:szCs w:val="23"/>
                <w:lang w:val="es-ES"/>
              </w:rPr>
            </w:pPr>
            <w:r>
              <w:rPr>
                <w:rFonts w:ascii="Arial" w:hAnsi="Arial" w:cs="Arial"/>
                <w:sz w:val="23"/>
                <w:szCs w:val="23"/>
                <w:lang w:val="es-ES"/>
              </w:rPr>
              <w:t>Peso máximo por semillas (g)</w:t>
            </w:r>
          </w:p>
        </w:tc>
        <w:tc>
          <w:tcPr>
            <w:tcW w:w="1580" w:type="dxa"/>
          </w:tcPr>
          <w:p w14:paraId="46C14BA4" w14:textId="77777777" w:rsidR="008403BD" w:rsidRDefault="007D49D9">
            <w:pPr>
              <w:jc w:val="both"/>
              <w:rPr>
                <w:rFonts w:ascii="Arial" w:hAnsi="Arial" w:cs="Arial"/>
                <w:sz w:val="23"/>
                <w:szCs w:val="23"/>
                <w:lang w:val="es-ES"/>
              </w:rPr>
            </w:pPr>
            <w:r>
              <w:rPr>
                <w:rFonts w:ascii="Arial" w:hAnsi="Arial" w:cs="Arial"/>
                <w:sz w:val="23"/>
                <w:szCs w:val="23"/>
                <w:lang w:val="es-ES"/>
              </w:rPr>
              <w:t>WTPSD</w:t>
            </w:r>
          </w:p>
        </w:tc>
        <w:tc>
          <w:tcPr>
            <w:tcW w:w="1276" w:type="dxa"/>
          </w:tcPr>
          <w:p w14:paraId="007FB9C3" w14:textId="77777777" w:rsidR="008403BD" w:rsidRDefault="007D49D9">
            <w:pPr>
              <w:jc w:val="both"/>
              <w:rPr>
                <w:rFonts w:ascii="Arial" w:hAnsi="Arial" w:cs="Arial"/>
                <w:sz w:val="23"/>
                <w:szCs w:val="23"/>
                <w:lang w:val="es-US"/>
              </w:rPr>
            </w:pPr>
            <w:r>
              <w:rPr>
                <w:rFonts w:ascii="Arial" w:hAnsi="Arial" w:cs="Arial"/>
                <w:sz w:val="23"/>
                <w:szCs w:val="23"/>
                <w:lang w:val="es-US"/>
              </w:rPr>
              <w:t>0,004</w:t>
            </w:r>
          </w:p>
        </w:tc>
        <w:tc>
          <w:tcPr>
            <w:tcW w:w="992" w:type="dxa"/>
          </w:tcPr>
          <w:p w14:paraId="3F061687" w14:textId="77777777" w:rsidR="008403BD" w:rsidRDefault="007D49D9">
            <w:pPr>
              <w:jc w:val="both"/>
              <w:rPr>
                <w:rFonts w:ascii="Arial" w:hAnsi="Arial" w:cs="Arial"/>
                <w:sz w:val="23"/>
                <w:szCs w:val="23"/>
                <w:lang w:val="es-US"/>
              </w:rPr>
            </w:pPr>
            <w:r>
              <w:rPr>
                <w:rFonts w:ascii="Arial" w:hAnsi="Arial" w:cs="Arial"/>
                <w:sz w:val="23"/>
                <w:szCs w:val="23"/>
                <w:lang w:val="es-US"/>
              </w:rPr>
              <w:t>0,004</w:t>
            </w:r>
          </w:p>
        </w:tc>
        <w:tc>
          <w:tcPr>
            <w:tcW w:w="897" w:type="dxa"/>
          </w:tcPr>
          <w:p w14:paraId="679B04B8" w14:textId="77777777" w:rsidR="008403BD" w:rsidRDefault="007D49D9">
            <w:pPr>
              <w:jc w:val="both"/>
              <w:rPr>
                <w:rFonts w:ascii="Arial" w:hAnsi="Arial" w:cs="Arial"/>
                <w:sz w:val="23"/>
                <w:szCs w:val="23"/>
                <w:lang w:val="es-US"/>
              </w:rPr>
            </w:pPr>
            <w:r>
              <w:rPr>
                <w:rFonts w:ascii="Arial" w:hAnsi="Arial" w:cs="Arial"/>
                <w:sz w:val="23"/>
                <w:szCs w:val="23"/>
                <w:lang w:val="es-US"/>
              </w:rPr>
              <w:t>0,004</w:t>
            </w:r>
          </w:p>
        </w:tc>
      </w:tr>
      <w:tr w:rsidR="008403BD" w14:paraId="7C50A51B" w14:textId="77777777">
        <w:tc>
          <w:tcPr>
            <w:tcW w:w="4198" w:type="dxa"/>
          </w:tcPr>
          <w:p w14:paraId="43E0D932" w14:textId="77777777" w:rsidR="008403BD" w:rsidRDefault="007D49D9">
            <w:pPr>
              <w:jc w:val="both"/>
              <w:rPr>
                <w:rFonts w:ascii="Arial" w:hAnsi="Arial" w:cs="Arial"/>
                <w:sz w:val="23"/>
                <w:szCs w:val="23"/>
                <w:lang w:val="es-ES"/>
              </w:rPr>
            </w:pPr>
            <w:r>
              <w:rPr>
                <w:rFonts w:ascii="Arial" w:hAnsi="Arial" w:cs="Arial"/>
                <w:sz w:val="23"/>
                <w:szCs w:val="23"/>
                <w:lang w:val="es-ES"/>
              </w:rPr>
              <w:t>Duración del llenado de semillas para la cohorte de frutos en condiciones de crecimiento estándar (Días fototermales)</w:t>
            </w:r>
          </w:p>
        </w:tc>
        <w:tc>
          <w:tcPr>
            <w:tcW w:w="1580" w:type="dxa"/>
          </w:tcPr>
          <w:p w14:paraId="23F93CF7" w14:textId="77777777" w:rsidR="008403BD" w:rsidRDefault="007D49D9">
            <w:pPr>
              <w:jc w:val="both"/>
              <w:rPr>
                <w:rFonts w:ascii="Arial" w:hAnsi="Arial" w:cs="Arial"/>
                <w:sz w:val="23"/>
                <w:szCs w:val="23"/>
                <w:lang w:val="es-ES"/>
              </w:rPr>
            </w:pPr>
            <w:r>
              <w:rPr>
                <w:rFonts w:ascii="Arial" w:hAnsi="Arial" w:cs="Arial"/>
                <w:sz w:val="23"/>
                <w:szCs w:val="23"/>
                <w:lang w:val="es-ES"/>
              </w:rPr>
              <w:t>SFDUR</w:t>
            </w:r>
          </w:p>
        </w:tc>
        <w:tc>
          <w:tcPr>
            <w:tcW w:w="1276" w:type="dxa"/>
          </w:tcPr>
          <w:p w14:paraId="2BA4957E" w14:textId="77777777" w:rsidR="008403BD" w:rsidRDefault="007D49D9">
            <w:pPr>
              <w:jc w:val="both"/>
              <w:rPr>
                <w:rFonts w:ascii="Arial" w:hAnsi="Arial" w:cs="Arial"/>
                <w:sz w:val="23"/>
                <w:szCs w:val="23"/>
                <w:lang w:val="es-US"/>
              </w:rPr>
            </w:pPr>
            <w:r>
              <w:rPr>
                <w:rFonts w:ascii="Arial" w:hAnsi="Arial" w:cs="Arial"/>
                <w:sz w:val="23"/>
                <w:szCs w:val="23"/>
                <w:lang w:val="es-US"/>
              </w:rPr>
              <w:t>27</w:t>
            </w:r>
          </w:p>
        </w:tc>
        <w:tc>
          <w:tcPr>
            <w:tcW w:w="992" w:type="dxa"/>
          </w:tcPr>
          <w:p w14:paraId="6407BA5E" w14:textId="77777777" w:rsidR="008403BD" w:rsidRDefault="007D49D9">
            <w:pPr>
              <w:jc w:val="both"/>
              <w:rPr>
                <w:rFonts w:ascii="Arial" w:hAnsi="Arial" w:cs="Arial"/>
                <w:sz w:val="23"/>
                <w:szCs w:val="23"/>
                <w:lang w:val="es-US"/>
              </w:rPr>
            </w:pPr>
            <w:r>
              <w:rPr>
                <w:rFonts w:ascii="Arial" w:hAnsi="Arial" w:cs="Arial"/>
                <w:sz w:val="23"/>
                <w:szCs w:val="23"/>
                <w:lang w:val="es-US"/>
              </w:rPr>
              <w:t>23-27</w:t>
            </w:r>
          </w:p>
        </w:tc>
        <w:tc>
          <w:tcPr>
            <w:tcW w:w="897" w:type="dxa"/>
          </w:tcPr>
          <w:p w14:paraId="17859FD0" w14:textId="77777777" w:rsidR="008403BD" w:rsidRDefault="007D49D9">
            <w:pPr>
              <w:jc w:val="both"/>
              <w:rPr>
                <w:rFonts w:ascii="Arial" w:hAnsi="Arial" w:cs="Arial"/>
                <w:sz w:val="23"/>
                <w:szCs w:val="23"/>
                <w:lang w:val="es-US"/>
              </w:rPr>
            </w:pPr>
            <w:r>
              <w:rPr>
                <w:rFonts w:ascii="Arial" w:hAnsi="Arial" w:cs="Arial"/>
                <w:sz w:val="23"/>
                <w:szCs w:val="23"/>
                <w:lang w:val="es-US"/>
              </w:rPr>
              <w:t>27</w:t>
            </w:r>
          </w:p>
        </w:tc>
      </w:tr>
      <w:tr w:rsidR="008403BD" w14:paraId="378098ED" w14:textId="77777777">
        <w:tc>
          <w:tcPr>
            <w:tcW w:w="4198" w:type="dxa"/>
          </w:tcPr>
          <w:p w14:paraId="3CDB0601" w14:textId="77777777" w:rsidR="008403BD" w:rsidRDefault="007D49D9">
            <w:pPr>
              <w:jc w:val="both"/>
              <w:rPr>
                <w:rFonts w:ascii="Arial" w:hAnsi="Arial" w:cs="Arial"/>
                <w:sz w:val="23"/>
                <w:szCs w:val="23"/>
                <w:lang w:val="es-ES"/>
              </w:rPr>
            </w:pPr>
            <w:r>
              <w:rPr>
                <w:rFonts w:ascii="Arial" w:hAnsi="Arial" w:cs="Arial"/>
                <w:sz w:val="23"/>
                <w:szCs w:val="23"/>
                <w:lang w:val="es-ES"/>
              </w:rPr>
              <w:lastRenderedPageBreak/>
              <w:t>Promedio de semillas por fruto en condiciones de crecimiento estándar (número por fruto)</w:t>
            </w:r>
          </w:p>
        </w:tc>
        <w:tc>
          <w:tcPr>
            <w:tcW w:w="1580" w:type="dxa"/>
          </w:tcPr>
          <w:p w14:paraId="39821E51" w14:textId="77777777" w:rsidR="008403BD" w:rsidRDefault="007D49D9">
            <w:pPr>
              <w:jc w:val="both"/>
              <w:rPr>
                <w:rFonts w:ascii="Arial" w:hAnsi="Arial" w:cs="Arial"/>
                <w:sz w:val="23"/>
                <w:szCs w:val="23"/>
                <w:lang w:val="es-ES"/>
              </w:rPr>
            </w:pPr>
            <w:r>
              <w:rPr>
                <w:rFonts w:ascii="Arial" w:hAnsi="Arial" w:cs="Arial"/>
                <w:sz w:val="23"/>
                <w:szCs w:val="23"/>
                <w:lang w:val="es-ES"/>
              </w:rPr>
              <w:t>SDPDV</w:t>
            </w:r>
          </w:p>
        </w:tc>
        <w:tc>
          <w:tcPr>
            <w:tcW w:w="1276" w:type="dxa"/>
          </w:tcPr>
          <w:p w14:paraId="4FD1EDFB" w14:textId="77777777" w:rsidR="008403BD" w:rsidRDefault="007D49D9">
            <w:pPr>
              <w:jc w:val="both"/>
              <w:rPr>
                <w:rFonts w:ascii="Arial" w:hAnsi="Arial" w:cs="Arial"/>
                <w:sz w:val="23"/>
                <w:szCs w:val="23"/>
                <w:lang w:val="es-US"/>
              </w:rPr>
            </w:pPr>
            <w:r>
              <w:rPr>
                <w:rFonts w:ascii="Arial" w:hAnsi="Arial" w:cs="Arial"/>
                <w:sz w:val="23"/>
                <w:szCs w:val="23"/>
                <w:lang w:val="es-US"/>
              </w:rPr>
              <w:t>300</w:t>
            </w:r>
          </w:p>
        </w:tc>
        <w:tc>
          <w:tcPr>
            <w:tcW w:w="992" w:type="dxa"/>
          </w:tcPr>
          <w:p w14:paraId="43A386E2" w14:textId="77777777" w:rsidR="008403BD" w:rsidRDefault="008403BD">
            <w:pPr>
              <w:jc w:val="both"/>
              <w:rPr>
                <w:rFonts w:ascii="Arial" w:hAnsi="Arial" w:cs="Arial"/>
                <w:sz w:val="23"/>
                <w:szCs w:val="23"/>
                <w:lang w:val="es-US"/>
              </w:rPr>
            </w:pPr>
          </w:p>
        </w:tc>
        <w:tc>
          <w:tcPr>
            <w:tcW w:w="897" w:type="dxa"/>
          </w:tcPr>
          <w:p w14:paraId="737A57A0" w14:textId="77777777" w:rsidR="008403BD" w:rsidRDefault="007D49D9">
            <w:pPr>
              <w:jc w:val="both"/>
              <w:rPr>
                <w:rFonts w:ascii="Arial" w:hAnsi="Arial" w:cs="Arial"/>
                <w:sz w:val="23"/>
                <w:szCs w:val="23"/>
                <w:lang w:val="es-US"/>
              </w:rPr>
            </w:pPr>
            <w:r>
              <w:rPr>
                <w:rFonts w:ascii="Arial" w:hAnsi="Arial" w:cs="Arial"/>
                <w:sz w:val="23"/>
                <w:szCs w:val="23"/>
                <w:lang w:val="es-US"/>
              </w:rPr>
              <w:t>300</w:t>
            </w:r>
          </w:p>
        </w:tc>
      </w:tr>
      <w:tr w:rsidR="008403BD" w14:paraId="71A427C4" w14:textId="77777777">
        <w:tc>
          <w:tcPr>
            <w:tcW w:w="4198" w:type="dxa"/>
          </w:tcPr>
          <w:p w14:paraId="5B77830E" w14:textId="77777777" w:rsidR="008403BD" w:rsidRDefault="007D49D9">
            <w:pPr>
              <w:jc w:val="both"/>
              <w:rPr>
                <w:rFonts w:ascii="Arial" w:hAnsi="Arial" w:cs="Arial"/>
                <w:sz w:val="23"/>
                <w:szCs w:val="23"/>
                <w:lang w:val="es-ES"/>
              </w:rPr>
            </w:pPr>
            <w:r>
              <w:rPr>
                <w:rFonts w:ascii="Arial" w:hAnsi="Arial" w:cs="Arial"/>
                <w:sz w:val="23"/>
                <w:szCs w:val="23"/>
                <w:lang w:val="es-ES"/>
              </w:rPr>
              <w:t>Tiempo necesario para que el cultivar alcance. la carga final de semillas en condiciones óptimas (Días fototermales)</w:t>
            </w:r>
          </w:p>
        </w:tc>
        <w:tc>
          <w:tcPr>
            <w:tcW w:w="1580" w:type="dxa"/>
          </w:tcPr>
          <w:p w14:paraId="12EB8A74" w14:textId="77777777" w:rsidR="008403BD" w:rsidRDefault="007D49D9">
            <w:pPr>
              <w:jc w:val="both"/>
              <w:rPr>
                <w:rFonts w:ascii="Arial" w:hAnsi="Arial" w:cs="Arial"/>
                <w:sz w:val="23"/>
                <w:szCs w:val="23"/>
                <w:lang w:val="es-ES"/>
              </w:rPr>
            </w:pPr>
            <w:r>
              <w:rPr>
                <w:rFonts w:ascii="Arial" w:hAnsi="Arial" w:cs="Arial"/>
                <w:sz w:val="23"/>
                <w:szCs w:val="23"/>
                <w:lang w:val="es-ES"/>
              </w:rPr>
              <w:t>PODUR</w:t>
            </w:r>
          </w:p>
        </w:tc>
        <w:tc>
          <w:tcPr>
            <w:tcW w:w="1276" w:type="dxa"/>
          </w:tcPr>
          <w:p w14:paraId="712B39DD" w14:textId="77777777" w:rsidR="008403BD" w:rsidRDefault="007D49D9">
            <w:pPr>
              <w:jc w:val="both"/>
              <w:rPr>
                <w:rFonts w:ascii="Arial" w:hAnsi="Arial" w:cs="Arial"/>
                <w:sz w:val="23"/>
                <w:szCs w:val="23"/>
                <w:lang w:val="es-US"/>
              </w:rPr>
            </w:pPr>
            <w:r>
              <w:rPr>
                <w:rFonts w:ascii="Arial" w:hAnsi="Arial" w:cs="Arial"/>
                <w:sz w:val="23"/>
                <w:szCs w:val="23"/>
                <w:lang w:val="es-US"/>
              </w:rPr>
              <w:t>56</w:t>
            </w:r>
          </w:p>
        </w:tc>
        <w:tc>
          <w:tcPr>
            <w:tcW w:w="992" w:type="dxa"/>
          </w:tcPr>
          <w:p w14:paraId="2257B631" w14:textId="77777777" w:rsidR="008403BD" w:rsidRDefault="007D49D9">
            <w:pPr>
              <w:jc w:val="both"/>
              <w:rPr>
                <w:rFonts w:ascii="Arial" w:hAnsi="Arial" w:cs="Arial"/>
                <w:sz w:val="23"/>
                <w:szCs w:val="23"/>
                <w:lang w:val="es-US"/>
              </w:rPr>
            </w:pPr>
            <w:r>
              <w:rPr>
                <w:rFonts w:ascii="Arial" w:hAnsi="Arial" w:cs="Arial"/>
                <w:sz w:val="23"/>
                <w:szCs w:val="23"/>
                <w:lang w:val="es-US"/>
              </w:rPr>
              <w:t>40-65</w:t>
            </w:r>
          </w:p>
        </w:tc>
        <w:tc>
          <w:tcPr>
            <w:tcW w:w="897" w:type="dxa"/>
          </w:tcPr>
          <w:p w14:paraId="19F546A7" w14:textId="77777777" w:rsidR="008403BD" w:rsidRDefault="007D49D9">
            <w:pPr>
              <w:jc w:val="both"/>
              <w:rPr>
                <w:rFonts w:ascii="Arial" w:hAnsi="Arial" w:cs="Arial"/>
                <w:sz w:val="23"/>
                <w:szCs w:val="23"/>
                <w:lang w:val="es-US"/>
              </w:rPr>
            </w:pPr>
            <w:r>
              <w:rPr>
                <w:rFonts w:ascii="Arial" w:hAnsi="Arial" w:cs="Arial"/>
                <w:sz w:val="23"/>
                <w:szCs w:val="23"/>
                <w:lang w:val="es-US"/>
              </w:rPr>
              <w:t>50</w:t>
            </w:r>
          </w:p>
        </w:tc>
      </w:tr>
      <w:tr w:rsidR="008403BD" w14:paraId="1BEB1A75" w14:textId="77777777">
        <w:tc>
          <w:tcPr>
            <w:tcW w:w="4198" w:type="dxa"/>
          </w:tcPr>
          <w:p w14:paraId="419685C3" w14:textId="77777777" w:rsidR="008403BD" w:rsidRDefault="007D49D9">
            <w:pPr>
              <w:jc w:val="both"/>
              <w:rPr>
                <w:rFonts w:ascii="Arial" w:hAnsi="Arial" w:cs="Arial"/>
                <w:sz w:val="23"/>
                <w:szCs w:val="23"/>
                <w:lang w:val="es-ES"/>
              </w:rPr>
            </w:pPr>
            <w:r>
              <w:rPr>
                <w:rFonts w:ascii="Arial" w:hAnsi="Arial" w:cs="Arial"/>
                <w:sz w:val="23"/>
                <w:szCs w:val="23"/>
                <w:lang w:val="es-ES"/>
              </w:rPr>
              <w:t>Porcentaje de trilla. Relación máxima de (semillas/semillas + cáscara) en la madurez</w:t>
            </w:r>
          </w:p>
        </w:tc>
        <w:tc>
          <w:tcPr>
            <w:tcW w:w="1580" w:type="dxa"/>
          </w:tcPr>
          <w:p w14:paraId="4696518C" w14:textId="77777777" w:rsidR="008403BD" w:rsidRDefault="007D49D9">
            <w:pPr>
              <w:jc w:val="both"/>
              <w:rPr>
                <w:rFonts w:ascii="Arial" w:hAnsi="Arial" w:cs="Arial"/>
                <w:sz w:val="23"/>
                <w:szCs w:val="23"/>
                <w:lang w:val="es-ES"/>
              </w:rPr>
            </w:pPr>
            <w:r>
              <w:rPr>
                <w:rFonts w:ascii="Arial" w:hAnsi="Arial" w:cs="Arial"/>
                <w:sz w:val="23"/>
                <w:szCs w:val="23"/>
                <w:lang w:val="es-ES"/>
              </w:rPr>
              <w:t>THRSH</w:t>
            </w:r>
          </w:p>
        </w:tc>
        <w:tc>
          <w:tcPr>
            <w:tcW w:w="1276" w:type="dxa"/>
          </w:tcPr>
          <w:p w14:paraId="0FC33B2F" w14:textId="77777777" w:rsidR="008403BD" w:rsidRDefault="007D49D9">
            <w:pPr>
              <w:jc w:val="both"/>
              <w:rPr>
                <w:rFonts w:ascii="Arial" w:hAnsi="Arial" w:cs="Arial"/>
                <w:sz w:val="23"/>
                <w:szCs w:val="23"/>
                <w:lang w:val="es-US"/>
              </w:rPr>
            </w:pPr>
            <w:r>
              <w:rPr>
                <w:rFonts w:ascii="Arial" w:hAnsi="Arial" w:cs="Arial"/>
                <w:sz w:val="23"/>
                <w:szCs w:val="23"/>
                <w:lang w:val="es-US"/>
              </w:rPr>
              <w:t>8,5</w:t>
            </w:r>
          </w:p>
        </w:tc>
        <w:tc>
          <w:tcPr>
            <w:tcW w:w="992" w:type="dxa"/>
          </w:tcPr>
          <w:p w14:paraId="4FC22CF3" w14:textId="77777777" w:rsidR="008403BD" w:rsidRDefault="007D49D9">
            <w:pPr>
              <w:jc w:val="both"/>
              <w:rPr>
                <w:rFonts w:ascii="Arial" w:hAnsi="Arial" w:cs="Arial"/>
                <w:sz w:val="23"/>
                <w:szCs w:val="23"/>
                <w:lang w:val="es-US"/>
              </w:rPr>
            </w:pPr>
            <w:r>
              <w:rPr>
                <w:rFonts w:ascii="Arial" w:hAnsi="Arial" w:cs="Arial"/>
                <w:sz w:val="23"/>
                <w:szCs w:val="23"/>
                <w:lang w:val="es-US"/>
              </w:rPr>
              <w:t>7-10</w:t>
            </w:r>
          </w:p>
        </w:tc>
        <w:tc>
          <w:tcPr>
            <w:tcW w:w="897" w:type="dxa"/>
          </w:tcPr>
          <w:p w14:paraId="67434CED" w14:textId="77777777" w:rsidR="008403BD" w:rsidRDefault="007D49D9">
            <w:pPr>
              <w:jc w:val="both"/>
              <w:rPr>
                <w:rFonts w:ascii="Arial" w:hAnsi="Arial" w:cs="Arial"/>
                <w:sz w:val="23"/>
                <w:szCs w:val="23"/>
                <w:lang w:val="es-US"/>
              </w:rPr>
            </w:pPr>
            <w:r>
              <w:rPr>
                <w:rFonts w:ascii="Arial" w:hAnsi="Arial" w:cs="Arial"/>
                <w:sz w:val="23"/>
                <w:szCs w:val="23"/>
                <w:lang w:val="es-US"/>
              </w:rPr>
              <w:t>8,5</w:t>
            </w:r>
          </w:p>
        </w:tc>
      </w:tr>
      <w:tr w:rsidR="008403BD" w14:paraId="13B633B8" w14:textId="77777777">
        <w:tc>
          <w:tcPr>
            <w:tcW w:w="4198" w:type="dxa"/>
          </w:tcPr>
          <w:p w14:paraId="2562C5BC" w14:textId="77777777" w:rsidR="008403BD" w:rsidRDefault="007D49D9">
            <w:pPr>
              <w:jc w:val="both"/>
              <w:rPr>
                <w:rFonts w:ascii="Arial" w:hAnsi="Arial" w:cs="Arial"/>
                <w:sz w:val="23"/>
                <w:szCs w:val="23"/>
                <w:lang w:val="es-ES"/>
              </w:rPr>
            </w:pPr>
            <w:r>
              <w:rPr>
                <w:rFonts w:ascii="Arial" w:hAnsi="Arial" w:cs="Arial"/>
                <w:sz w:val="23"/>
                <w:szCs w:val="23"/>
                <w:lang w:val="es-ES"/>
              </w:rPr>
              <w:t>Fracción de proteínas en las semillas (g(proteína)/g(semillas) )</w:t>
            </w:r>
          </w:p>
        </w:tc>
        <w:tc>
          <w:tcPr>
            <w:tcW w:w="1580" w:type="dxa"/>
          </w:tcPr>
          <w:p w14:paraId="59487EDC" w14:textId="77777777" w:rsidR="008403BD" w:rsidRDefault="007D49D9">
            <w:pPr>
              <w:jc w:val="both"/>
              <w:rPr>
                <w:rFonts w:ascii="Arial" w:hAnsi="Arial" w:cs="Arial"/>
                <w:sz w:val="23"/>
                <w:szCs w:val="23"/>
                <w:lang w:val="es-ES"/>
              </w:rPr>
            </w:pPr>
            <w:r>
              <w:rPr>
                <w:rFonts w:ascii="Arial" w:hAnsi="Arial" w:cs="Arial"/>
                <w:sz w:val="23"/>
                <w:szCs w:val="23"/>
                <w:lang w:val="es-ES"/>
              </w:rPr>
              <w:t>SDPRO</w:t>
            </w:r>
          </w:p>
        </w:tc>
        <w:tc>
          <w:tcPr>
            <w:tcW w:w="1276" w:type="dxa"/>
          </w:tcPr>
          <w:p w14:paraId="4D37954A" w14:textId="77777777" w:rsidR="008403BD" w:rsidRDefault="007D49D9">
            <w:pPr>
              <w:jc w:val="both"/>
              <w:rPr>
                <w:rFonts w:ascii="Arial" w:hAnsi="Arial" w:cs="Arial"/>
                <w:sz w:val="23"/>
                <w:szCs w:val="23"/>
                <w:lang w:val="es-US"/>
              </w:rPr>
            </w:pPr>
            <w:r>
              <w:rPr>
                <w:rFonts w:ascii="Arial" w:hAnsi="Arial" w:cs="Arial"/>
                <w:sz w:val="23"/>
                <w:szCs w:val="23"/>
                <w:lang w:val="es-US"/>
              </w:rPr>
              <w:t>0,3</w:t>
            </w:r>
          </w:p>
        </w:tc>
        <w:tc>
          <w:tcPr>
            <w:tcW w:w="992" w:type="dxa"/>
          </w:tcPr>
          <w:p w14:paraId="686709C7" w14:textId="77777777" w:rsidR="008403BD" w:rsidRDefault="007D49D9">
            <w:pPr>
              <w:jc w:val="both"/>
              <w:rPr>
                <w:rFonts w:ascii="Arial" w:hAnsi="Arial" w:cs="Arial"/>
                <w:sz w:val="23"/>
                <w:szCs w:val="23"/>
                <w:lang w:val="es-US"/>
              </w:rPr>
            </w:pPr>
            <w:r>
              <w:rPr>
                <w:rFonts w:ascii="Arial" w:hAnsi="Arial" w:cs="Arial"/>
                <w:sz w:val="23"/>
                <w:szCs w:val="23"/>
                <w:lang w:val="es-US"/>
              </w:rPr>
              <w:t>0,3</w:t>
            </w:r>
          </w:p>
        </w:tc>
        <w:tc>
          <w:tcPr>
            <w:tcW w:w="897" w:type="dxa"/>
          </w:tcPr>
          <w:p w14:paraId="53EF0596" w14:textId="77777777" w:rsidR="008403BD" w:rsidRDefault="007D49D9">
            <w:pPr>
              <w:jc w:val="both"/>
              <w:rPr>
                <w:rFonts w:ascii="Arial" w:hAnsi="Arial" w:cs="Arial"/>
                <w:sz w:val="23"/>
                <w:szCs w:val="23"/>
                <w:lang w:val="es-US"/>
              </w:rPr>
            </w:pPr>
            <w:r>
              <w:rPr>
                <w:rFonts w:ascii="Arial" w:hAnsi="Arial" w:cs="Arial"/>
                <w:sz w:val="23"/>
                <w:szCs w:val="23"/>
                <w:lang w:val="es-US"/>
              </w:rPr>
              <w:t>0,3</w:t>
            </w:r>
          </w:p>
        </w:tc>
      </w:tr>
      <w:tr w:rsidR="008403BD" w14:paraId="0962A76B" w14:textId="77777777">
        <w:tc>
          <w:tcPr>
            <w:tcW w:w="4198" w:type="dxa"/>
          </w:tcPr>
          <w:p w14:paraId="4FEAE6B8" w14:textId="77777777" w:rsidR="008403BD" w:rsidRDefault="007D49D9">
            <w:pPr>
              <w:jc w:val="both"/>
              <w:rPr>
                <w:rFonts w:ascii="Arial" w:hAnsi="Arial" w:cs="Arial"/>
                <w:sz w:val="23"/>
                <w:szCs w:val="23"/>
                <w:lang w:val="es-ES"/>
              </w:rPr>
            </w:pPr>
            <w:r>
              <w:rPr>
                <w:rFonts w:ascii="Arial" w:hAnsi="Arial" w:cs="Arial"/>
                <w:sz w:val="23"/>
                <w:szCs w:val="23"/>
                <w:lang w:val="es-ES"/>
              </w:rPr>
              <w:t>Fracción de aceite en las semillas (g(aceite)/g(semillas) )</w:t>
            </w:r>
          </w:p>
        </w:tc>
        <w:tc>
          <w:tcPr>
            <w:tcW w:w="1580" w:type="dxa"/>
          </w:tcPr>
          <w:p w14:paraId="01A208A0" w14:textId="77777777" w:rsidR="008403BD" w:rsidRDefault="007D49D9">
            <w:pPr>
              <w:jc w:val="both"/>
              <w:rPr>
                <w:rFonts w:ascii="Arial" w:hAnsi="Arial" w:cs="Arial"/>
                <w:sz w:val="23"/>
                <w:szCs w:val="23"/>
                <w:lang w:val="es-ES"/>
              </w:rPr>
            </w:pPr>
            <w:r>
              <w:rPr>
                <w:rFonts w:ascii="Arial" w:hAnsi="Arial" w:cs="Arial"/>
                <w:sz w:val="23"/>
                <w:szCs w:val="23"/>
                <w:lang w:val="es-ES"/>
              </w:rPr>
              <w:t>SDLIP</w:t>
            </w:r>
          </w:p>
        </w:tc>
        <w:tc>
          <w:tcPr>
            <w:tcW w:w="1276" w:type="dxa"/>
          </w:tcPr>
          <w:p w14:paraId="40318531" w14:textId="77777777" w:rsidR="008403BD" w:rsidRDefault="007D49D9">
            <w:pPr>
              <w:jc w:val="both"/>
              <w:rPr>
                <w:rFonts w:ascii="Arial" w:hAnsi="Arial" w:cs="Arial"/>
                <w:sz w:val="23"/>
                <w:szCs w:val="23"/>
                <w:lang w:val="es-US"/>
              </w:rPr>
            </w:pPr>
            <w:r>
              <w:rPr>
                <w:rFonts w:ascii="Arial" w:hAnsi="Arial" w:cs="Arial"/>
                <w:sz w:val="23"/>
                <w:szCs w:val="23"/>
                <w:lang w:val="es-US"/>
              </w:rPr>
              <w:t>0,05</w:t>
            </w:r>
          </w:p>
        </w:tc>
        <w:tc>
          <w:tcPr>
            <w:tcW w:w="992" w:type="dxa"/>
          </w:tcPr>
          <w:p w14:paraId="46CF82F1" w14:textId="77777777" w:rsidR="008403BD" w:rsidRDefault="007D49D9">
            <w:pPr>
              <w:jc w:val="both"/>
              <w:rPr>
                <w:rFonts w:ascii="Arial" w:hAnsi="Arial" w:cs="Arial"/>
                <w:sz w:val="23"/>
                <w:szCs w:val="23"/>
                <w:lang w:val="es-US"/>
              </w:rPr>
            </w:pPr>
            <w:r>
              <w:rPr>
                <w:rFonts w:ascii="Arial" w:hAnsi="Arial" w:cs="Arial"/>
                <w:sz w:val="23"/>
                <w:szCs w:val="23"/>
                <w:lang w:val="es-US"/>
              </w:rPr>
              <w:t>0,05</w:t>
            </w:r>
          </w:p>
        </w:tc>
        <w:tc>
          <w:tcPr>
            <w:tcW w:w="897" w:type="dxa"/>
          </w:tcPr>
          <w:p w14:paraId="21DF2A33" w14:textId="77777777" w:rsidR="008403BD" w:rsidRDefault="007D49D9">
            <w:pPr>
              <w:jc w:val="both"/>
              <w:rPr>
                <w:rFonts w:ascii="Arial" w:hAnsi="Arial" w:cs="Arial"/>
                <w:sz w:val="23"/>
                <w:szCs w:val="23"/>
                <w:lang w:val="es-US"/>
              </w:rPr>
            </w:pPr>
            <w:r>
              <w:rPr>
                <w:rFonts w:ascii="Arial" w:hAnsi="Arial" w:cs="Arial"/>
                <w:sz w:val="23"/>
                <w:szCs w:val="23"/>
                <w:lang w:val="es-US"/>
              </w:rPr>
              <w:t>0,05</w:t>
            </w:r>
          </w:p>
        </w:tc>
      </w:tr>
    </w:tbl>
    <w:p w14:paraId="28BD72E3" w14:textId="77777777" w:rsidR="008403BD" w:rsidRDefault="008403BD">
      <w:pPr>
        <w:autoSpaceDE w:val="0"/>
        <w:autoSpaceDN w:val="0"/>
        <w:adjustRightInd w:val="0"/>
        <w:spacing w:before="120" w:after="0" w:line="360" w:lineRule="auto"/>
        <w:jc w:val="both"/>
        <w:rPr>
          <w:rFonts w:ascii="Arial" w:hAnsi="Arial" w:cs="Arial"/>
          <w:i/>
          <w:sz w:val="24"/>
          <w:szCs w:val="24"/>
          <w:lang w:val="es-ES"/>
        </w:rPr>
      </w:pPr>
    </w:p>
    <w:p w14:paraId="06ED3F17" w14:textId="77777777" w:rsidR="008403BD" w:rsidRDefault="007D49D9">
      <w:pPr>
        <w:autoSpaceDE w:val="0"/>
        <w:autoSpaceDN w:val="0"/>
        <w:adjustRightInd w:val="0"/>
        <w:spacing w:before="240" w:after="0" w:line="360" w:lineRule="auto"/>
        <w:jc w:val="both"/>
        <w:rPr>
          <w:rFonts w:ascii="Arial" w:hAnsi="Arial" w:cs="Arial"/>
          <w:sz w:val="24"/>
          <w:szCs w:val="24"/>
          <w:lang w:val="es-ES"/>
        </w:rPr>
      </w:pPr>
      <w:r>
        <w:rPr>
          <w:rFonts w:ascii="Arial" w:hAnsi="Arial" w:cs="Arial"/>
          <w:sz w:val="24"/>
          <w:szCs w:val="24"/>
          <w:lang w:val="es-ES"/>
        </w:rPr>
        <w:t xml:space="preserve">Con respecto a los días a la antesis y maduración se pudo observar que el modelo presentó una alta precisión en la simulación de la fenología del tomate, con valores del coeficiente de concordancia d cercanos a 1 (0,96 y 0,97, respectivamente) y pequeños valores de RMSE (2,71 y 4,02, respectivamente).  Asimismo, se presentó buen ajuste para el rendimiento del cultivar Elbita. Sin embargo, el número de frutos no mostró un ajuste óptimo, subestimando esta variable con un error medio igual a 27 frutos por metro cuadrado y un valor d igual a 0,72 (Tabla 6). Es válido resaltar que aunque d se encuentre por debajo de 0,9, hay autores que consideran los valores superiores a 0,7 como satisfactorios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{"citationID":"MIpEbbmy","properties":{"custom":"(Lamsal {\\i{}et al}., 2013)","formattedCitation":"(Lamsal {\\i{}et al}., 2013)","plainCitation":"(Lamsal et al., 2013)","noteIndex":0},"citationItems":[{"id":1168,"uris":["http://zotero.org/users/12642312/items/VCQBDZKV"],"itemData":{"id":1168,"type":"article-journal","abstract":"Concern is growing about the effects of urbanization on air pollution and health. Nitrogen dioxide (NO2) released primarily from combustion processes, such as traffic, is a short-lived atmospheric pollutant that serves as an air-quality indicator and is itself a health concern. We derive a global distribution of ground-level NO2 concentrations from tropospheric NO2 columns retrieved from the Ozone Monitoring Instrument (OMI). Local scaling factors from a three-dimensional chemistry-transport model (GEOS-Chem) are used to relate the OMI NO2 columns to ground-level concentrations. The OMI-derived surface NO2 data are significantly correlated (r = 0.69) with in situ surface measurements. We examine how the OMI-derived ground-level NO2 concentrations, OMI NO2 columns, and bottom-up NOx emission inventories relate to urban population. Emission hot spots, such as power plants, are excluded to focus on urban relationships. The correlation of surface NO2 with population is significant for the three countries and one continent examined here: United States (r = 0.71), Europe (r = 0.67), China (r = 0.69), and India (r = 0.59). Urban NO2 pollution, like other urban properties, is a power law scaling function of the population size: NO2 concentration increases proportional to population raised to an exponent. The value of the exponent varies by region from 0.36 for India to 0.66 for China, reflecting regional differences in industrial development and per capita emissions. It has been generally established that energy efficiency increases and, therefore, per capita NOx emissions decrease with urban population; here, we show how outdoor ambient NO2 concentrations depend upon urban population in different global regions.","container-title":"Environmental Science &amp; Technology","DOI":"10.1021/es400744g","ISSN":"0013-936X","issue":"14","journalAbbreviation":"Environ. Sci. Technol.","note":"publisher: American Chemical Society","page":"7855-7861","source":"ACS Publications","title":"Scaling Relationship for NO2 Pollution and Urban Population Size: A Satellite Perspective","title-short":"Scaling Relationship for NO2 Pollution and Urban Population Size","URL":"https://doi.org/10.1021/es400744g","volume":"47","author":[{"family":"Lamsal","given":""},{"family":"Martin","given":"R. V."},{"family":"Parrish","given":"D. D."},{"family":"Krotkov","given":"N. A."}],"accessed":{"date-parts":[["2025",4,1]]},"issued":{"date-parts":[["2013",7,16]]}}}],"schema":"https://github.com/citation-style-language/schema/raw/master/csl-citation.json"}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(Lamsal </w:t>
      </w:r>
      <w:r>
        <w:rPr>
          <w:rFonts w:ascii="Arial" w:hAnsi="Arial" w:cs="Arial"/>
          <w:i/>
          <w:iCs/>
          <w:sz w:val="24"/>
          <w:szCs w:val="24"/>
          <w:lang w:val="es-ES"/>
        </w:rPr>
        <w:t>et al</w:t>
      </w:r>
      <w:r>
        <w:rPr>
          <w:rFonts w:ascii="Arial" w:hAnsi="Arial" w:cs="Arial"/>
          <w:sz w:val="24"/>
          <w:szCs w:val="24"/>
          <w:lang w:val="es-ES"/>
        </w:rPr>
        <w:t>., 2013)</w:t>
      </w:r>
      <w:r>
        <w:rPr>
          <w:rFonts w:ascii="Arial" w:hAnsi="Arial" w:cs="Arial"/>
          <w:sz w:val="24"/>
          <w:szCs w:val="24"/>
          <w:lang w:val="es-ES"/>
        </w:rPr>
        <w:fldChar w:fldCharType="end"/>
      </w:r>
      <w:r>
        <w:rPr>
          <w:rFonts w:ascii="Arial" w:hAnsi="Arial" w:cs="Arial"/>
          <w:sz w:val="24"/>
          <w:szCs w:val="24"/>
          <w:lang w:val="es-ES"/>
        </w:rPr>
        <w:t xml:space="preserve">. En todos los casos evaluados el </w:t>
      </w:r>
      <w:r>
        <w:rPr>
          <w:rFonts w:ascii="Cambria Math" w:hAnsi="Cambria Math" w:cs="Cambria Math"/>
          <w:sz w:val="24"/>
          <w:szCs w:val="24"/>
          <w:lang w:val="es-ES"/>
        </w:rPr>
        <w:t>𝑅𝑀𝑆𝐸𝑛</w:t>
      </w:r>
      <w:r>
        <w:rPr>
          <w:rFonts w:ascii="Arial" w:hAnsi="Arial" w:cs="Arial"/>
          <w:sz w:val="24"/>
          <w:szCs w:val="24"/>
          <w:lang w:val="es-ES"/>
        </w:rPr>
        <w:t xml:space="preserve"> se comportó con valores inferiores al 20 %, lo que evidencia el buen acierto de las simulaciones realizadas por el modelo. Estos resultados confirman la precisión del modelo CRPOGRO-Tomato para predecir las etapas criticas del crecimiento, tales como antesis y días a la maduración en el cultivar Elbita.</w:t>
      </w:r>
    </w:p>
    <w:p w14:paraId="569A19EA" w14:textId="77777777" w:rsidR="008403BD" w:rsidRDefault="008403BD">
      <w:pPr>
        <w:autoSpaceDE w:val="0"/>
        <w:autoSpaceDN w:val="0"/>
        <w:adjustRightInd w:val="0"/>
        <w:spacing w:before="240" w:after="0" w:line="360" w:lineRule="auto"/>
        <w:jc w:val="both"/>
        <w:rPr>
          <w:rFonts w:ascii="Arial" w:hAnsi="Arial" w:cs="Arial"/>
          <w:sz w:val="24"/>
          <w:szCs w:val="24"/>
          <w:lang w:val="es-ES"/>
        </w:rPr>
      </w:pPr>
    </w:p>
    <w:p w14:paraId="70E10790" w14:textId="77777777" w:rsidR="008403BD" w:rsidRDefault="00DC020E">
      <w:pPr>
        <w:autoSpaceDE w:val="0"/>
        <w:autoSpaceDN w:val="0"/>
        <w:adjustRightInd w:val="0"/>
        <w:spacing w:before="120" w:after="0" w:line="360" w:lineRule="auto"/>
        <w:jc w:val="both"/>
        <w:rPr>
          <w:rFonts w:ascii="Arial" w:hAnsi="Arial" w:cs="Arial"/>
          <w:b/>
          <w:sz w:val="24"/>
          <w:szCs w:val="24"/>
          <w:lang w:val="es-ES"/>
        </w:rPr>
      </w:pPr>
      <w:r>
        <w:rPr>
          <w:rFonts w:ascii="Arial" w:hAnsi="Arial" w:cs="Arial"/>
          <w:b/>
          <w:sz w:val="24"/>
          <w:szCs w:val="24"/>
          <w:lang w:val="es-ES"/>
        </w:rPr>
        <w:lastRenderedPageBreak/>
        <w:t>Tabla 6.</w:t>
      </w:r>
      <w:r w:rsidR="007D49D9">
        <w:rPr>
          <w:rFonts w:ascii="Arial" w:hAnsi="Arial" w:cs="Arial"/>
          <w:b/>
          <w:sz w:val="24"/>
          <w:szCs w:val="24"/>
          <w:lang w:val="es-ES"/>
        </w:rPr>
        <w:t xml:space="preserve"> </w:t>
      </w:r>
      <w:r w:rsidR="007D49D9" w:rsidRPr="00DC020E">
        <w:rPr>
          <w:rFonts w:ascii="Arial" w:hAnsi="Arial" w:cs="Arial"/>
          <w:sz w:val="24"/>
          <w:szCs w:val="24"/>
          <w:lang w:val="es-ES"/>
        </w:rPr>
        <w:t>Resultados de la calibración y validación para el cultivar Elbita del model</w:t>
      </w:r>
      <w:r w:rsidR="00CE4DBC">
        <w:rPr>
          <w:rFonts w:ascii="Arial" w:hAnsi="Arial" w:cs="Arial"/>
          <w:sz w:val="24"/>
          <w:szCs w:val="24"/>
          <w:lang w:val="es-ES"/>
        </w:rPr>
        <w:t>o CROPGRO-Tomato de DSSAT 4.8.2</w:t>
      </w:r>
    </w:p>
    <w:tbl>
      <w:tblPr>
        <w:tblStyle w:val="Tablaconcuadrcula"/>
        <w:tblW w:w="0" w:type="auto"/>
        <w:jc w:val="center"/>
        <w:tblInd w:w="0" w:type="dxa"/>
        <w:tblLook w:val="04A0" w:firstRow="1" w:lastRow="0" w:firstColumn="1" w:lastColumn="0" w:noHBand="0" w:noVBand="1"/>
      </w:tblPr>
      <w:tblGrid>
        <w:gridCol w:w="1298"/>
        <w:gridCol w:w="920"/>
        <w:gridCol w:w="925"/>
        <w:gridCol w:w="940"/>
        <w:gridCol w:w="937"/>
        <w:gridCol w:w="944"/>
        <w:gridCol w:w="953"/>
        <w:gridCol w:w="950"/>
        <w:gridCol w:w="961"/>
      </w:tblGrid>
      <w:tr w:rsidR="008403BD" w14:paraId="4550F93A" w14:textId="77777777" w:rsidTr="00A02F93">
        <w:trPr>
          <w:jc w:val="center"/>
        </w:trPr>
        <w:tc>
          <w:tcPr>
            <w:tcW w:w="1162" w:type="dxa"/>
          </w:tcPr>
          <w:p w14:paraId="03EC0C30" w14:textId="77777777" w:rsidR="008403BD" w:rsidRDefault="008403BD">
            <w:pPr>
              <w:autoSpaceDE w:val="0"/>
              <w:autoSpaceDN w:val="0"/>
              <w:adjustRightInd w:val="0"/>
              <w:spacing w:before="120" w:line="360" w:lineRule="auto"/>
              <w:jc w:val="both"/>
              <w:rPr>
                <w:rFonts w:ascii="Arial" w:hAnsi="Arial" w:cs="Arial"/>
                <w:sz w:val="24"/>
                <w:szCs w:val="24"/>
                <w:lang w:val="es-ES"/>
              </w:rPr>
            </w:pPr>
          </w:p>
        </w:tc>
        <w:tc>
          <w:tcPr>
            <w:tcW w:w="1904" w:type="dxa"/>
            <w:gridSpan w:val="2"/>
            <w:vAlign w:val="center"/>
          </w:tcPr>
          <w:p w14:paraId="119C3E12" w14:textId="6370F2B9" w:rsidR="008403BD" w:rsidRDefault="007D49D9" w:rsidP="00A02F93">
            <w:pPr>
              <w:autoSpaceDE w:val="0"/>
              <w:autoSpaceDN w:val="0"/>
              <w:adjustRightInd w:val="0"/>
              <w:spacing w:before="120" w:line="360" w:lineRule="auto"/>
              <w:jc w:val="center"/>
              <w:rPr>
                <w:rFonts w:ascii="Arial" w:hAnsi="Arial" w:cs="Arial"/>
                <w:color w:val="000000"/>
                <w:sz w:val="24"/>
                <w:szCs w:val="24"/>
                <w:lang w:val="es-ES"/>
              </w:rPr>
            </w:pPr>
            <w:r>
              <w:rPr>
                <w:rFonts w:ascii="Arial" w:hAnsi="Arial" w:cs="Arial"/>
                <w:color w:val="000000"/>
                <w:sz w:val="24"/>
                <w:szCs w:val="24"/>
                <w:lang w:val="es-ES"/>
              </w:rPr>
              <w:t>Días a la antesis</w:t>
            </w:r>
          </w:p>
          <w:p w14:paraId="3205E798" w14:textId="77777777" w:rsidR="008403BD" w:rsidRDefault="007D49D9" w:rsidP="00A02F93">
            <w:pPr>
              <w:autoSpaceDE w:val="0"/>
              <w:autoSpaceDN w:val="0"/>
              <w:adjustRightInd w:val="0"/>
              <w:spacing w:before="120" w:line="360" w:lineRule="auto"/>
              <w:jc w:val="center"/>
              <w:rPr>
                <w:rFonts w:ascii="Arial" w:hAnsi="Arial" w:cs="Arial"/>
                <w:color w:val="000000"/>
                <w:sz w:val="24"/>
                <w:szCs w:val="24"/>
                <w:lang w:val="es-ES"/>
              </w:rPr>
            </w:pPr>
            <w:r>
              <w:rPr>
                <w:rFonts w:ascii="Arial" w:hAnsi="Arial" w:cs="Arial"/>
                <w:color w:val="000000"/>
                <w:sz w:val="24"/>
                <w:szCs w:val="24"/>
                <w:lang w:val="es-ES"/>
              </w:rPr>
              <w:t>(</w:t>
            </w:r>
            <w:proofErr w:type="spellStart"/>
            <w:r>
              <w:rPr>
                <w:rFonts w:ascii="Arial" w:hAnsi="Arial" w:cs="Arial"/>
                <w:color w:val="000000"/>
                <w:sz w:val="24"/>
                <w:szCs w:val="24"/>
                <w:lang w:val="es-ES"/>
              </w:rPr>
              <w:t>ddp</w:t>
            </w:r>
            <w:proofErr w:type="spellEnd"/>
            <w:r>
              <w:rPr>
                <w:rFonts w:ascii="Arial" w:hAnsi="Arial" w:cs="Arial"/>
                <w:color w:val="000000"/>
                <w:sz w:val="24"/>
                <w:szCs w:val="24"/>
                <w:lang w:val="es-ES"/>
              </w:rPr>
              <w:t>)</w:t>
            </w:r>
          </w:p>
        </w:tc>
        <w:tc>
          <w:tcPr>
            <w:tcW w:w="1920" w:type="dxa"/>
            <w:gridSpan w:val="2"/>
            <w:vAlign w:val="center"/>
          </w:tcPr>
          <w:p w14:paraId="27928EC2" w14:textId="77777777" w:rsidR="008403BD" w:rsidRDefault="007D49D9" w:rsidP="00A02F93">
            <w:pPr>
              <w:autoSpaceDE w:val="0"/>
              <w:autoSpaceDN w:val="0"/>
              <w:adjustRightInd w:val="0"/>
              <w:spacing w:before="120" w:line="360" w:lineRule="auto"/>
              <w:jc w:val="center"/>
              <w:rPr>
                <w:rFonts w:ascii="Arial" w:hAnsi="Arial" w:cs="Arial"/>
                <w:color w:val="000000"/>
                <w:sz w:val="24"/>
                <w:szCs w:val="24"/>
                <w:lang w:val="es-ES"/>
              </w:rPr>
            </w:pPr>
            <w:r>
              <w:rPr>
                <w:rFonts w:ascii="Arial" w:hAnsi="Arial" w:cs="Arial"/>
                <w:color w:val="000000"/>
                <w:sz w:val="24"/>
                <w:szCs w:val="24"/>
                <w:lang w:val="es-ES"/>
              </w:rPr>
              <w:t>Días a la maduración (</w:t>
            </w:r>
            <w:proofErr w:type="spellStart"/>
            <w:r>
              <w:rPr>
                <w:rFonts w:ascii="Arial" w:hAnsi="Arial" w:cs="Arial"/>
                <w:color w:val="000000"/>
                <w:sz w:val="24"/>
                <w:szCs w:val="24"/>
                <w:lang w:val="es-ES"/>
              </w:rPr>
              <w:t>ddp</w:t>
            </w:r>
            <w:proofErr w:type="spellEnd"/>
            <w:r>
              <w:rPr>
                <w:rFonts w:ascii="Arial" w:hAnsi="Arial" w:cs="Arial"/>
                <w:color w:val="000000"/>
                <w:sz w:val="24"/>
                <w:szCs w:val="24"/>
                <w:lang w:val="es-ES"/>
              </w:rPr>
              <w:t>)</w:t>
            </w:r>
          </w:p>
        </w:tc>
        <w:tc>
          <w:tcPr>
            <w:tcW w:w="1927" w:type="dxa"/>
            <w:gridSpan w:val="2"/>
            <w:vAlign w:val="center"/>
          </w:tcPr>
          <w:p w14:paraId="3C7B6877" w14:textId="77777777" w:rsidR="008403BD" w:rsidRDefault="007D49D9" w:rsidP="00A02F93">
            <w:pPr>
              <w:autoSpaceDE w:val="0"/>
              <w:autoSpaceDN w:val="0"/>
              <w:adjustRightInd w:val="0"/>
              <w:spacing w:before="120" w:line="360" w:lineRule="auto"/>
              <w:jc w:val="center"/>
              <w:rPr>
                <w:rFonts w:ascii="Arial" w:hAnsi="Arial" w:cs="Arial"/>
                <w:color w:val="000000"/>
                <w:sz w:val="24"/>
                <w:szCs w:val="24"/>
                <w:lang w:val="es-ES"/>
              </w:rPr>
            </w:pPr>
            <w:r>
              <w:rPr>
                <w:rFonts w:ascii="Arial" w:hAnsi="Arial" w:cs="Arial"/>
                <w:color w:val="000000"/>
                <w:sz w:val="24"/>
                <w:szCs w:val="24"/>
                <w:lang w:val="es-ES"/>
              </w:rPr>
              <w:t>Rendimiento</w:t>
            </w:r>
          </w:p>
          <w:p w14:paraId="65637BB7" w14:textId="77777777" w:rsidR="008403BD" w:rsidRDefault="007D49D9" w:rsidP="00A02F93">
            <w:pPr>
              <w:autoSpaceDE w:val="0"/>
              <w:autoSpaceDN w:val="0"/>
              <w:adjustRightInd w:val="0"/>
              <w:spacing w:before="120" w:line="360" w:lineRule="auto"/>
              <w:jc w:val="center"/>
              <w:rPr>
                <w:rFonts w:ascii="Arial" w:hAnsi="Arial" w:cs="Arial"/>
                <w:sz w:val="24"/>
                <w:szCs w:val="24"/>
                <w:lang w:val="es-ES"/>
              </w:rPr>
            </w:pPr>
            <w:r>
              <w:rPr>
                <w:rFonts w:ascii="Arial" w:hAnsi="Arial" w:cs="Arial"/>
                <w:color w:val="000000"/>
                <w:sz w:val="24"/>
                <w:szCs w:val="24"/>
                <w:lang w:val="es-ES"/>
              </w:rPr>
              <w:t>(kg ha</w:t>
            </w:r>
            <w:r>
              <w:rPr>
                <w:rFonts w:ascii="Arial" w:hAnsi="Arial" w:cs="Arial"/>
                <w:color w:val="000000"/>
                <w:sz w:val="24"/>
                <w:szCs w:val="24"/>
                <w:vertAlign w:val="superscript"/>
                <w:lang w:val="es-ES"/>
              </w:rPr>
              <w:t>-1</w:t>
            </w:r>
            <w:r>
              <w:rPr>
                <w:rFonts w:ascii="Arial" w:hAnsi="Arial" w:cs="Arial"/>
                <w:color w:val="000000"/>
                <w:sz w:val="24"/>
                <w:szCs w:val="24"/>
                <w:lang w:val="es-ES"/>
              </w:rPr>
              <w:t xml:space="preserve"> de peso seco)</w:t>
            </w:r>
          </w:p>
        </w:tc>
        <w:tc>
          <w:tcPr>
            <w:tcW w:w="1915" w:type="dxa"/>
            <w:gridSpan w:val="2"/>
            <w:vAlign w:val="center"/>
          </w:tcPr>
          <w:p w14:paraId="348DF732" w14:textId="77777777" w:rsidR="008403BD" w:rsidRDefault="007D49D9" w:rsidP="00A02F93">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N</w:t>
            </w:r>
            <w:r w:rsidR="008E3843">
              <w:rPr>
                <w:rFonts w:ascii="Arial" w:hAnsi="Arial" w:cs="Arial"/>
                <w:sz w:val="24"/>
                <w:szCs w:val="24"/>
                <w:lang w:val="es-ES"/>
              </w:rPr>
              <w:t>ú</w:t>
            </w:r>
            <w:r>
              <w:rPr>
                <w:rFonts w:ascii="Arial" w:hAnsi="Arial" w:cs="Arial"/>
                <w:sz w:val="24"/>
                <w:szCs w:val="24"/>
                <w:lang w:val="es-ES"/>
              </w:rPr>
              <w:t>mero de frutos</w:t>
            </w:r>
          </w:p>
        </w:tc>
      </w:tr>
      <w:tr w:rsidR="008403BD" w14:paraId="15D2BF6A" w14:textId="77777777" w:rsidTr="00A02F93">
        <w:trPr>
          <w:jc w:val="center"/>
        </w:trPr>
        <w:tc>
          <w:tcPr>
            <w:tcW w:w="1162" w:type="dxa"/>
          </w:tcPr>
          <w:p w14:paraId="4E760B86" w14:textId="77777777" w:rsidR="008403BD" w:rsidRDefault="008403BD">
            <w:pPr>
              <w:autoSpaceDE w:val="0"/>
              <w:autoSpaceDN w:val="0"/>
              <w:adjustRightInd w:val="0"/>
              <w:spacing w:before="120" w:line="360" w:lineRule="auto"/>
              <w:jc w:val="both"/>
              <w:rPr>
                <w:rFonts w:ascii="Arial" w:hAnsi="Arial" w:cs="Arial"/>
                <w:sz w:val="24"/>
                <w:szCs w:val="24"/>
                <w:lang w:val="es-ES"/>
              </w:rPr>
            </w:pPr>
          </w:p>
        </w:tc>
        <w:tc>
          <w:tcPr>
            <w:tcW w:w="951" w:type="dxa"/>
            <w:vAlign w:val="center"/>
          </w:tcPr>
          <w:p w14:paraId="21A4EB46" w14:textId="77777777" w:rsidR="008403BD" w:rsidRDefault="007D49D9" w:rsidP="00A02F93">
            <w:pPr>
              <w:spacing w:before="120" w:line="360" w:lineRule="auto"/>
              <w:jc w:val="center"/>
              <w:rPr>
                <w:rFonts w:ascii="Arial" w:eastAsia="Calibri" w:hAnsi="Arial" w:cs="Arial"/>
                <w:sz w:val="24"/>
                <w:szCs w:val="24"/>
              </w:rPr>
            </w:pPr>
            <w:r>
              <w:rPr>
                <w:rFonts w:ascii="Arial" w:eastAsia="Calibri" w:hAnsi="Arial" w:cs="Arial"/>
                <w:sz w:val="24"/>
                <w:szCs w:val="24"/>
              </w:rPr>
              <w:t>Sim</w:t>
            </w:r>
          </w:p>
        </w:tc>
        <w:tc>
          <w:tcPr>
            <w:tcW w:w="953" w:type="dxa"/>
            <w:vAlign w:val="center"/>
          </w:tcPr>
          <w:p w14:paraId="4EE29CDE" w14:textId="77777777" w:rsidR="008403BD" w:rsidRDefault="007D49D9" w:rsidP="00A02F93">
            <w:pPr>
              <w:spacing w:before="120" w:line="360" w:lineRule="auto"/>
              <w:jc w:val="center"/>
              <w:rPr>
                <w:rFonts w:ascii="Arial" w:eastAsia="Calibri" w:hAnsi="Arial" w:cs="Arial"/>
                <w:sz w:val="24"/>
                <w:szCs w:val="24"/>
              </w:rPr>
            </w:pPr>
            <w:proofErr w:type="spellStart"/>
            <w:r>
              <w:rPr>
                <w:rFonts w:ascii="Arial" w:eastAsia="Calibri" w:hAnsi="Arial" w:cs="Arial"/>
                <w:sz w:val="24"/>
                <w:szCs w:val="24"/>
              </w:rPr>
              <w:t>Obs</w:t>
            </w:r>
            <w:proofErr w:type="spellEnd"/>
          </w:p>
        </w:tc>
        <w:tc>
          <w:tcPr>
            <w:tcW w:w="961" w:type="dxa"/>
            <w:vAlign w:val="center"/>
          </w:tcPr>
          <w:p w14:paraId="66A8D294" w14:textId="77777777" w:rsidR="008403BD" w:rsidRDefault="007D49D9" w:rsidP="00A02F93">
            <w:pPr>
              <w:spacing w:before="120" w:line="360" w:lineRule="auto"/>
              <w:jc w:val="center"/>
              <w:rPr>
                <w:rFonts w:ascii="Arial" w:eastAsia="Calibri" w:hAnsi="Arial" w:cs="Arial"/>
                <w:sz w:val="24"/>
                <w:szCs w:val="24"/>
              </w:rPr>
            </w:pPr>
            <w:r>
              <w:rPr>
                <w:rFonts w:ascii="Arial" w:eastAsia="Calibri" w:hAnsi="Arial" w:cs="Arial"/>
                <w:sz w:val="24"/>
                <w:szCs w:val="24"/>
              </w:rPr>
              <w:t>Sim</w:t>
            </w:r>
          </w:p>
        </w:tc>
        <w:tc>
          <w:tcPr>
            <w:tcW w:w="959" w:type="dxa"/>
            <w:vAlign w:val="center"/>
          </w:tcPr>
          <w:p w14:paraId="75A3611D" w14:textId="77777777" w:rsidR="008403BD" w:rsidRDefault="007D49D9" w:rsidP="00A02F93">
            <w:pPr>
              <w:spacing w:before="120" w:line="360" w:lineRule="auto"/>
              <w:jc w:val="center"/>
              <w:rPr>
                <w:rFonts w:ascii="Arial" w:eastAsia="Calibri" w:hAnsi="Arial" w:cs="Arial"/>
                <w:sz w:val="24"/>
                <w:szCs w:val="24"/>
              </w:rPr>
            </w:pPr>
            <w:proofErr w:type="spellStart"/>
            <w:r>
              <w:rPr>
                <w:rFonts w:ascii="Arial" w:eastAsia="Calibri" w:hAnsi="Arial" w:cs="Arial"/>
                <w:sz w:val="24"/>
                <w:szCs w:val="24"/>
              </w:rPr>
              <w:t>Obs</w:t>
            </w:r>
            <w:proofErr w:type="spellEnd"/>
          </w:p>
        </w:tc>
        <w:tc>
          <w:tcPr>
            <w:tcW w:w="965" w:type="dxa"/>
            <w:vAlign w:val="center"/>
          </w:tcPr>
          <w:p w14:paraId="17D17E36" w14:textId="77777777" w:rsidR="008403BD" w:rsidRDefault="007D49D9" w:rsidP="00A02F93">
            <w:pPr>
              <w:spacing w:before="120" w:line="360" w:lineRule="auto"/>
              <w:jc w:val="center"/>
              <w:rPr>
                <w:rFonts w:ascii="Arial" w:eastAsia="Calibri" w:hAnsi="Arial" w:cs="Arial"/>
                <w:sz w:val="24"/>
                <w:szCs w:val="24"/>
              </w:rPr>
            </w:pPr>
            <w:r>
              <w:rPr>
                <w:rFonts w:ascii="Arial" w:eastAsia="Calibri" w:hAnsi="Arial" w:cs="Arial"/>
                <w:sz w:val="24"/>
                <w:szCs w:val="24"/>
              </w:rPr>
              <w:t>Sim</w:t>
            </w:r>
          </w:p>
        </w:tc>
        <w:tc>
          <w:tcPr>
            <w:tcW w:w="962" w:type="dxa"/>
            <w:vAlign w:val="center"/>
          </w:tcPr>
          <w:p w14:paraId="5AE3AE04" w14:textId="77777777" w:rsidR="008403BD" w:rsidRDefault="007D49D9" w:rsidP="00A02F93">
            <w:pPr>
              <w:spacing w:before="120" w:line="360" w:lineRule="auto"/>
              <w:jc w:val="center"/>
              <w:rPr>
                <w:rFonts w:ascii="Arial" w:eastAsia="Calibri" w:hAnsi="Arial" w:cs="Arial"/>
                <w:sz w:val="24"/>
                <w:szCs w:val="24"/>
              </w:rPr>
            </w:pPr>
            <w:proofErr w:type="spellStart"/>
            <w:r>
              <w:rPr>
                <w:rFonts w:ascii="Arial" w:eastAsia="Calibri" w:hAnsi="Arial" w:cs="Arial"/>
                <w:sz w:val="24"/>
                <w:szCs w:val="24"/>
              </w:rPr>
              <w:t>Obs</w:t>
            </w:r>
            <w:proofErr w:type="spellEnd"/>
          </w:p>
        </w:tc>
        <w:tc>
          <w:tcPr>
            <w:tcW w:w="951" w:type="dxa"/>
            <w:vAlign w:val="center"/>
          </w:tcPr>
          <w:p w14:paraId="6B97A578" w14:textId="77777777" w:rsidR="008403BD" w:rsidRDefault="007D49D9" w:rsidP="00A02F93">
            <w:pPr>
              <w:spacing w:before="120" w:line="360" w:lineRule="auto"/>
              <w:jc w:val="center"/>
              <w:rPr>
                <w:rFonts w:ascii="Arial" w:eastAsia="Calibri" w:hAnsi="Arial" w:cs="Arial"/>
                <w:sz w:val="24"/>
                <w:szCs w:val="24"/>
              </w:rPr>
            </w:pPr>
            <w:r>
              <w:rPr>
                <w:rFonts w:ascii="Arial" w:eastAsia="Calibri" w:hAnsi="Arial" w:cs="Arial"/>
                <w:sz w:val="24"/>
                <w:szCs w:val="24"/>
              </w:rPr>
              <w:t>Sim</w:t>
            </w:r>
          </w:p>
        </w:tc>
        <w:tc>
          <w:tcPr>
            <w:tcW w:w="964" w:type="dxa"/>
            <w:vAlign w:val="center"/>
          </w:tcPr>
          <w:p w14:paraId="33B3DA84" w14:textId="77777777" w:rsidR="008403BD" w:rsidRDefault="007D49D9" w:rsidP="00A02F93">
            <w:pPr>
              <w:spacing w:before="120" w:line="360" w:lineRule="auto"/>
              <w:jc w:val="center"/>
              <w:rPr>
                <w:rFonts w:ascii="Arial" w:eastAsia="Calibri" w:hAnsi="Arial" w:cs="Arial"/>
                <w:sz w:val="24"/>
                <w:szCs w:val="24"/>
              </w:rPr>
            </w:pPr>
            <w:proofErr w:type="spellStart"/>
            <w:r>
              <w:rPr>
                <w:rFonts w:ascii="Arial" w:eastAsia="Calibri" w:hAnsi="Arial" w:cs="Arial"/>
                <w:sz w:val="24"/>
                <w:szCs w:val="24"/>
              </w:rPr>
              <w:t>Obs</w:t>
            </w:r>
            <w:proofErr w:type="spellEnd"/>
          </w:p>
        </w:tc>
      </w:tr>
      <w:tr w:rsidR="008403BD" w14:paraId="296B98A2" w14:textId="77777777" w:rsidTr="00494336">
        <w:trPr>
          <w:jc w:val="center"/>
        </w:trPr>
        <w:tc>
          <w:tcPr>
            <w:tcW w:w="1162" w:type="dxa"/>
            <w:vAlign w:val="bottom"/>
          </w:tcPr>
          <w:p w14:paraId="51060798" w14:textId="77777777" w:rsidR="008403BD" w:rsidRDefault="007D49D9">
            <w:pPr>
              <w:spacing w:before="120" w:line="360" w:lineRule="auto"/>
              <w:rPr>
                <w:rFonts w:ascii="Arial" w:eastAsia="Times New Roman" w:hAnsi="Arial" w:cs="Arial"/>
                <w:color w:val="000000"/>
                <w:sz w:val="24"/>
                <w:szCs w:val="24"/>
                <w:lang w:val="es-ES"/>
              </w:rPr>
            </w:pPr>
            <w:r>
              <w:rPr>
                <w:rFonts w:ascii="Arial" w:eastAsia="Times New Roman" w:hAnsi="Arial" w:cs="Arial"/>
                <w:color w:val="000000"/>
                <w:sz w:val="24"/>
                <w:szCs w:val="24"/>
                <w:lang w:val="es-ES"/>
              </w:rPr>
              <w:t>Febrero 2022</w:t>
            </w:r>
          </w:p>
        </w:tc>
        <w:tc>
          <w:tcPr>
            <w:tcW w:w="951" w:type="dxa"/>
            <w:vAlign w:val="center"/>
          </w:tcPr>
          <w:p w14:paraId="6F5E33FF"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24</w:t>
            </w:r>
          </w:p>
        </w:tc>
        <w:tc>
          <w:tcPr>
            <w:tcW w:w="953" w:type="dxa"/>
            <w:vAlign w:val="center"/>
          </w:tcPr>
          <w:p w14:paraId="0BFDBF6B"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26</w:t>
            </w:r>
          </w:p>
        </w:tc>
        <w:tc>
          <w:tcPr>
            <w:tcW w:w="961" w:type="dxa"/>
            <w:vAlign w:val="center"/>
          </w:tcPr>
          <w:p w14:paraId="20A51010"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60</w:t>
            </w:r>
          </w:p>
        </w:tc>
        <w:tc>
          <w:tcPr>
            <w:tcW w:w="959" w:type="dxa"/>
            <w:vAlign w:val="center"/>
          </w:tcPr>
          <w:p w14:paraId="77660562"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63</w:t>
            </w:r>
          </w:p>
        </w:tc>
        <w:tc>
          <w:tcPr>
            <w:tcW w:w="965" w:type="dxa"/>
            <w:vAlign w:val="center"/>
          </w:tcPr>
          <w:p w14:paraId="1FE97D0F" w14:textId="77777777" w:rsidR="008403BD" w:rsidRDefault="007D49D9" w:rsidP="00494336">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2411</w:t>
            </w:r>
          </w:p>
        </w:tc>
        <w:tc>
          <w:tcPr>
            <w:tcW w:w="962" w:type="dxa"/>
            <w:vAlign w:val="center"/>
          </w:tcPr>
          <w:p w14:paraId="5B6F770C" w14:textId="4818EBB5"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2532</w:t>
            </w:r>
          </w:p>
        </w:tc>
        <w:tc>
          <w:tcPr>
            <w:tcW w:w="951" w:type="dxa"/>
            <w:vAlign w:val="center"/>
          </w:tcPr>
          <w:p w14:paraId="5E36F5F4" w14:textId="77777777"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36,67</w:t>
            </w:r>
          </w:p>
        </w:tc>
        <w:tc>
          <w:tcPr>
            <w:tcW w:w="964" w:type="dxa"/>
            <w:vAlign w:val="center"/>
          </w:tcPr>
          <w:p w14:paraId="7D866F5F" w14:textId="7F1763AE"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45,87</w:t>
            </w:r>
          </w:p>
        </w:tc>
      </w:tr>
      <w:tr w:rsidR="008403BD" w14:paraId="1969EA94" w14:textId="77777777" w:rsidTr="00494336">
        <w:trPr>
          <w:jc w:val="center"/>
        </w:trPr>
        <w:tc>
          <w:tcPr>
            <w:tcW w:w="1162" w:type="dxa"/>
            <w:vAlign w:val="bottom"/>
          </w:tcPr>
          <w:p w14:paraId="1FCB41EA" w14:textId="77777777" w:rsidR="008403BD" w:rsidRDefault="007D49D9">
            <w:pPr>
              <w:spacing w:before="120" w:line="360" w:lineRule="auto"/>
              <w:rPr>
                <w:rFonts w:ascii="Arial" w:eastAsia="Times New Roman" w:hAnsi="Arial" w:cs="Arial"/>
                <w:color w:val="000000"/>
                <w:sz w:val="24"/>
                <w:szCs w:val="24"/>
                <w:lang w:val="es-ES"/>
              </w:rPr>
            </w:pPr>
            <w:r>
              <w:rPr>
                <w:rFonts w:ascii="Arial" w:eastAsia="Times New Roman" w:hAnsi="Arial" w:cs="Arial"/>
                <w:color w:val="000000"/>
                <w:sz w:val="24"/>
                <w:szCs w:val="24"/>
                <w:lang w:val="es-ES"/>
              </w:rPr>
              <w:t>Agosto 2022</w:t>
            </w:r>
          </w:p>
        </w:tc>
        <w:tc>
          <w:tcPr>
            <w:tcW w:w="951" w:type="dxa"/>
            <w:vAlign w:val="center"/>
          </w:tcPr>
          <w:p w14:paraId="53AC7749"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24</w:t>
            </w:r>
          </w:p>
        </w:tc>
        <w:tc>
          <w:tcPr>
            <w:tcW w:w="953" w:type="dxa"/>
            <w:vAlign w:val="center"/>
          </w:tcPr>
          <w:p w14:paraId="1A691E16"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24</w:t>
            </w:r>
          </w:p>
        </w:tc>
        <w:tc>
          <w:tcPr>
            <w:tcW w:w="961" w:type="dxa"/>
            <w:vAlign w:val="center"/>
          </w:tcPr>
          <w:p w14:paraId="4DB4016A"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54</w:t>
            </w:r>
          </w:p>
        </w:tc>
        <w:tc>
          <w:tcPr>
            <w:tcW w:w="959" w:type="dxa"/>
            <w:vAlign w:val="center"/>
          </w:tcPr>
          <w:p w14:paraId="0DA72E08"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55</w:t>
            </w:r>
          </w:p>
        </w:tc>
        <w:tc>
          <w:tcPr>
            <w:tcW w:w="965" w:type="dxa"/>
            <w:vAlign w:val="center"/>
          </w:tcPr>
          <w:p w14:paraId="619D994F" w14:textId="77777777" w:rsidR="008403BD" w:rsidRDefault="007D49D9" w:rsidP="00494336">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1462</w:t>
            </w:r>
          </w:p>
        </w:tc>
        <w:tc>
          <w:tcPr>
            <w:tcW w:w="962" w:type="dxa"/>
            <w:vAlign w:val="center"/>
          </w:tcPr>
          <w:p w14:paraId="760F5293" w14:textId="3F5814C1"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1618</w:t>
            </w:r>
          </w:p>
        </w:tc>
        <w:tc>
          <w:tcPr>
            <w:tcW w:w="951" w:type="dxa"/>
            <w:vAlign w:val="center"/>
          </w:tcPr>
          <w:p w14:paraId="44DFBA4D" w14:textId="77777777"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32,74</w:t>
            </w:r>
          </w:p>
        </w:tc>
        <w:tc>
          <w:tcPr>
            <w:tcW w:w="964" w:type="dxa"/>
            <w:vAlign w:val="center"/>
          </w:tcPr>
          <w:p w14:paraId="55FB0133" w14:textId="31210469"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25,91</w:t>
            </w:r>
          </w:p>
        </w:tc>
      </w:tr>
      <w:tr w:rsidR="008403BD" w14:paraId="0A410F13" w14:textId="77777777" w:rsidTr="00494336">
        <w:trPr>
          <w:jc w:val="center"/>
        </w:trPr>
        <w:tc>
          <w:tcPr>
            <w:tcW w:w="1162" w:type="dxa"/>
            <w:vAlign w:val="bottom"/>
          </w:tcPr>
          <w:p w14:paraId="0F58FC92" w14:textId="77777777" w:rsidR="008403BD" w:rsidRDefault="007D49D9">
            <w:pPr>
              <w:spacing w:before="120" w:line="360" w:lineRule="auto"/>
              <w:rPr>
                <w:rFonts w:ascii="Arial" w:eastAsia="Times New Roman" w:hAnsi="Arial" w:cs="Arial"/>
                <w:color w:val="000000"/>
                <w:sz w:val="24"/>
                <w:szCs w:val="24"/>
                <w:lang w:val="es-ES"/>
              </w:rPr>
            </w:pPr>
            <w:r>
              <w:rPr>
                <w:rFonts w:ascii="Arial" w:eastAsia="Times New Roman" w:hAnsi="Arial" w:cs="Arial"/>
                <w:color w:val="000000"/>
                <w:sz w:val="24"/>
                <w:szCs w:val="24"/>
                <w:lang w:val="es-ES"/>
              </w:rPr>
              <w:t>Diciembre 2022</w:t>
            </w:r>
          </w:p>
        </w:tc>
        <w:tc>
          <w:tcPr>
            <w:tcW w:w="951" w:type="dxa"/>
            <w:vAlign w:val="center"/>
          </w:tcPr>
          <w:p w14:paraId="63DE277B" w14:textId="77777777" w:rsidR="008403BD" w:rsidRDefault="007D49D9" w:rsidP="00494336">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32</w:t>
            </w:r>
          </w:p>
        </w:tc>
        <w:tc>
          <w:tcPr>
            <w:tcW w:w="953" w:type="dxa"/>
            <w:vAlign w:val="center"/>
          </w:tcPr>
          <w:p w14:paraId="5C9D8D99"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35</w:t>
            </w:r>
          </w:p>
        </w:tc>
        <w:tc>
          <w:tcPr>
            <w:tcW w:w="961" w:type="dxa"/>
            <w:vAlign w:val="center"/>
          </w:tcPr>
          <w:p w14:paraId="234E0059"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67</w:t>
            </w:r>
          </w:p>
        </w:tc>
        <w:tc>
          <w:tcPr>
            <w:tcW w:w="959" w:type="dxa"/>
            <w:vAlign w:val="center"/>
          </w:tcPr>
          <w:p w14:paraId="0270210A" w14:textId="77777777" w:rsidR="008403BD" w:rsidRDefault="007D49D9" w:rsidP="00494336">
            <w:pPr>
              <w:spacing w:before="120" w:line="360" w:lineRule="auto"/>
              <w:jc w:val="center"/>
              <w:rPr>
                <w:rFonts w:ascii="Arial" w:eastAsia="Calibri" w:hAnsi="Arial" w:cs="Arial"/>
                <w:sz w:val="24"/>
                <w:szCs w:val="24"/>
              </w:rPr>
            </w:pPr>
            <w:r>
              <w:rPr>
                <w:rFonts w:ascii="Arial" w:eastAsia="Calibri" w:hAnsi="Arial" w:cs="Arial"/>
                <w:sz w:val="24"/>
                <w:szCs w:val="24"/>
              </w:rPr>
              <w:t>72</w:t>
            </w:r>
          </w:p>
        </w:tc>
        <w:tc>
          <w:tcPr>
            <w:tcW w:w="965" w:type="dxa"/>
            <w:vAlign w:val="center"/>
          </w:tcPr>
          <w:p w14:paraId="22B033C8" w14:textId="77777777" w:rsidR="008403BD" w:rsidRDefault="007D49D9" w:rsidP="00494336">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4133</w:t>
            </w:r>
          </w:p>
        </w:tc>
        <w:tc>
          <w:tcPr>
            <w:tcW w:w="962" w:type="dxa"/>
            <w:vAlign w:val="center"/>
          </w:tcPr>
          <w:p w14:paraId="5CBF4D82" w14:textId="5AB2F0E2"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3809</w:t>
            </w:r>
          </w:p>
        </w:tc>
        <w:tc>
          <w:tcPr>
            <w:tcW w:w="951" w:type="dxa"/>
            <w:vAlign w:val="center"/>
          </w:tcPr>
          <w:p w14:paraId="320D5A81" w14:textId="77777777"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54,27</w:t>
            </w:r>
          </w:p>
        </w:tc>
        <w:tc>
          <w:tcPr>
            <w:tcW w:w="964" w:type="dxa"/>
            <w:vAlign w:val="center"/>
          </w:tcPr>
          <w:p w14:paraId="4555DE61" w14:textId="1DCFE58C" w:rsidR="008403BD" w:rsidRDefault="007D49D9" w:rsidP="00494336">
            <w:pPr>
              <w:autoSpaceDE w:val="0"/>
              <w:autoSpaceDN w:val="0"/>
              <w:adjustRightInd w:val="0"/>
              <w:spacing w:before="120" w:line="360" w:lineRule="auto"/>
              <w:ind w:left="60" w:right="60"/>
              <w:jc w:val="center"/>
              <w:rPr>
                <w:rFonts w:ascii="Arial" w:hAnsi="Arial" w:cs="Arial"/>
                <w:color w:val="000000"/>
                <w:sz w:val="24"/>
                <w:szCs w:val="24"/>
              </w:rPr>
            </w:pPr>
            <w:r>
              <w:rPr>
                <w:rFonts w:ascii="Arial" w:hAnsi="Arial" w:cs="Arial"/>
                <w:color w:val="000000"/>
                <w:sz w:val="24"/>
                <w:szCs w:val="24"/>
              </w:rPr>
              <w:t>59,33</w:t>
            </w:r>
          </w:p>
        </w:tc>
      </w:tr>
      <w:tr w:rsidR="008403BD" w14:paraId="24B987C3" w14:textId="77777777" w:rsidTr="00B36AFE">
        <w:trPr>
          <w:jc w:val="center"/>
        </w:trPr>
        <w:tc>
          <w:tcPr>
            <w:tcW w:w="1162" w:type="dxa"/>
          </w:tcPr>
          <w:p w14:paraId="7CEC0B97" w14:textId="77777777" w:rsidR="008403BD" w:rsidRDefault="007D49D9">
            <w:pPr>
              <w:autoSpaceDE w:val="0"/>
              <w:autoSpaceDN w:val="0"/>
              <w:adjustRightInd w:val="0"/>
              <w:spacing w:before="120" w:line="360" w:lineRule="auto"/>
              <w:jc w:val="both"/>
              <w:rPr>
                <w:rFonts w:ascii="Arial" w:hAnsi="Arial" w:cs="Arial"/>
                <w:sz w:val="24"/>
                <w:szCs w:val="24"/>
                <w:lang w:val="es-ES"/>
              </w:rPr>
            </w:pPr>
            <w:r>
              <w:rPr>
                <w:rFonts w:ascii="Arial" w:hAnsi="Arial" w:cs="Arial"/>
                <w:sz w:val="24"/>
                <w:szCs w:val="24"/>
                <w:lang w:val="es-ES"/>
              </w:rPr>
              <w:t>RMSE</w:t>
            </w:r>
          </w:p>
        </w:tc>
        <w:tc>
          <w:tcPr>
            <w:tcW w:w="1904" w:type="dxa"/>
            <w:gridSpan w:val="2"/>
            <w:vAlign w:val="center"/>
          </w:tcPr>
          <w:p w14:paraId="068588D5"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2,71</w:t>
            </w:r>
          </w:p>
        </w:tc>
        <w:tc>
          <w:tcPr>
            <w:tcW w:w="1920" w:type="dxa"/>
            <w:gridSpan w:val="2"/>
            <w:vAlign w:val="center"/>
          </w:tcPr>
          <w:p w14:paraId="4BDF1949"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4,02</w:t>
            </w:r>
          </w:p>
        </w:tc>
        <w:tc>
          <w:tcPr>
            <w:tcW w:w="1927" w:type="dxa"/>
            <w:gridSpan w:val="2"/>
            <w:vAlign w:val="center"/>
          </w:tcPr>
          <w:p w14:paraId="48D9F16B"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117,108</w:t>
            </w:r>
          </w:p>
        </w:tc>
        <w:tc>
          <w:tcPr>
            <w:tcW w:w="1915" w:type="dxa"/>
            <w:gridSpan w:val="2"/>
            <w:vAlign w:val="center"/>
          </w:tcPr>
          <w:p w14:paraId="6C0F5EEC"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23</w:t>
            </w:r>
          </w:p>
        </w:tc>
      </w:tr>
      <w:tr w:rsidR="008403BD" w14:paraId="655B6447" w14:textId="77777777" w:rsidTr="00B36AFE">
        <w:trPr>
          <w:jc w:val="center"/>
        </w:trPr>
        <w:tc>
          <w:tcPr>
            <w:tcW w:w="1162" w:type="dxa"/>
          </w:tcPr>
          <w:p w14:paraId="7C99F969" w14:textId="77777777" w:rsidR="008403BD" w:rsidRDefault="007D49D9">
            <w:pPr>
              <w:autoSpaceDE w:val="0"/>
              <w:autoSpaceDN w:val="0"/>
              <w:adjustRightInd w:val="0"/>
              <w:spacing w:before="120" w:line="360" w:lineRule="auto"/>
              <w:jc w:val="both"/>
              <w:rPr>
                <w:rFonts w:ascii="Arial" w:hAnsi="Arial" w:cs="Arial"/>
                <w:sz w:val="24"/>
                <w:szCs w:val="24"/>
                <w:lang w:val="es-ES"/>
              </w:rPr>
            </w:pPr>
            <w:r>
              <w:rPr>
                <w:rFonts w:ascii="Arial" w:hAnsi="Arial" w:cs="Arial"/>
                <w:sz w:val="24"/>
                <w:szCs w:val="24"/>
                <w:lang w:val="es-ES"/>
              </w:rPr>
              <w:t>d</w:t>
            </w:r>
          </w:p>
        </w:tc>
        <w:tc>
          <w:tcPr>
            <w:tcW w:w="1904" w:type="dxa"/>
            <w:gridSpan w:val="2"/>
            <w:vAlign w:val="center"/>
          </w:tcPr>
          <w:p w14:paraId="3A022C7A"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0,96</w:t>
            </w:r>
          </w:p>
        </w:tc>
        <w:tc>
          <w:tcPr>
            <w:tcW w:w="1920" w:type="dxa"/>
            <w:gridSpan w:val="2"/>
            <w:vAlign w:val="center"/>
          </w:tcPr>
          <w:p w14:paraId="00711D90"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0,97</w:t>
            </w:r>
          </w:p>
        </w:tc>
        <w:tc>
          <w:tcPr>
            <w:tcW w:w="1927" w:type="dxa"/>
            <w:gridSpan w:val="2"/>
            <w:vAlign w:val="center"/>
          </w:tcPr>
          <w:p w14:paraId="0E87DD9B"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0,92</w:t>
            </w:r>
          </w:p>
        </w:tc>
        <w:tc>
          <w:tcPr>
            <w:tcW w:w="1915" w:type="dxa"/>
            <w:gridSpan w:val="2"/>
            <w:vAlign w:val="center"/>
          </w:tcPr>
          <w:p w14:paraId="0D4D30F2" w14:textId="77777777" w:rsidR="008403BD" w:rsidRDefault="007D49D9" w:rsidP="00B36AFE">
            <w:pPr>
              <w:autoSpaceDE w:val="0"/>
              <w:autoSpaceDN w:val="0"/>
              <w:adjustRightInd w:val="0"/>
              <w:spacing w:before="120" w:line="360" w:lineRule="auto"/>
              <w:jc w:val="center"/>
              <w:rPr>
                <w:rFonts w:ascii="Arial" w:hAnsi="Arial" w:cs="Arial"/>
                <w:sz w:val="24"/>
                <w:szCs w:val="24"/>
                <w:lang w:val="es-ES"/>
              </w:rPr>
            </w:pPr>
            <w:r>
              <w:rPr>
                <w:rFonts w:ascii="Arial" w:hAnsi="Arial" w:cs="Arial"/>
                <w:sz w:val="24"/>
                <w:szCs w:val="24"/>
                <w:lang w:val="es-ES"/>
              </w:rPr>
              <w:t>0,72</w:t>
            </w:r>
          </w:p>
        </w:tc>
      </w:tr>
    </w:tbl>
    <w:p w14:paraId="7E22EE5D" w14:textId="77777777" w:rsidR="008403BD" w:rsidRDefault="008403BD">
      <w:pPr>
        <w:autoSpaceDE w:val="0"/>
        <w:autoSpaceDN w:val="0"/>
        <w:adjustRightInd w:val="0"/>
        <w:spacing w:before="120" w:after="0" w:line="360" w:lineRule="auto"/>
        <w:jc w:val="both"/>
        <w:rPr>
          <w:rFonts w:ascii="Arial" w:hAnsi="Arial" w:cs="Arial"/>
          <w:sz w:val="24"/>
          <w:szCs w:val="24"/>
          <w:lang w:val="es-ES"/>
        </w:rPr>
      </w:pPr>
    </w:p>
    <w:p w14:paraId="1D1F63F8" w14:textId="2B8ACB28" w:rsidR="008403BD" w:rsidRDefault="007D49D9">
      <w:p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ES"/>
        </w:rPr>
        <w:t xml:space="preserve">Estos indicadores se han utilizado en diferentes estudios de calibración en el cultivo </w:t>
      </w:r>
      <w:r>
        <w:rPr>
          <w:rFonts w:ascii="Arial" w:hAnsi="Arial" w:cs="Arial"/>
          <w:sz w:val="24"/>
          <w:szCs w:val="24"/>
          <w:lang w:val="es-ES"/>
        </w:rPr>
        <w:fldChar w:fldCharType="begin"/>
      </w:r>
      <w:r w:rsidR="00561C1A">
        <w:rPr>
          <w:rFonts w:ascii="Arial" w:hAnsi="Arial" w:cs="Arial"/>
          <w:sz w:val="24"/>
          <w:szCs w:val="24"/>
          <w:lang w:val="es-ES"/>
        </w:rPr>
        <w:instrText xml:space="preserve"> ADDIN ZOTERO_ITEM CSL_CITATION {"citationID":"ubAt8daP","properties":{"custom":"(Elsayed {\\i{}et al}., 2017; Li {\\i{}et al}., 2021; Chen {\\i{}et al}., 2025; Uslu {\\i{}et al}., 2025)","unsorted":true,"formattedCitation":"(Elsayed {\\i{}et al}., 2017; Li {\\i{}et al}., 2021; Chen {\\i{}et al}., 2025; Uslu {\\i{}et al}., 2025)","plainCitation":"(Elsayed et al., 2017; Li et al., 2021; Chen et al., 2025; Uslu et al., 2025)","noteIndex":0},"citationItems":[{"id":1078,"uris":["http://zotero.org/users/12642312/items/NNRGMP3V"],"itemData":{"id":1078,"type":"article-journal","abstract":"I talian processed tomato has a major dominance at the global level but few studies have been conducted using a cropping systems analysis approach for this crop.The objective of this research was to evaluate the Cropping System Model (CSM)-CROPGRO-Tomato of the DSSAT (Decision Support System for Agrotechnology Transfer) software with experimental data obtained from field studies conducted in Legnaro, northeastern Italy in 2009 and 2010. The experiment encompassed four transplanting dates with ten-day intervals from 22nd March (TD1, 2, 3, and 4), and two processing tomato varieties (Augusto F1 (De Ruiter), and NPT 63 (S &amp; G)) comparing mulched and non-mulched plots. A comparison of yield for the different transplanting dates showed that earlier transplanting increased yield for both varieties, there was a variation in yield between varieties in both years. Calibration of CSM-CROPGRO-Tomato model using non-mulched data of 2009 showed that index of agreement (d-Stat) between observations and model simulation for different parameters (total dry matter, fruits fresh and dry weight, vegetative dry matter, number of fruits, harvest index and leaf area index) using both varieties ranged from 0.562 to 0.964 at TD1, from 0.915 to 0.992 at TD2, from 0.566 to 0.990 at TD3, and from 0.733 to 0.998 at TD4. Values of d-Stat for model calibration were lower for leaf area index, which ranged from 0.511 to 0.924. Model calibration using TD1 gave acceptable simulation, whereas it was quite high with the other transplanting dates. CSM-CROPGRO-Tomato model could be used as a decision-making tool helping in regional short term plans.","container-title":"Egyptian Journal of Soil Science","DOI":"10.21608/ejss.2017.504.1067","ISSN":"0302-6701","issue":"4","note":"publisher: The National Information and Documentation Centre (NIDOC) affiliated to Academy of Scientific Research and Technology(ASRT)","page":"429-442","source":"journals.ekb.eg","title":"Assessment of transplanting date influence on processing tomato (Lycopersicon esculentum Mill.) production using the Cropping System Model (CSM)-CROPGRO-Tomato simulation model A case study for northeastern Italy","URL":"https://ejss.journals.ekb.eg/article_3678.html","volume":"57","author":[{"family":"Elsayed","given":"Maha"},{"family":"Medany","given":"Mahmoud"},{"family":"Hoogenboom","given":"Gerrit"},{"family":"Rinaldi","given":"Michele"},{"family":"Bona","given":"Stefano"},{"family":"Sambo","given":"Paolo"}],"accessed":{"date-parts":[["2025",4,1]]},"issued":{"date-parts":[["2017",12,1]]}},"label":"page"},{"id":1084,"uris":["http://zotero.org/users/12642312/items/SHFGB3QE"],"itemData":{"id":1084,"type":"webpage","title":"Parameter estimation and verification of the DSSAT-CROPGRO-Tomato model under the condition of different amounts of straw returned to the field in the greenhouse.","URL":"https://www.cje.net.cn/EN/10.13292/j.1000-4890.202103.009","author":[{"family":"Li","given":"Bo"},{"family":"Sun","given":"Xiang-long"},{"family":"Yao","given":"Ming-ze"},{"family":"Bao","given":"Huui"},{"family":"Wang","given":"Jun-hao"}],"accessed":{"date-parts":[["2025",4,1]]},"issued":{"date-parts":[["2021"]]}},"label":"page"},{"id":1163,"uris":["http://zotero.org/users/12642312/items/AQACI5A9"],"itemData":{"id":1163,"type":"article-journal","abstract":"In order to explore the applicability of the peanut growth simulation model CSM-CROPGRO-Peanut under conditions of mulched drip irrigation in Xinjiang, and to determine the optimal scenario for parameter estimation and model validation, field experiments were conducted in 2022 and 2023 on the water and nitrogen regulation of peanut. Based on the water requirements during the stages of peanut growth, three irrigation levels (low, medium, and high) and two nitrogen application levels (100% N and 50% N) were set, resulting in six treatments. An additional control treatment (CK) with a medium irrigation level and no nitrogen application was also included. In this study, four different parameter estimation and validation protocols were designed, and different parameter estimation results were obtained using the DSSAT-GLUE parameter estimation module. The results showed that the FL-SH (time between first flower and first pod), FL-SD (time between first flower and first seed), SIZLF (time between first flower and first seed), XFRT (maximum size of full leaf), and WTPSD (maximum weight per seed) parameters exhibited strong variability, with coefficients of variation of 24.33%, 22.9%, 19.78%, 14.47%, and 23.82%, respectively, and were significantly affected by environment–management interactions. Other parameters showed weaker variability, with coefficients of variation that were all less than 10%. The model outputs varied significantly among different parameter estimation protocols. Scenario 3, which used data from the adequate irrigation and adequate fertilization treatment (W3N2) environment across both years for parameter estimation and data from other treatments for validation, showed the highest model calibration and validation accuracy. The average absolute relative error (ARE) and normalized root mean square error (nRMSE) for model calibration and validation were the lowest at 9.1% and 10.1%, respectively. The CSM-CROPGRO-Peanut model effectively simulated peanut growth and development as well as soil moisture dynamics under mulched drip irrigation conditions in Xinjiang, with the highest simulation accuracy observed under full irrigation conditions. The findings provide a basis for using the CSMCROPGRO-Peanut model to develop suitable irrigation and nitrogen application regimes for peanuts under mulched drip irrigation in Xinjiang.","container-title":"Plants","DOI":"10.3390/plants14040614","ISSN":"2223-7747","issue":"4","journalAbbreviation":"Plants","language":"en","license":"https://creativecommons.org/licenses/by/4.0/","page":"614","source":"DOI.org (Crossref)","title":"Calibration and Validation of the CSM-CROPGRO-Peanut Model Under Mulched Drip Irrigation Conditions in Xinjiang","URL":"https://www.mdpi.com/2223-7747/14/4/614","volume":"14","author":[{"family":"Chen","given":"Junwei"},{"family":"Li","given":"Qiang"},{"family":"Zhang","given":"Xiaopei"},{"family":"Dong","given":"Jianshu"},{"family":"Hou","given":"Xianfei"},{"family":"Miao","given":"Haocui"},{"family":"Li","given":"Haiming"},{"family":"Zhang","given":"Yuchao"},{"family":"Shen","given":"Xiaojun"},{"family":"Si","given":"Zhuanyun"},{"family":"Shan","given":"Zhijie"}],"accessed":{"date-parts":[["2025",4,1]]},"issued":{"date-parts":[["2025",2,18]]}},"label":"page"},{"id":1176,"uris":["http://zotero.org/users/12642312/items/3DSHQ6HJ"],"itemData":{"id":1176,"type":"article-journal","abstract":"Irrigation water quality is of critical importance for optimum crop yield of economically important field crops in the Kahramanmaraş plains. A preliminary ecotoxicological assessment is necessary before large-scale irrigation. Therefore, this study aims to evaluate the quality of irrigation water supplied from different water sources (Karasu, Erkenez, and Oklu streams on the Aksu River and Sır Dam) and the effects on the seed germination and early seedling growth of different field crops (wheat, alfalfa, ryegrass, and maize) irrigated with this water. For this, in order to evaluate the effects on seed germination and early growth parameters of forage crop seedlings, a Petri dish germination test was carried out with four replications using a completely randomized design (CRD). Before the germination assay, heavy metal concentrations including copper (Cu), iron (Fe), lead (Pb), chromium (Cr), arsenic (As), nickel (Ni), and cadmium (Cd) were analyzed in water samples obtained from different water sources. In all water samples used for the experiment, Cu concentrations exceeded the acceptable limit of 0.2 mg L</w:instrText>
      </w:r>
      <w:r w:rsidR="00561C1A">
        <w:rPr>
          <w:rFonts w:ascii="Cambria Math" w:hAnsi="Cambria Math" w:cs="Cambria Math"/>
          <w:sz w:val="24"/>
          <w:szCs w:val="24"/>
          <w:lang w:val="es-ES"/>
        </w:rPr>
        <w:instrText>⁻</w:instrText>
      </w:r>
      <w:r w:rsidR="00561C1A">
        <w:rPr>
          <w:rFonts w:ascii="Arial" w:hAnsi="Arial" w:cs="Arial"/>
          <w:sz w:val="24"/>
          <w:szCs w:val="24"/>
          <w:lang w:val="es-ES"/>
        </w:rPr>
        <w:instrText>1. The Cu levels found were 0.98 mg L</w:instrText>
      </w:r>
      <w:r w:rsidR="00561C1A">
        <w:rPr>
          <w:rFonts w:ascii="Cambria Math" w:hAnsi="Cambria Math" w:cs="Cambria Math"/>
          <w:sz w:val="24"/>
          <w:szCs w:val="24"/>
          <w:lang w:val="es-ES"/>
        </w:rPr>
        <w:instrText>⁻</w:instrText>
      </w:r>
      <w:r w:rsidR="00561C1A">
        <w:rPr>
          <w:rFonts w:ascii="Arial" w:hAnsi="Arial" w:cs="Arial"/>
          <w:sz w:val="24"/>
          <w:szCs w:val="24"/>
          <w:lang w:val="es-ES"/>
        </w:rPr>
        <w:instrText>1 in Karasu (KC), 1.627 mg L</w:instrText>
      </w:r>
      <w:r w:rsidR="00561C1A">
        <w:rPr>
          <w:rFonts w:ascii="Cambria Math" w:hAnsi="Cambria Math" w:cs="Cambria Math"/>
          <w:sz w:val="24"/>
          <w:szCs w:val="24"/>
          <w:lang w:val="es-ES"/>
        </w:rPr>
        <w:instrText>⁻</w:instrText>
      </w:r>
      <w:r w:rsidR="00561C1A">
        <w:rPr>
          <w:rFonts w:ascii="Arial" w:hAnsi="Arial" w:cs="Arial"/>
          <w:sz w:val="24"/>
          <w:szCs w:val="24"/>
          <w:lang w:val="es-ES"/>
        </w:rPr>
        <w:instrText>1 in Oklu (OC), 0.945 mg L</w:instrText>
      </w:r>
      <w:r w:rsidR="00561C1A">
        <w:rPr>
          <w:rFonts w:ascii="Cambria Math" w:hAnsi="Cambria Math" w:cs="Cambria Math"/>
          <w:sz w:val="24"/>
          <w:szCs w:val="24"/>
          <w:lang w:val="es-ES"/>
        </w:rPr>
        <w:instrText>⁻</w:instrText>
      </w:r>
      <w:r w:rsidR="00561C1A">
        <w:rPr>
          <w:rFonts w:ascii="Arial" w:hAnsi="Arial" w:cs="Arial"/>
          <w:sz w:val="24"/>
          <w:szCs w:val="24"/>
          <w:lang w:val="es-ES"/>
        </w:rPr>
        <w:instrText>1 in Erkenez (EC), and 1.218 mg L</w:instrText>
      </w:r>
      <w:r w:rsidR="00561C1A">
        <w:rPr>
          <w:rFonts w:ascii="Cambria Math" w:hAnsi="Cambria Math" w:cs="Cambria Math"/>
          <w:sz w:val="24"/>
          <w:szCs w:val="24"/>
          <w:lang w:val="es-ES"/>
        </w:rPr>
        <w:instrText>⁻</w:instrText>
      </w:r>
      <w:r w:rsidR="00561C1A">
        <w:rPr>
          <w:rFonts w:ascii="Arial" w:hAnsi="Arial" w:cs="Arial"/>
          <w:sz w:val="24"/>
          <w:szCs w:val="24"/>
          <w:lang w:val="es-ES"/>
        </w:rPr>
        <w:instrText xml:space="preserve">1 in Sır Dam (SD) waters. Additionally, Fe exceeded the limit only in KC, while Cd surpassed the permissible levels in EC and SD water samples. Seeds exposed to different water treatments were germinated in a climate chamber at 20 ± 1 °C. Over two weeks, daily germination and seedling growth parameters were measured. The results indicated that higher heavy metal concentrations in irrigation water led to a decline in seed germination rates and adversely impacted early seedling growth. Notably, water from Karasu Creek exhibited the most significant negative impact on all germination and growth parameters in the tested crops, especially due to Cu and Fe metal toxicity. Additionally, ryegrass seeds were most affected by these irrigation waters. This study highlights the importance of using uncontaminated quality irrigation water for optimal crop production by quantifying its impact, such as the percentage of decrease in germination or seedling growth.","container-title":"Water","DOI":"10.3390/w17060892","ISSN":"2073-4441","issue":"6","language":"en","license":"http://creativecommons.org/licenses/by/3.0/","note":"number: 6\npublisher: Multidisciplinary Digital Publishing Institute","page":"892","source":"www.mdpi.com","title":"Effects of Different Irrigation Water Sources Contaminated with Heavy Metals on Seed Germination and Seedling Growth of Different Field Crops","URL":"https://www.mdpi.com/2073-4441/17/6/892","volume":"17","author":[{"family":"Uslu","given":"Ömer Süha"},{"family":"Gedik","given":"Osman"},{"family":"Kaya","given":"Ali Rahmi"},{"family":"Erol","given":"Adem"},{"family":"Babur","given":"Emre"},{"family":"Khan","given":"Haroon"},{"family":"Seleiman","given":"Mahmoud F."},{"family":"Wasonga","given":"Daniel O."}],"accessed":{"date-parts":[["2025",4,1]]},"issued":{"date-parts":[["2025",1]]}},"label":"page"}],"schema":"https://github.com/citation-style-language/schema/raw/master/csl-citation.json"} </w:instrText>
      </w:r>
      <w:r>
        <w:rPr>
          <w:rFonts w:ascii="Arial" w:hAnsi="Arial" w:cs="Arial"/>
          <w:sz w:val="24"/>
          <w:szCs w:val="24"/>
          <w:lang w:val="es-ES"/>
        </w:rPr>
        <w:fldChar w:fldCharType="separate"/>
      </w:r>
      <w:r w:rsidR="00561C1A" w:rsidRPr="00B1030D">
        <w:rPr>
          <w:rFonts w:ascii="Arial" w:hAnsi="Arial" w:cs="Arial"/>
          <w:sz w:val="24"/>
          <w:szCs w:val="24"/>
          <w:lang w:val="es-ES"/>
        </w:rPr>
        <w:t xml:space="preserve">(Elsayed </w:t>
      </w:r>
      <w:r w:rsidR="00561C1A" w:rsidRPr="00B1030D">
        <w:rPr>
          <w:rFonts w:ascii="Arial" w:hAnsi="Arial" w:cs="Arial"/>
          <w:i/>
          <w:iCs/>
          <w:sz w:val="24"/>
          <w:szCs w:val="24"/>
          <w:lang w:val="es-ES"/>
        </w:rPr>
        <w:t>et al</w:t>
      </w:r>
      <w:r w:rsidR="00561C1A" w:rsidRPr="00B1030D">
        <w:rPr>
          <w:rFonts w:ascii="Arial" w:hAnsi="Arial" w:cs="Arial"/>
          <w:sz w:val="24"/>
          <w:szCs w:val="24"/>
          <w:lang w:val="es-ES"/>
        </w:rPr>
        <w:t xml:space="preserve">., 2017; Li </w:t>
      </w:r>
      <w:r w:rsidR="00561C1A" w:rsidRPr="00B1030D">
        <w:rPr>
          <w:rFonts w:ascii="Arial" w:hAnsi="Arial" w:cs="Arial"/>
          <w:i/>
          <w:iCs/>
          <w:sz w:val="24"/>
          <w:szCs w:val="24"/>
          <w:lang w:val="es-ES"/>
        </w:rPr>
        <w:t>et al</w:t>
      </w:r>
      <w:r w:rsidR="00561C1A" w:rsidRPr="00B1030D">
        <w:rPr>
          <w:rFonts w:ascii="Arial" w:hAnsi="Arial" w:cs="Arial"/>
          <w:sz w:val="24"/>
          <w:szCs w:val="24"/>
          <w:lang w:val="es-ES"/>
        </w:rPr>
        <w:t xml:space="preserve">., 2021; Chen </w:t>
      </w:r>
      <w:r w:rsidR="00561C1A" w:rsidRPr="00B1030D">
        <w:rPr>
          <w:rFonts w:ascii="Arial" w:hAnsi="Arial" w:cs="Arial"/>
          <w:i/>
          <w:iCs/>
          <w:sz w:val="24"/>
          <w:szCs w:val="24"/>
          <w:lang w:val="es-ES"/>
        </w:rPr>
        <w:t>et al</w:t>
      </w:r>
      <w:r w:rsidR="00561C1A" w:rsidRPr="00B1030D">
        <w:rPr>
          <w:rFonts w:ascii="Arial" w:hAnsi="Arial" w:cs="Arial"/>
          <w:sz w:val="24"/>
          <w:szCs w:val="24"/>
          <w:lang w:val="es-ES"/>
        </w:rPr>
        <w:t xml:space="preserve">., 2025; Uslu </w:t>
      </w:r>
      <w:r w:rsidR="00561C1A" w:rsidRPr="00B1030D">
        <w:rPr>
          <w:rFonts w:ascii="Arial" w:hAnsi="Arial" w:cs="Arial"/>
          <w:i/>
          <w:iCs/>
          <w:sz w:val="24"/>
          <w:szCs w:val="24"/>
          <w:lang w:val="es-ES"/>
        </w:rPr>
        <w:t>et al</w:t>
      </w:r>
      <w:r w:rsidR="00561C1A" w:rsidRPr="00B1030D">
        <w:rPr>
          <w:rFonts w:ascii="Arial" w:hAnsi="Arial" w:cs="Arial"/>
          <w:sz w:val="24"/>
          <w:szCs w:val="24"/>
          <w:lang w:val="es-ES"/>
        </w:rPr>
        <w:t>., 2025)</w:t>
      </w:r>
      <w:r>
        <w:rPr>
          <w:rFonts w:ascii="Arial" w:hAnsi="Arial" w:cs="Arial"/>
          <w:sz w:val="24"/>
          <w:szCs w:val="24"/>
          <w:lang w:val="es-ES"/>
        </w:rPr>
        <w:fldChar w:fldCharType="end"/>
      </w:r>
      <w:r>
        <w:rPr>
          <w:rFonts w:ascii="Arial" w:hAnsi="Arial" w:cs="Arial"/>
          <w:sz w:val="24"/>
          <w:szCs w:val="24"/>
          <w:lang w:val="es-ES"/>
        </w:rPr>
        <w:t xml:space="preserve">. De hecho, se ha informado una gran precisión en los días a la antesis y a la maduración, en el rendimiento y el índice de área foliar, utilizando este modelo calibrado para los cultivares </w:t>
      </w:r>
      <w:proofErr w:type="spellStart"/>
      <w:r>
        <w:rPr>
          <w:rFonts w:ascii="Arial" w:hAnsi="Arial" w:cs="Arial"/>
          <w:sz w:val="24"/>
          <w:szCs w:val="24"/>
          <w:lang w:val="es-ES"/>
        </w:rPr>
        <w:t>Caome</w:t>
      </w:r>
      <w:r w:rsidR="002D4E73">
        <w:rPr>
          <w:rFonts w:ascii="Arial" w:hAnsi="Arial" w:cs="Arial"/>
          <w:sz w:val="24"/>
          <w:szCs w:val="24"/>
          <w:lang w:val="es-ES"/>
        </w:rPr>
        <w:t>i</w:t>
      </w:r>
      <w:proofErr w:type="spellEnd"/>
      <w:r w:rsidR="002D4E73">
        <w:rPr>
          <w:rFonts w:ascii="Arial" w:hAnsi="Arial" w:cs="Arial"/>
          <w:sz w:val="24"/>
          <w:szCs w:val="24"/>
          <w:lang w:val="es-ES"/>
        </w:rPr>
        <w:t xml:space="preserve"> 3, H2274 y H1801 de siembras en condiciones de campo a</w:t>
      </w:r>
      <w:r>
        <w:rPr>
          <w:rFonts w:ascii="Arial" w:hAnsi="Arial" w:cs="Arial"/>
          <w:sz w:val="24"/>
          <w:szCs w:val="24"/>
          <w:lang w:val="es-ES"/>
        </w:rPr>
        <w:t xml:space="preserve"> cielo abierto en diferentes regiones de Turquía y China </w:t>
      </w:r>
      <w:r>
        <w:rPr>
          <w:rFonts w:ascii="Arial" w:hAnsi="Arial" w:cs="Arial"/>
          <w:sz w:val="24"/>
          <w:szCs w:val="24"/>
          <w:lang w:val="es-ES"/>
        </w:rPr>
        <w:fldChar w:fldCharType="begin"/>
      </w:r>
      <w:r w:rsidR="00B1030D">
        <w:rPr>
          <w:rFonts w:ascii="Arial" w:hAnsi="Arial" w:cs="Arial"/>
          <w:sz w:val="24"/>
          <w:szCs w:val="24"/>
          <w:lang w:val="es-ES"/>
        </w:rPr>
        <w:instrText xml:space="preserve"> ADDIN ZOTERO_ITEM CSL_CITATION {"citationID":"WNSYfY9i","properties":{"custom":"(Shravika {\\i{}et al}., 2021; Chen {\\i{}et al}., 2025; Uslu {\\i{}et al}., 2025)","unsorted":true,"formattedCitation":"(Shravika {\\i{}et al}., 2021; Chen {\\i{}et al}., 2025; Uslu {\\i{}et al}., 2025)","plainCitation":"(Shravika et al., 2021; Chen et al., 2025; Uslu et al., 2025)","noteIndex":0},"citationItems":[{"id":1080,"uris":["http://zotero.org/users/12642312/items/USBIBHEG"],"itemData":{"id":1080,"type":"webpage","abstract":"Discover this 2021 paper in International Journal of Bio-Resource &amp; Stress Management by Shravika, L.; Sreenivas, G.; Madhavi, A.; et. al. focusing on: FRUIT yield; PLANTING; AGRICULTURAL policy; CULTIVARS; AGRICULTURAL research; TOMATOES; BIOMASS","language":"es","note":"ISSN: 0976-3988\nissue: 5\npage: 570\nvolume: 12\nDOI: 10.23910/1.2021.2412a","title":"Evaluation of CROPGRO-Tomato Model under Different Dates of Planting and Cultivars under Semi-arid Environment. | EBSCOhost","URL":"https://openurl.ebsco.com/contentitem/doi:10.23910%2F1.2021.2412a?sid=ebsco:plink:crawler&amp;id=ebsco:doi:10.23910%2F1.2021.2412a","author":[{"family":"Shravika","given":"L."},{"family":"Sreenivas","given":"G."},{"family":"Madhavi","given":"A."},{"family":"Rao","given":"A. Manohar"}],"accessed":{"date-parts":[["2025",4,1]]},"issued":{"date-parts":[["2021",10,1]]}},"label":"page"},{"id":1163,"uris":["http://zotero.org/users/12642312/items/AQACI5A9"],"itemData":{"id":1163,"type":"article-journal","abstract":"In order to explore the applicability of the peanut growth simulation model CSM-CROPGRO-Peanut under conditions of mulched drip irrigation in Xinjiang, and to determine the optimal scenario for parameter estimation and model validation, field experiments were conducted in 2022 and 2023 on the water and nitrogen regulation of peanut. Based on the water requirements during the stages of peanut growth, three irrigation levels (low, medium, and high) and two nitrogen application levels (100% N and 50% N) were set, resulting in six treatments. An additional control treatment (CK) with a medium irrigation level and no nitrogen application was also included. In this study, four different parameter estimation and validation protocols were designed, and different parameter estimation results were obtained using the DSSAT-GLUE parameter estimation module. The results showed that the FL-SH (time between first flower and first pod), FL-SD (time between first flower and first seed), SIZLF (time between first flower and first seed), XFRT (maximum size of full leaf), and WTPSD (maximum weight per seed) parameters exhibited strong variability, with coefficients of variation of 24.33%, 22.9%, 19.78%, 14.47%, and 23.82%, respectively, and were significantly affected by environment–management interactions. Other parameters showed weaker variability, with coefficients of variation that were all less than 10%. The model outputs varied significantly among different parameter estimation protocols. Scenario 3, which used data from the adequate irrigation and adequate fertilization treatment (W3N2) environment across both years for parameter estimation and data from other treatments for validation, showed the highest model calibration and validation accuracy. The average absolute relative error (ARE) and normalized root mean square error (nRMSE) for model calibration and validation were the lowest at 9.1% and 10.1%, respectively. The CSM-CROPGRO-Peanut model effectively simulated peanut growth and development as well as soil moisture dynamics under mulched drip irrigation conditions in Xinjiang, with the highest simulation accuracy observed under full irrigation conditions. The findings provide a basis for using the CSMCROPGRO-Peanut model to develop suitable irrigation and nitrogen application regimes for peanuts under mulched drip irrigation in Xinjiang.","container-title":"Plants","DOI":"10.3390/plants14040614","ISSN":"2223-7747","issue":"4","journalAbbreviation":"Plants","language":"en","license":"https://creativecommons.org/licenses/by/4.0/","page":"614","source":"DOI.org (Crossref)","title":"Calibration and Validation of the CSM-CROPGRO-Peanut Model Under Mulched Drip Irrigation Conditions in Xinjiang","URL":"https://www.mdpi.com/2223-7747/14/4/614","volume":"14","author":[{"family":"Chen","given":"Junwei"},{"family":"Li","given":"Qiang"},{"family":"Zhang","given":"Xiaopei"},{"family":"Dong","given":"Jianshu"},{"family":"Hou","given":"Xianfei"},{"family":"Miao","given":"Haocui"},{"family":"Li","given":"Haiming"},{"family":"Zhang","given":"Yuchao"},{"family":"Shen","given":"Xiaojun"},{"family":"Si","given":"Zhuanyun"},{"family":"Shan","given":"Zhijie"}],"accessed":{"date-parts":[["2025",4,1]]},"issued":{"date-parts":[["2025",2,18]]}},"label":"page"},{"id":1176,"uris":["http://zotero.org/users/12642312/items/3DSHQ6HJ"],"itemData":{"id":1176,"type":"article-journal","abstract":"Irrigation water quality is of critical importance for optimum crop yield of economically important field crops in the Kahramanmaraş plains. A preliminary ecotoxicological assessment is necessary before large-scale irrigation. Therefore, this study aims to evaluate the quality of irrigation water supplied from different water sources (Karasu, Erkenez, and Oklu streams on the Aksu River and Sır Dam) and the effects on the seed germination and early seedling growth of different field crops (wheat, alfalfa, ryegrass, and maize) irrigated with this water. For this, in order to evaluate the effects on seed germination and early growth parameters of forage crop seedlings, a Petri dish germination test was carried out with four replications using a completely randomized design (CRD). Before the germination assay, heavy metal concentrations including copper (Cu), iron (Fe), lead (Pb), chromium (Cr), arsenic (As), nickel (Ni), and cadmium (Cd) were analyzed in water samples obtained from different water sources. In all water samples used for the experiment, Cu concentrations exceeded the acceptable limit of 0.2 mg L</w:instrText>
      </w:r>
      <w:r w:rsidR="00B1030D">
        <w:rPr>
          <w:rFonts w:ascii="Cambria Math" w:hAnsi="Cambria Math" w:cs="Cambria Math"/>
          <w:sz w:val="24"/>
          <w:szCs w:val="24"/>
          <w:lang w:val="es-ES"/>
        </w:rPr>
        <w:instrText>⁻</w:instrText>
      </w:r>
      <w:r w:rsidR="00B1030D">
        <w:rPr>
          <w:rFonts w:ascii="Arial" w:hAnsi="Arial" w:cs="Arial"/>
          <w:sz w:val="24"/>
          <w:szCs w:val="24"/>
          <w:lang w:val="es-ES"/>
        </w:rPr>
        <w:instrText>1. The Cu levels found were 0.98 mg L</w:instrText>
      </w:r>
      <w:r w:rsidR="00B1030D">
        <w:rPr>
          <w:rFonts w:ascii="Cambria Math" w:hAnsi="Cambria Math" w:cs="Cambria Math"/>
          <w:sz w:val="24"/>
          <w:szCs w:val="24"/>
          <w:lang w:val="es-ES"/>
        </w:rPr>
        <w:instrText>⁻</w:instrText>
      </w:r>
      <w:r w:rsidR="00B1030D">
        <w:rPr>
          <w:rFonts w:ascii="Arial" w:hAnsi="Arial" w:cs="Arial"/>
          <w:sz w:val="24"/>
          <w:szCs w:val="24"/>
          <w:lang w:val="es-ES"/>
        </w:rPr>
        <w:instrText>1 in Karasu (KC), 1.627 mg L</w:instrText>
      </w:r>
      <w:r w:rsidR="00B1030D">
        <w:rPr>
          <w:rFonts w:ascii="Cambria Math" w:hAnsi="Cambria Math" w:cs="Cambria Math"/>
          <w:sz w:val="24"/>
          <w:szCs w:val="24"/>
          <w:lang w:val="es-ES"/>
        </w:rPr>
        <w:instrText>⁻</w:instrText>
      </w:r>
      <w:r w:rsidR="00B1030D">
        <w:rPr>
          <w:rFonts w:ascii="Arial" w:hAnsi="Arial" w:cs="Arial"/>
          <w:sz w:val="24"/>
          <w:szCs w:val="24"/>
          <w:lang w:val="es-ES"/>
        </w:rPr>
        <w:instrText>1 in Oklu (OC), 0.945 mg L</w:instrText>
      </w:r>
      <w:r w:rsidR="00B1030D">
        <w:rPr>
          <w:rFonts w:ascii="Cambria Math" w:hAnsi="Cambria Math" w:cs="Cambria Math"/>
          <w:sz w:val="24"/>
          <w:szCs w:val="24"/>
          <w:lang w:val="es-ES"/>
        </w:rPr>
        <w:instrText>⁻</w:instrText>
      </w:r>
      <w:r w:rsidR="00B1030D">
        <w:rPr>
          <w:rFonts w:ascii="Arial" w:hAnsi="Arial" w:cs="Arial"/>
          <w:sz w:val="24"/>
          <w:szCs w:val="24"/>
          <w:lang w:val="es-ES"/>
        </w:rPr>
        <w:instrText>1 in Erkenez (EC), and 1.218 mg L</w:instrText>
      </w:r>
      <w:r w:rsidR="00B1030D">
        <w:rPr>
          <w:rFonts w:ascii="Cambria Math" w:hAnsi="Cambria Math" w:cs="Cambria Math"/>
          <w:sz w:val="24"/>
          <w:szCs w:val="24"/>
          <w:lang w:val="es-ES"/>
        </w:rPr>
        <w:instrText>⁻</w:instrText>
      </w:r>
      <w:r w:rsidR="00B1030D">
        <w:rPr>
          <w:rFonts w:ascii="Arial" w:hAnsi="Arial" w:cs="Arial"/>
          <w:sz w:val="24"/>
          <w:szCs w:val="24"/>
          <w:lang w:val="es-ES"/>
        </w:rPr>
        <w:instrText xml:space="preserve">1 in Sır Dam (SD) waters. Additionally, Fe exceeded the limit only in KC, while Cd surpassed the permissible levels in EC and SD water samples. Seeds exposed to different water treatments were germinated in a climate chamber at 20 ± 1 °C. Over two weeks, daily germination and seedling growth parameters were measured. The results indicated that higher heavy metal concentrations in irrigation water led to a decline in seed germination rates and adversely impacted early seedling growth. Notably, water from Karasu Creek exhibited the most significant negative impact on all germination and growth parameters in the tested crops, especially due to Cu and Fe metal toxicity. Additionally, ryegrass seeds were most affected by these irrigation waters. This study highlights the importance of using uncontaminated quality irrigation water for optimal crop production by quantifying its impact, such as the percentage of decrease in germination or seedling growth.","container-title":"Water","DOI":"10.3390/w17060892","ISSN":"2073-4441","issue":"6","language":"en","license":"http://creativecommons.org/licenses/by/3.0/","note":"number: 6\npublisher: Multidisciplinary Digital Publishing Institute","page":"892","source":"www.mdpi.com","title":"Effects of Different Irrigation Water Sources Contaminated with Heavy Metals on Seed Germination and Seedling Growth of Different Field Crops","URL":"https://www.mdpi.com/2073-4441/17/6/892","volume":"17","author":[{"family":"Uslu","given":"Ömer Süha"},{"family":"Gedik","given":"Osman"},{"family":"Kaya","given":"Ali Rahmi"},{"family":"Erol","given":"Adem"},{"family":"Babur","given":"Emre"},{"family":"Khan","given":"Haroon"},{"family":"Seleiman","given":"Mahmoud F."},{"family":"Wasonga","given":"Daniel O."}],"accessed":{"date-parts":[["2025",4,1]]},"issued":{"date-parts":[["2025",1]]}},"label":"page"}],"schema":"https://github.com/citation-style-language/schema/raw/master/csl-citation.json"} </w:instrText>
      </w:r>
      <w:r>
        <w:rPr>
          <w:rFonts w:ascii="Arial" w:hAnsi="Arial" w:cs="Arial"/>
          <w:sz w:val="24"/>
          <w:szCs w:val="24"/>
          <w:lang w:val="es-ES"/>
        </w:rPr>
        <w:fldChar w:fldCharType="separate"/>
      </w:r>
      <w:r w:rsidR="00B1030D" w:rsidRPr="00B1030D">
        <w:rPr>
          <w:rFonts w:ascii="Arial" w:hAnsi="Arial" w:cs="Arial"/>
          <w:sz w:val="24"/>
          <w:szCs w:val="24"/>
          <w:lang w:val="es-ES"/>
        </w:rPr>
        <w:t xml:space="preserve">(Shravika </w:t>
      </w:r>
      <w:r w:rsidR="00B1030D" w:rsidRPr="00B1030D">
        <w:rPr>
          <w:rFonts w:ascii="Arial" w:hAnsi="Arial" w:cs="Arial"/>
          <w:i/>
          <w:iCs/>
          <w:sz w:val="24"/>
          <w:szCs w:val="24"/>
          <w:lang w:val="es-ES"/>
        </w:rPr>
        <w:t>et al</w:t>
      </w:r>
      <w:r w:rsidR="00B1030D" w:rsidRPr="00B1030D">
        <w:rPr>
          <w:rFonts w:ascii="Arial" w:hAnsi="Arial" w:cs="Arial"/>
          <w:sz w:val="24"/>
          <w:szCs w:val="24"/>
          <w:lang w:val="es-ES"/>
        </w:rPr>
        <w:t xml:space="preserve">., 2021; Chen </w:t>
      </w:r>
      <w:r w:rsidR="00B1030D" w:rsidRPr="00B1030D">
        <w:rPr>
          <w:rFonts w:ascii="Arial" w:hAnsi="Arial" w:cs="Arial"/>
          <w:i/>
          <w:iCs/>
          <w:sz w:val="24"/>
          <w:szCs w:val="24"/>
          <w:lang w:val="es-ES"/>
        </w:rPr>
        <w:t>et al</w:t>
      </w:r>
      <w:r w:rsidR="00B1030D" w:rsidRPr="00B1030D">
        <w:rPr>
          <w:rFonts w:ascii="Arial" w:hAnsi="Arial" w:cs="Arial"/>
          <w:sz w:val="24"/>
          <w:szCs w:val="24"/>
          <w:lang w:val="es-ES"/>
        </w:rPr>
        <w:t xml:space="preserve">., 2025; Uslu </w:t>
      </w:r>
      <w:r w:rsidR="00B1030D" w:rsidRPr="00B1030D">
        <w:rPr>
          <w:rFonts w:ascii="Arial" w:hAnsi="Arial" w:cs="Arial"/>
          <w:i/>
          <w:iCs/>
          <w:sz w:val="24"/>
          <w:szCs w:val="24"/>
          <w:lang w:val="es-ES"/>
        </w:rPr>
        <w:t>et al</w:t>
      </w:r>
      <w:r w:rsidR="00B1030D" w:rsidRPr="00B1030D">
        <w:rPr>
          <w:rFonts w:ascii="Arial" w:hAnsi="Arial" w:cs="Arial"/>
          <w:sz w:val="24"/>
          <w:szCs w:val="24"/>
          <w:lang w:val="es-ES"/>
        </w:rPr>
        <w:t>., 2025)</w:t>
      </w:r>
      <w:r>
        <w:rPr>
          <w:rFonts w:ascii="Arial" w:hAnsi="Arial" w:cs="Arial"/>
          <w:sz w:val="24"/>
          <w:szCs w:val="24"/>
          <w:lang w:val="es-ES"/>
        </w:rPr>
        <w:fldChar w:fldCharType="end"/>
      </w:r>
      <w:r>
        <w:rPr>
          <w:rFonts w:ascii="Arial" w:hAnsi="Arial" w:cs="Arial"/>
          <w:sz w:val="24"/>
          <w:szCs w:val="24"/>
          <w:lang w:val="es-ES"/>
        </w:rPr>
        <w:t xml:space="preserve"> también encontraron alta precisión entre valores observados y simulados de los días a la antesis y a la cosecha con un valor de RMSE de 0,5 días. El comportamiento variable respecto a la duración de las fases y el ciclo del cultivo, se puede relacionar con la temperatura en las distintas fechas </w:t>
      </w:r>
      <w:r>
        <w:rPr>
          <w:rFonts w:ascii="Arial" w:hAnsi="Arial" w:cs="Arial"/>
          <w:sz w:val="24"/>
          <w:szCs w:val="24"/>
          <w:lang w:val="es-ES"/>
        </w:rPr>
        <w:lastRenderedPageBreak/>
        <w:t>de siembra; ya que el ciclo de los cultivos se afecta de manera importante por este factor ambiental, lo que puede provocar un alargamiento o acortamiento en</w:t>
      </w:r>
      <w:r w:rsidR="00876F09">
        <w:rPr>
          <w:rFonts w:ascii="Arial" w:hAnsi="Arial" w:cs="Arial"/>
          <w:sz w:val="24"/>
          <w:szCs w:val="24"/>
          <w:lang w:val="es-ES"/>
        </w:rPr>
        <w:t xml:space="preserve"> las fases que dan lugar al peri</w:t>
      </w:r>
      <w:r>
        <w:rPr>
          <w:rFonts w:ascii="Arial" w:hAnsi="Arial" w:cs="Arial"/>
          <w:sz w:val="24"/>
          <w:szCs w:val="24"/>
          <w:lang w:val="es-ES"/>
        </w:rPr>
        <w:t xml:space="preserve">odo de vida de la planta </w:t>
      </w:r>
      <w:r>
        <w:rPr>
          <w:rFonts w:ascii="Arial" w:hAnsi="Arial" w:cs="Arial"/>
          <w:sz w:val="24"/>
          <w:szCs w:val="24"/>
          <w:lang w:val="es-ES"/>
        </w:rPr>
        <w:fldChar w:fldCharType="begin"/>
      </w:r>
      <w:r w:rsidR="00224BF0">
        <w:rPr>
          <w:rFonts w:ascii="Arial" w:hAnsi="Arial" w:cs="Arial"/>
          <w:sz w:val="24"/>
          <w:szCs w:val="24"/>
          <w:lang w:val="es-ES"/>
        </w:rPr>
        <w:instrText xml:space="preserve"> ADDIN ZOTERO_ITEM CSL_CITATION {"citationID":"BMwqPqpA","properties":{"custom":"(Valdez {\\i{}et al}., 2012)","formattedCitation":"(Valdez {\\i{}et al}., 2012)","plainCitation":"(Valdez et al., 2012)","noteIndex":0},"citationItems":[{"id":1180,"uris":["http://zotero.org/users/12642312/items/EGYWBSGM"],"itemData":{"id":1180,"type":"article-journal","container-title":"Agrociencia","ISSN":"1405-3195","issue":"4","language":"en","page":"399-410","source":"SciELO","title":"Phenological prediction models for white corn (Zea mays L.) and fall armyworm (Spodoptera frugiperda J.E. Smith)","URL":"http://www.scielo.org.mx/scielo.php?script=sci_abstract&amp;pid=S1405-31952012000400007&amp;lng=es&amp;nrm=iso&amp;tlng=es","volume":"46","author":[{"family":"Valdez","given":"J. Benigno"},{"family":"Soto-Landeros","given":"Federico"},{"family":"Osuna-Enciso","given":"Tomás"},{"family":"Báez-Sañudo","given":"M. Alonso"}],"accessed":{"date-parts":[["2025",4,1]]},"issued":{"date-parts":[["2012",6]]}}}],"schema":"https://github.com/citation-style-language/schema/raw/master/csl-citation.json"} </w:instrText>
      </w:r>
      <w:r>
        <w:rPr>
          <w:rFonts w:ascii="Arial" w:hAnsi="Arial" w:cs="Arial"/>
          <w:sz w:val="24"/>
          <w:szCs w:val="24"/>
          <w:lang w:val="es-ES"/>
        </w:rPr>
        <w:fldChar w:fldCharType="separate"/>
      </w:r>
      <w:r w:rsidR="00224BF0" w:rsidRPr="00224BF0">
        <w:rPr>
          <w:rFonts w:ascii="Arial" w:hAnsi="Arial" w:cs="Arial"/>
          <w:sz w:val="24"/>
          <w:szCs w:val="24"/>
          <w:lang w:val="es-ES"/>
        </w:rPr>
        <w:t xml:space="preserve">(Valdez </w:t>
      </w:r>
      <w:r w:rsidR="00224BF0" w:rsidRPr="00224BF0">
        <w:rPr>
          <w:rFonts w:ascii="Arial" w:hAnsi="Arial" w:cs="Arial"/>
          <w:i/>
          <w:iCs/>
          <w:sz w:val="24"/>
          <w:szCs w:val="24"/>
          <w:lang w:val="es-ES"/>
        </w:rPr>
        <w:t>et al</w:t>
      </w:r>
      <w:r w:rsidR="00224BF0" w:rsidRPr="00224BF0">
        <w:rPr>
          <w:rFonts w:ascii="Arial" w:hAnsi="Arial" w:cs="Arial"/>
          <w:sz w:val="24"/>
          <w:szCs w:val="24"/>
          <w:lang w:val="es-ES"/>
        </w:rPr>
        <w:t>., 2012)</w:t>
      </w:r>
      <w:r>
        <w:rPr>
          <w:rFonts w:ascii="Arial" w:hAnsi="Arial" w:cs="Arial"/>
          <w:sz w:val="24"/>
          <w:szCs w:val="24"/>
          <w:lang w:val="es-ES"/>
        </w:rPr>
        <w:fldChar w:fldCharType="end"/>
      </w:r>
      <w:r>
        <w:rPr>
          <w:rFonts w:ascii="Arial" w:hAnsi="Arial" w:cs="Arial"/>
          <w:sz w:val="24"/>
          <w:szCs w:val="24"/>
          <w:lang w:val="es-ES"/>
        </w:rPr>
        <w:t>.</w:t>
      </w:r>
    </w:p>
    <w:p w14:paraId="584AD013" w14:textId="0620F084" w:rsidR="008403BD" w:rsidRDefault="007D49D9">
      <w:pPr>
        <w:autoSpaceDE w:val="0"/>
        <w:autoSpaceDN w:val="0"/>
        <w:adjustRightInd w:val="0"/>
        <w:spacing w:before="120" w:after="0" w:line="360" w:lineRule="auto"/>
        <w:jc w:val="both"/>
        <w:rPr>
          <w:rFonts w:ascii="Arial" w:hAnsi="Arial" w:cs="Arial"/>
          <w:sz w:val="24"/>
          <w:szCs w:val="24"/>
          <w:lang w:val="es-ES"/>
        </w:rPr>
      </w:pP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{"citationID":"rEEat7K2","properties":{"custom":"(Elsayed {\\i{}et al}., 2017)","formattedCitation":"(Elsayed {\\i{}et al}., 2017)","plainCitation":"(Elsayed et al., 2017)","noteIndex":0},"citationItems":[{"id":1078,"uris":["http://zotero.org/users/12642312/items/NNRGMP3V"],"itemData":{"id":1078,"type":"article-journal","abstract":"I talian processed tomato has a major dominance at the global level but few studies have been conducted using a cropping systems analysis approach for this crop.The objective of this research was to evaluate the Cropping System Model (CSM)-CROPGRO-Tomato of the DSSAT (Decision Support System for Agrotechnology Transfer) software with experimental data obtained from field studies conducted in Legnaro, northeastern Italy in 2009 and 2010. The experiment encompassed four transplanting dates with ten-day intervals from 22nd March (TD1, 2, 3, and 4), and two processing tomato varieties (Augusto F1 (De Ruiter), and NPT 63 (S &amp; G)) comparing mulched and non-mulched plots. A comparison of yield for the different transplanting dates showed that earlier transplanting increased yield for both varieties, there was a variation in yield between varieties in both years. Calibration of CSM-CROPGRO-Tomato model using non-mulched data of 2009 showed that index of agreement (d-Stat) between observations and model simulation for different parameters (total dry matter, fruits fresh and dry weight, vegetative dry matter, number of fruits, harvest index and leaf area index) using both varieties ranged from 0.562 to 0.964 at TD1, from 0.915 to 0.992 at TD2, from 0.566 to 0.990 at TD3, and from 0.733 to 0.998 at TD4. Values of d-Stat for model calibration were lower for leaf area index, which ranged from 0.511 to 0.924. Model calibration using TD1 gave acceptable simulation, whereas it was quite high with the other transplanting dates. CSM-CROPGRO-Tomato model could be used as a decision-making tool helping in regional short term plans.","container-title":"Egyptian Journal of Soil Science","DOI":"10.21608/ejss.2017.504.1067","ISSN":"0302-6701","issue":"4","note":"publisher: The National Information and Documentation Centre (NIDOC) affiliated to Academy of Scientific Research and Technology(ASRT)","page":"429-442","source":"journals.ekb.eg","title":"Assessment of transplanting date influence on processing tomato (Lycopersicon esculentum Mill.) production using the Cropping System Model (CSM)-CROPGRO-Tomato simulation model A case study for northeastern Italy","URL":"https://ejss.journals.ekb.eg/article_3678.html","volume":"57","author":[{"family":"Elsayed","given":"Maha"},{"family":"Medany","given":"Mahmoud"},{"family":"Hoogenboom","given":"Gerrit"},{"family":"Rinaldi","given":"Michele"},{"family":"Bona","given":"Stefano"},{"family":"Sambo","given":"Paolo"}],"accessed":{"date-parts":[["2025",4,1]]},"issued":{"date-parts":[["2017",12,1]]}}}],"schema":"https://github.com/citation-style-language/schema/raw/master/csl-citation.json"} </w:instrText>
      </w:r>
      <w:r>
        <w:rPr>
          <w:rFonts w:ascii="Arial" w:hAnsi="Arial" w:cs="Arial"/>
          <w:sz w:val="24"/>
          <w:szCs w:val="24"/>
          <w:lang w:val="es-ES"/>
        </w:rPr>
        <w:fldChar w:fldCharType="separate"/>
      </w:r>
      <w:r w:rsidR="00230B72" w:rsidRPr="00230B72">
        <w:rPr>
          <w:rFonts w:ascii="Arial" w:hAnsi="Arial" w:cs="Arial"/>
          <w:sz w:val="24"/>
          <w:szCs w:val="24"/>
          <w:lang w:val="es-ES"/>
        </w:rPr>
        <w:t xml:space="preserve">Elsayed </w:t>
      </w:r>
      <w:r w:rsidR="00230B72" w:rsidRPr="00230B72">
        <w:rPr>
          <w:rFonts w:ascii="Arial" w:hAnsi="Arial" w:cs="Arial"/>
          <w:i/>
          <w:iCs/>
          <w:sz w:val="24"/>
          <w:szCs w:val="24"/>
          <w:lang w:val="es-ES"/>
        </w:rPr>
        <w:t>et al</w:t>
      </w:r>
      <w:r w:rsidR="00230B72" w:rsidRPr="00230B72">
        <w:rPr>
          <w:rFonts w:ascii="Arial" w:hAnsi="Arial" w:cs="Arial"/>
          <w:sz w:val="24"/>
          <w:szCs w:val="24"/>
          <w:lang w:val="es-ES"/>
        </w:rPr>
        <w:t xml:space="preserve">., </w:t>
      </w:r>
      <w:r w:rsidR="00B83D7B">
        <w:rPr>
          <w:rFonts w:ascii="Arial" w:hAnsi="Arial" w:cs="Arial"/>
          <w:sz w:val="24"/>
          <w:szCs w:val="24"/>
          <w:lang w:val="es-ES"/>
        </w:rPr>
        <w:t>(</w:t>
      </w:r>
      <w:r w:rsidR="00230B72" w:rsidRPr="00230B72">
        <w:rPr>
          <w:rFonts w:ascii="Arial" w:hAnsi="Arial" w:cs="Arial"/>
          <w:sz w:val="24"/>
          <w:szCs w:val="24"/>
          <w:lang w:val="es-ES"/>
        </w:rPr>
        <w:t>2017)</w:t>
      </w:r>
      <w:r>
        <w:rPr>
          <w:rFonts w:ascii="Arial" w:hAnsi="Arial" w:cs="Arial"/>
          <w:sz w:val="24"/>
          <w:szCs w:val="24"/>
          <w:lang w:val="es-ES"/>
        </w:rPr>
        <w:fldChar w:fldCharType="end"/>
      </w:r>
      <w:r>
        <w:rPr>
          <w:rFonts w:ascii="Arial" w:hAnsi="Arial" w:cs="Arial"/>
          <w:sz w:val="24"/>
          <w:szCs w:val="24"/>
          <w:lang w:val="es-ES"/>
        </w:rPr>
        <w:t xml:space="preserve"> señala que la capacidad del modelo para s</w:t>
      </w:r>
      <w:r w:rsidR="00ED1995">
        <w:rPr>
          <w:rFonts w:ascii="Arial" w:hAnsi="Arial" w:cs="Arial"/>
          <w:sz w:val="24"/>
          <w:szCs w:val="24"/>
          <w:lang w:val="es-ES"/>
        </w:rPr>
        <w:t>imu</w:t>
      </w:r>
      <w:r>
        <w:rPr>
          <w:rFonts w:ascii="Arial" w:hAnsi="Arial" w:cs="Arial"/>
          <w:sz w:val="24"/>
          <w:szCs w:val="24"/>
          <w:lang w:val="es-ES"/>
        </w:rPr>
        <w:t xml:space="preserve">lar el crecimiento, desarrollo y rendimiento del cultivo fue relativamente alta cuando se ajustaron los parámetros genéticos utilizando análisis de sensibilidad en el noreste de Italia. Ellos obtuvieron coeficientes genéticos que verdaderamente representan las etapas de crecimiento en el cultivo, sugiriendo el uso del modelo a gran escala.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{"citationID":"BGNCGZRi","properties":{"custom":"(Uslu {\\i{}et al}., 2025)","formattedCitation":"(Uslu {\\i{}et al}., 2025)","plainCitation":"(Uslu et al., 2025)","noteIndex":0},"citationItems":[{"id":1176,"uris":["http://zotero.org/users/12642312/items/3DSHQ6HJ"],"itemData":{"id":1176,"type":"article-journal","abstract":"Irrigation water quality is of critical importance for optimum crop yield of economically important field crops in the Kahramanmaraş plains. A preliminary ecotoxicological assessment is necessary before large-scale irrigation. Therefore, this study aims to evaluate the quality of irrigation water supplied from different water sources (Karasu, Erkenez, and Oklu streams on the Aksu River and Sır Dam) and the effects on the seed germination and early seedling growth of different field crops (wheat, alfalfa, ryegrass, and maize) irrigated with this water. For this, in order to evaluate the effects on seed germination and early growth parameters of forage crop seedlings, a Petri dish germination test was carried out with four replications using a completely randomized design (CRD). Before the germination assay, heavy metal concentrations including copper (Cu), iron (Fe), lead (Pb), chromium (Cr), arsenic (As), nickel (Ni), and cadmium (Cd) were analyzed in water samples obtained from different water sources. In all water samples used for the experiment, Cu concentrations exceeded the acceptable limit of 0.2 mg L</w:instrText>
      </w:r>
      <w:r>
        <w:rPr>
          <w:rFonts w:ascii="Cambria Math" w:hAnsi="Cambria Math" w:cs="Cambria Math"/>
          <w:sz w:val="24"/>
          <w:szCs w:val="24"/>
          <w:lang w:val="es-ES"/>
        </w:rPr>
        <w:instrText>⁻</w:instrText>
      </w:r>
      <w:r>
        <w:rPr>
          <w:rFonts w:ascii="Arial" w:hAnsi="Arial" w:cs="Arial"/>
          <w:sz w:val="24"/>
          <w:szCs w:val="24"/>
          <w:lang w:val="es-ES"/>
        </w:rPr>
        <w:instrText>1. The Cu levels found were 0.98 mg L</w:instrText>
      </w:r>
      <w:r>
        <w:rPr>
          <w:rFonts w:ascii="Cambria Math" w:hAnsi="Cambria Math" w:cs="Cambria Math"/>
          <w:sz w:val="24"/>
          <w:szCs w:val="24"/>
          <w:lang w:val="es-ES"/>
        </w:rPr>
        <w:instrText>⁻</w:instrText>
      </w:r>
      <w:r>
        <w:rPr>
          <w:rFonts w:ascii="Arial" w:hAnsi="Arial" w:cs="Arial"/>
          <w:sz w:val="24"/>
          <w:szCs w:val="24"/>
          <w:lang w:val="es-ES"/>
        </w:rPr>
        <w:instrText>1 in Karasu (KC), 1.627 mg L</w:instrText>
      </w:r>
      <w:r>
        <w:rPr>
          <w:rFonts w:ascii="Cambria Math" w:hAnsi="Cambria Math" w:cs="Cambria Math"/>
          <w:sz w:val="24"/>
          <w:szCs w:val="24"/>
          <w:lang w:val="es-ES"/>
        </w:rPr>
        <w:instrText>⁻</w:instrText>
      </w:r>
      <w:r>
        <w:rPr>
          <w:rFonts w:ascii="Arial" w:hAnsi="Arial" w:cs="Arial"/>
          <w:sz w:val="24"/>
          <w:szCs w:val="24"/>
          <w:lang w:val="es-ES"/>
        </w:rPr>
        <w:instrText>1 in Oklu (OC), 0.945 mg L</w:instrText>
      </w:r>
      <w:r>
        <w:rPr>
          <w:rFonts w:ascii="Cambria Math" w:hAnsi="Cambria Math" w:cs="Cambria Math"/>
          <w:sz w:val="24"/>
          <w:szCs w:val="24"/>
          <w:lang w:val="es-ES"/>
        </w:rPr>
        <w:instrText>⁻</w:instrText>
      </w:r>
      <w:r>
        <w:rPr>
          <w:rFonts w:ascii="Arial" w:hAnsi="Arial" w:cs="Arial"/>
          <w:sz w:val="24"/>
          <w:szCs w:val="24"/>
          <w:lang w:val="es-ES"/>
        </w:rPr>
        <w:instrText>1 in Erkenez (EC), and 1.218 mg L</w:instrText>
      </w:r>
      <w:r>
        <w:rPr>
          <w:rFonts w:ascii="Cambria Math" w:hAnsi="Cambria Math" w:cs="Cambria Math"/>
          <w:sz w:val="24"/>
          <w:szCs w:val="24"/>
          <w:lang w:val="es-ES"/>
        </w:rPr>
        <w:instrText>⁻</w:instrText>
      </w:r>
      <w:r>
        <w:rPr>
          <w:rFonts w:ascii="Arial" w:hAnsi="Arial" w:cs="Arial"/>
          <w:sz w:val="24"/>
          <w:szCs w:val="24"/>
          <w:lang w:val="es-ES"/>
        </w:rPr>
        <w:instrText xml:space="preserve">1 in Sır Dam (SD) waters. Additionally, Fe exceeded the limit only in KC, while Cd surpassed the permissible levels in EC and SD water samples. Seeds exposed to different water treatments were germinated in a climate chamber at 20 ± 1 °C. Over two weeks, daily germination and seedling growth parameters were measured. The results indicated that higher heavy metal concentrations in irrigation water led to a decline in seed germination rates and adversely impacted early seedling growth. Notably, water from Karasu Creek exhibited the most significant negative impact on all germination and growth parameters in the tested crops, especially due to Cu and Fe metal toxicity. Additionally, ryegrass seeds were most affected by these irrigation waters. This study highlights the importance of using uncontaminated quality irrigation water for optimal crop production by quantifying its impact, such as the percentage of decrease in germination or seedling growth.","container-title":"Water","DOI":"10.3390/w17060892","ISSN":"2073-4441","issue":"6","language":"en","license":"http://creativecommons.org/licenses/by/3.0/","note":"number: 6\npublisher: Multidisciplinary Digital Publishing Institute","page":"892","source":"www.mdpi.com","title":"Effects of Different Irrigation Water Sources Contaminated with Heavy Metals on Seed Germination and Seedling Growth of Different Field Crops","URL":"https://www.mdpi.com/2073-4441/17/6/892","volume":"17","author":[{"family":"Uslu","given":"Ömer Süha"},{"family":"Gedik","given":"Osman"},{"family":"Kaya","given":"Ali Rahmi"},{"family":"Erol","given":"Adem"},{"family":"Babur","given":"Emre"},{"family":"Khan","given":"Haroon"},{"family":"Seleiman","given":"Mahmoud F."},{"family":"Wasonga","given":"Daniel O."}],"accessed":{"date-parts":[["2025",4,1]]},"issued":{"date-parts":[["2025",1]]}}}],"schema":"https://github.com/citation-style-language/schema/raw/master/csl-citation.json"} </w:instrText>
      </w:r>
      <w:r>
        <w:rPr>
          <w:rFonts w:ascii="Arial" w:hAnsi="Arial" w:cs="Arial"/>
          <w:sz w:val="24"/>
          <w:szCs w:val="24"/>
          <w:lang w:val="es-ES"/>
        </w:rPr>
        <w:fldChar w:fldCharType="separate"/>
      </w:r>
      <w:r w:rsidR="00230B72" w:rsidRPr="00230B72">
        <w:rPr>
          <w:rFonts w:ascii="Arial" w:hAnsi="Arial" w:cs="Arial"/>
          <w:sz w:val="24"/>
          <w:szCs w:val="24"/>
          <w:lang w:val="es-ES"/>
        </w:rPr>
        <w:t xml:space="preserve">Uslu </w:t>
      </w:r>
      <w:r w:rsidR="00230B72" w:rsidRPr="00230B72">
        <w:rPr>
          <w:rFonts w:ascii="Arial" w:hAnsi="Arial" w:cs="Arial"/>
          <w:i/>
          <w:iCs/>
          <w:sz w:val="24"/>
          <w:szCs w:val="24"/>
          <w:lang w:val="es-ES"/>
        </w:rPr>
        <w:t>et al</w:t>
      </w:r>
      <w:r w:rsidR="00230B72" w:rsidRPr="00230B72">
        <w:rPr>
          <w:rFonts w:ascii="Arial" w:hAnsi="Arial" w:cs="Arial"/>
          <w:sz w:val="24"/>
          <w:szCs w:val="24"/>
          <w:lang w:val="es-ES"/>
        </w:rPr>
        <w:t xml:space="preserve">., </w:t>
      </w:r>
      <w:r w:rsidR="002E7450">
        <w:rPr>
          <w:rFonts w:ascii="Arial" w:hAnsi="Arial" w:cs="Arial"/>
          <w:sz w:val="24"/>
          <w:szCs w:val="24"/>
          <w:lang w:val="es-ES"/>
        </w:rPr>
        <w:t>(</w:t>
      </w:r>
      <w:r w:rsidR="00230B72" w:rsidRPr="00230B72">
        <w:rPr>
          <w:rFonts w:ascii="Arial" w:hAnsi="Arial" w:cs="Arial"/>
          <w:sz w:val="24"/>
          <w:szCs w:val="24"/>
          <w:lang w:val="es-ES"/>
        </w:rPr>
        <w:t>2025)</w:t>
      </w:r>
      <w:r>
        <w:rPr>
          <w:rFonts w:ascii="Arial" w:hAnsi="Arial" w:cs="Arial"/>
          <w:sz w:val="24"/>
          <w:szCs w:val="24"/>
          <w:lang w:val="es-ES"/>
        </w:rPr>
        <w:fldChar w:fldCharType="end"/>
      </w:r>
      <w:r>
        <w:rPr>
          <w:rFonts w:ascii="Arial" w:hAnsi="Arial" w:cs="Arial"/>
          <w:sz w:val="24"/>
          <w:szCs w:val="24"/>
          <w:lang w:val="es-ES"/>
        </w:rPr>
        <w:t xml:space="preserve"> sugiere la aplicación de este modelo en regiones templadas de Turquía siempre y cuando se continúe ajustando el modelo en condiciones de déficit de nutrientes. De igual forma,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{"citationID":"JxhVXYtP","properties":{"custom":"(Potopov\\uc0\\u225{} {\\i{}et al}., 2025)","formattedCitation":"(Potopov\\uc0\\u225{} {\\i{}et al}., 2025)","plainCitation":"(Potopová et al., 2025)","noteIndex":0},"citationItems":[{"id":1083,"uris":["http://zotero.org/users/12642312/items/ZWPC35UT"],"itemData":{"id":1083,"type":"article-journal","abstract":"Integrated modelling of climate change impacts in the soil–plant–atmosphere system can improve agroecosystem resilience and resource use efficiency. For the research on tomato (Solanum lycopersicum L.), bell sweet peppers (Capsicum annuum L.), and winter oilseed rape (Brassica napus L.), the CSM-CROPGRO-Tomato, CSM-CROPGRO-Papper and CSM-CROPGRO-Canola models were used as an example for Central European environment, including the Czech Republic. Their outputs were validated using an extensive experimental field dataset with contrasting climates and soils. The CSM-CROPGRO-Canola model has tested the three-winter oilseed rape (WOSR) varieties from three experimental sites. To identify the most promising agronomic adaptation strategies for thermophilic vegetables (VEG) in open-field growing conditions, the ability of the CSM-CROPGRO-Tomato and CROPGRO-Papper models have been tested. To assess the risk of compound climate/weather events (CEs) for WOSR production and the most promised areas with technical ripening of fruit tomatoes and sweet peppers, the ensemble of the Regional Climate Models for 2001–2020, 2021–2040 and 2041–2060 have been used. We found that linking the CSM-CROPGRO system with an ensemble of climate models is a reliable tool for testing new varieties of WOSR and VEG and assessing their suitability for future climate change.","container-title":"Theoretical and Applied Climatology","DOI":"10.1007/s00704-024-05312-y","ISSN":"1434-4483","issue":"2","journalAbbreviation":"Theor Appl Climatol","language":"en","page":"82","source":"Springer Link","title":"Integrating the DSSAT cropping system model and regional climate models to optimize winter oilseed rape, tomato, and bell sweet pepper production in the Czech Republic","URL":"https://doi.org/10.1007/s00704-024-05312-y","volume":"156","author":[{"family":"Potopová","given":"Vera"},{"family":"Chawdhery","given":"Rafique Ahasan"},{"family":"Muntean","given":"Nina"},{"family":"Tudor","given":"Trifan"},{"family":"Zahradníček","given":"Pavel"},{"family":"Štěpánek","given":"Petr"},{"family":"Soukup","given":"Josef"},{"family":"Zehnálek","given":"Petr"}],"accessed":{"date-parts":[["2025",4,1]]},"issued":{"date-parts":[["2025",1,10]]}}}],"schema":"https://github.com/citation-style-language/schema/raw/master/csl-citation.json"} </w:instrText>
      </w:r>
      <w:r>
        <w:rPr>
          <w:rFonts w:ascii="Arial" w:hAnsi="Arial" w:cs="Arial"/>
          <w:sz w:val="24"/>
          <w:szCs w:val="24"/>
          <w:lang w:val="es-ES"/>
        </w:rPr>
        <w:fldChar w:fldCharType="separate"/>
      </w:r>
      <w:r w:rsidR="00230B72" w:rsidRPr="00230B72">
        <w:rPr>
          <w:rFonts w:ascii="Arial" w:hAnsi="Arial" w:cs="Arial"/>
          <w:sz w:val="24"/>
          <w:szCs w:val="24"/>
          <w:lang w:val="es-ES"/>
        </w:rPr>
        <w:t xml:space="preserve">Potopová </w:t>
      </w:r>
      <w:r w:rsidR="00230B72" w:rsidRPr="00230B72">
        <w:rPr>
          <w:rFonts w:ascii="Arial" w:hAnsi="Arial" w:cs="Arial"/>
          <w:i/>
          <w:iCs/>
          <w:sz w:val="24"/>
          <w:szCs w:val="24"/>
          <w:lang w:val="es-ES"/>
        </w:rPr>
        <w:t>et al</w:t>
      </w:r>
      <w:r w:rsidR="00230B72" w:rsidRPr="00230B72">
        <w:rPr>
          <w:rFonts w:ascii="Arial" w:hAnsi="Arial" w:cs="Arial"/>
          <w:sz w:val="24"/>
          <w:szCs w:val="24"/>
          <w:lang w:val="es-ES"/>
        </w:rPr>
        <w:t xml:space="preserve">., </w:t>
      </w:r>
      <w:r w:rsidR="002E7450">
        <w:rPr>
          <w:rFonts w:ascii="Arial" w:hAnsi="Arial" w:cs="Arial"/>
          <w:sz w:val="24"/>
          <w:szCs w:val="24"/>
          <w:lang w:val="es-ES"/>
        </w:rPr>
        <w:t>(</w:t>
      </w:r>
      <w:r w:rsidR="00230B72" w:rsidRPr="00230B72">
        <w:rPr>
          <w:rFonts w:ascii="Arial" w:hAnsi="Arial" w:cs="Arial"/>
          <w:sz w:val="24"/>
          <w:szCs w:val="24"/>
          <w:lang w:val="es-ES"/>
        </w:rPr>
        <w:t>2025)</w:t>
      </w:r>
      <w:r>
        <w:rPr>
          <w:rFonts w:ascii="Arial" w:hAnsi="Arial" w:cs="Arial"/>
          <w:sz w:val="24"/>
          <w:szCs w:val="24"/>
          <w:lang w:val="es-ES"/>
        </w:rPr>
        <w:fldChar w:fldCharType="end"/>
      </w:r>
      <w:r>
        <w:rPr>
          <w:rFonts w:ascii="Arial" w:hAnsi="Arial" w:cs="Arial"/>
          <w:sz w:val="24"/>
          <w:szCs w:val="24"/>
          <w:lang w:val="es-ES"/>
        </w:rPr>
        <w:t xml:space="preserve"> señala la importancia del uso de este modelo en escenarios presentes y futuros, haciendo énfasis en la sensibilidad del cultivo a temperaturas extremas.</w:t>
      </w:r>
    </w:p>
    <w:p w14:paraId="491D3E78" w14:textId="77777777" w:rsidR="008403BD" w:rsidRDefault="007D49D9">
      <w:pPr>
        <w:pStyle w:val="Ttulo2"/>
        <w:rPr>
          <w:rFonts w:ascii="Arial" w:hAnsi="Arial" w:cs="Arial"/>
          <w:b/>
          <w:color w:val="auto"/>
          <w:sz w:val="28"/>
          <w:szCs w:val="28"/>
          <w:lang w:val="es-ES"/>
        </w:rPr>
      </w:pPr>
      <w:bookmarkStart w:id="24" w:name="_Toc195014961"/>
      <w:r>
        <w:rPr>
          <w:rFonts w:ascii="Arial" w:hAnsi="Arial" w:cs="Arial"/>
          <w:b/>
          <w:color w:val="auto"/>
          <w:sz w:val="28"/>
          <w:szCs w:val="28"/>
          <w:lang w:val="es-ES"/>
        </w:rPr>
        <w:t>3.2 Parámetros relacionados con el crecimiento y producción en tomate</w:t>
      </w:r>
      <w:bookmarkEnd w:id="24"/>
    </w:p>
    <w:p w14:paraId="01F26C12"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A continuación, se muestran los datos correspondientes al ajuste del modelo CROPGRO-Tomato del experimento montado en el periodo óptimo del cultivo (diciembre 2022) </w:t>
      </w:r>
    </w:p>
    <w:p w14:paraId="4C28A649" w14:textId="31336E38" w:rsidR="008403BD" w:rsidRDefault="007D49D9">
      <w:pPr>
        <w:spacing w:before="120" w:after="0" w:line="360" w:lineRule="auto"/>
        <w:jc w:val="both"/>
        <w:rPr>
          <w:rFonts w:ascii="Arial" w:hAnsi="Arial" w:cs="Arial"/>
          <w:sz w:val="24"/>
          <w:szCs w:val="24"/>
          <w:lang w:val="es-ES"/>
        </w:rPr>
      </w:pPr>
      <w:r>
        <w:rPr>
          <w:rFonts w:ascii="Arial" w:hAnsi="Arial" w:cs="Arial"/>
          <w:b/>
          <w:sz w:val="24"/>
          <w:szCs w:val="24"/>
          <w:lang w:val="es-ES"/>
        </w:rPr>
        <w:t>Masa seca de las hojas</w:t>
      </w:r>
      <w:r>
        <w:rPr>
          <w:rFonts w:ascii="Arial" w:hAnsi="Arial" w:cs="Arial"/>
          <w:sz w:val="24"/>
          <w:szCs w:val="24"/>
          <w:lang w:val="es-ES"/>
        </w:rPr>
        <w:t>: La acumulación de masa seca de las hojas presentó un aumento durante casi toda la etapa del cultivo (Figura 5). Al inicio hasta comienzos de la fase reproductiva el crecimiento fue más lento. Posteriormente, y aproximadamente hasta los 90 días después de la siembra, hubo un aumento brusco del peso seco de las hojas. Después de este periodo el crecimiento se estabiliza, y presenta una pequeña disminución. Diversos autores señalan que durante este periodo una gran cantidad de fotoasimilados se destina a la formación y cuajado de frutos y no a la producción de follaje nuevo, señalando que esta disminución se debe al deterioro y caída de hojas producto de</w:t>
      </w:r>
      <w:r w:rsidR="00377DB5">
        <w:rPr>
          <w:rFonts w:ascii="Arial" w:hAnsi="Arial" w:cs="Arial"/>
          <w:sz w:val="24"/>
          <w:szCs w:val="24"/>
          <w:lang w:val="es-ES"/>
        </w:rPr>
        <w:t xml:space="preserve"> </w:t>
      </w:r>
      <w:r>
        <w:rPr>
          <w:rFonts w:ascii="Arial" w:hAnsi="Arial" w:cs="Arial"/>
          <w:sz w:val="24"/>
          <w:szCs w:val="24"/>
          <w:lang w:val="es-ES"/>
        </w:rPr>
        <w:t xml:space="preserve">la senescencia que sufre la planta </w:t>
      </w:r>
      <w:r>
        <w:rPr>
          <w:rFonts w:ascii="Arial" w:hAnsi="Arial" w:cs="Arial"/>
          <w:sz w:val="24"/>
          <w:szCs w:val="24"/>
          <w:lang w:val="es-ES"/>
        </w:rPr>
        <w:fldChar w:fldCharType="begin"/>
      </w:r>
      <w:r w:rsidR="002E7450">
        <w:rPr>
          <w:rFonts w:ascii="Arial" w:hAnsi="Arial" w:cs="Arial"/>
          <w:sz w:val="24"/>
          <w:szCs w:val="24"/>
          <w:lang w:val="es-ES"/>
        </w:rPr>
        <w:instrText xml:space="preserve"> ADDIN ZOTERO_ITEM CSL_CITATION {"citationID":"3zJiUY83","properties":{"custom":"(Hernando {\\i{}et al}., 1964; Cadah\\uc0\\u237{}a &amp; Hernando, 1965)","unsorted":true,"formattedCitation":"(Hernando {\\i{}et al}., 1964; Cadah\\uc0\\u237{}a &amp; Hernando, 1965)","plainCitation":"(Hernando et al., 1964; Cadahía &amp; Hernando, 1965)","noteIndex":0},"citationItems":[{"id":1068,"uris":["http://zotero.org/users/12642312/items/F7XQ7MA9"],"itemData":{"id":1068,"type":"webpage","title":"Anales de Edafología y Agrobiología Tomo 23 | DIGITAL.CSIC","URL":"https://digital.csic.es/handle/10261/215829","author":[{"family":"Hernando","given":"Valentín"},{"family":"Jimeno","given":"L"},{"family":"Cadahía","given":"Carlos"}],"accessed":{"date-parts":[["2025",4,1]]},"issued":{"date-parts":[["1964"]]}},"label":"page"},{"id":1070,"uris":["http://zotero.org/users/12642312/items/E6BRTZKR"],"itemData":{"id":1070,"type":"webpage","title":"Anales de Edafología y Agrobiología Tomo 24 Número 11-12 | DIGITAL.CSIC","URL":"https://digital.csic.es/handle/10261/215874","author":[{"family":"Cadahía","given":"Carlos"},{"family":"Hernando","given":"Valentín"}],"accessed":{"date-parts":[["2025",4,1]]},"issued":{"date-parts":[["1965"]]}},"label":"page"}],"schema":"https://github.com/citation-style-language/schema/raw/master/csl-citation.json"} </w:instrText>
      </w:r>
      <w:r>
        <w:rPr>
          <w:rFonts w:ascii="Arial" w:hAnsi="Arial" w:cs="Arial"/>
          <w:sz w:val="24"/>
          <w:szCs w:val="24"/>
          <w:lang w:val="es-ES"/>
        </w:rPr>
        <w:fldChar w:fldCharType="separate"/>
      </w:r>
      <w:r w:rsidR="002E7450" w:rsidRPr="002E7450">
        <w:rPr>
          <w:rFonts w:ascii="Arial" w:hAnsi="Arial" w:cs="Arial"/>
          <w:sz w:val="24"/>
          <w:szCs w:val="24"/>
          <w:lang w:val="es-ES"/>
        </w:rPr>
        <w:t xml:space="preserve">(Hernando </w:t>
      </w:r>
      <w:r w:rsidR="002E7450" w:rsidRPr="002E7450">
        <w:rPr>
          <w:rFonts w:ascii="Arial" w:hAnsi="Arial" w:cs="Arial"/>
          <w:i/>
          <w:iCs/>
          <w:sz w:val="24"/>
          <w:szCs w:val="24"/>
          <w:lang w:val="es-ES"/>
        </w:rPr>
        <w:t>et al</w:t>
      </w:r>
      <w:r w:rsidR="002E7450" w:rsidRPr="002E7450">
        <w:rPr>
          <w:rFonts w:ascii="Arial" w:hAnsi="Arial" w:cs="Arial"/>
          <w:sz w:val="24"/>
          <w:szCs w:val="24"/>
          <w:lang w:val="es-ES"/>
        </w:rPr>
        <w:t>., 1964; Cadahía &amp; Hernando, 1965)</w:t>
      </w:r>
      <w:r>
        <w:rPr>
          <w:rFonts w:ascii="Arial" w:hAnsi="Arial" w:cs="Arial"/>
          <w:sz w:val="24"/>
          <w:szCs w:val="24"/>
          <w:lang w:val="es-ES"/>
        </w:rPr>
        <w:fldChar w:fldCharType="end"/>
      </w:r>
      <w:r>
        <w:rPr>
          <w:rFonts w:ascii="Arial" w:hAnsi="Arial" w:cs="Arial"/>
          <w:sz w:val="24"/>
          <w:szCs w:val="24"/>
          <w:lang w:val="es-ES"/>
        </w:rPr>
        <w:t>.</w:t>
      </w:r>
    </w:p>
    <w:p w14:paraId="4E801DC1" w14:textId="77777777" w:rsidR="008403BD" w:rsidRDefault="008403BD">
      <w:pPr>
        <w:spacing w:before="120" w:after="0" w:line="360" w:lineRule="auto"/>
        <w:jc w:val="both"/>
        <w:rPr>
          <w:rFonts w:ascii="Arial" w:hAnsi="Arial" w:cs="Arial"/>
          <w:sz w:val="24"/>
          <w:szCs w:val="24"/>
          <w:lang w:val="es-ES"/>
        </w:rPr>
      </w:pPr>
    </w:p>
    <w:p w14:paraId="240260CA" w14:textId="77777777" w:rsidR="008403BD" w:rsidRDefault="007D49D9">
      <w:pPr>
        <w:keepNext/>
      </w:pPr>
      <w:r>
        <w:rPr>
          <w:noProof/>
        </w:rPr>
        <w:lastRenderedPageBreak/>
        <w:drawing>
          <wp:inline distT="0" distB="0" distL="0" distR="0" wp14:anchorId="3C778E15" wp14:editId="5192A01B">
            <wp:extent cx="5612130" cy="3667760"/>
            <wp:effectExtent l="0" t="0" r="7620" b="8890"/>
            <wp:docPr id="1037" name="Imagen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n 30"/>
                    <pic:cNvPicPr/>
                  </pic:nvPicPr>
                  <pic:blipFill>
                    <a:blip r:embed="rId16" cstate="print"/>
                    <a:srcRect/>
                    <a:stretch/>
                  </pic:blipFill>
                  <pic:spPr>
                    <a:xfrm>
                      <a:off x="0" y="0"/>
                      <a:ext cx="5612130" cy="3667760"/>
                    </a:xfrm>
                    <a:prstGeom prst="rect">
                      <a:avLst/>
                    </a:prstGeom>
                  </pic:spPr>
                </pic:pic>
              </a:graphicData>
            </a:graphic>
          </wp:inline>
        </w:drawing>
      </w:r>
    </w:p>
    <w:p w14:paraId="0A47D989" w14:textId="7E0BA5D0" w:rsidR="008403BD" w:rsidRDefault="007D49D9">
      <w:pPr>
        <w:pStyle w:val="Descripcin"/>
        <w:rPr>
          <w:rFonts w:ascii="Arial" w:hAnsi="Arial" w:cs="Arial"/>
          <w:b/>
          <w:color w:val="auto"/>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5</w:t>
      </w:r>
      <w:r>
        <w:rPr>
          <w:rFonts w:ascii="Arial" w:hAnsi="Arial" w:cs="Arial"/>
          <w:b/>
          <w:color w:val="auto"/>
        </w:rPr>
        <w:fldChar w:fldCharType="end"/>
      </w:r>
      <w:r w:rsidR="00E614A4">
        <w:rPr>
          <w:rFonts w:ascii="Arial" w:hAnsi="Arial" w:cs="Arial"/>
          <w:b/>
          <w:color w:val="auto"/>
          <w:lang w:val="es-ES"/>
        </w:rPr>
        <w:t>.</w:t>
      </w:r>
      <w:r>
        <w:rPr>
          <w:rFonts w:ascii="Arial" w:hAnsi="Arial" w:cs="Arial"/>
          <w:b/>
          <w:color w:val="auto"/>
          <w:lang w:val="es-ES"/>
        </w:rPr>
        <w:t xml:space="preserve"> </w:t>
      </w:r>
      <w:r w:rsidRPr="00E614A4">
        <w:rPr>
          <w:rFonts w:ascii="Arial" w:hAnsi="Arial" w:cs="Arial"/>
          <w:color w:val="auto"/>
          <w:lang w:val="es-ES"/>
        </w:rPr>
        <w:t xml:space="preserve">Datos simulados y observados de la masa seca de las hojas del cultivar Elbita </w:t>
      </w:r>
      <w:r w:rsidR="00E614A4" w:rsidRPr="00E614A4">
        <w:rPr>
          <w:rFonts w:ascii="Arial" w:hAnsi="Arial" w:cs="Arial"/>
          <w:color w:val="auto"/>
          <w:lang w:val="es-ES"/>
        </w:rPr>
        <w:t>en el periodo óptimo de siembra</w:t>
      </w:r>
    </w:p>
    <w:p w14:paraId="0171206F" w14:textId="081A2FCB"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De hecho, la superficie foliar es fundamental, pues es un indicador de procesos fisiológicos como la fotosíntesis y la transpiración. Una menor superficie foliar, traerá como consecuencia un menor índice de área foliar </w:t>
      </w:r>
      <w:r>
        <w:rPr>
          <w:rFonts w:ascii="Arial" w:hAnsi="Arial" w:cs="Arial"/>
          <w:sz w:val="24"/>
          <w:szCs w:val="24"/>
          <w:lang w:val="es-ES"/>
        </w:rPr>
        <w:fldChar w:fldCharType="begin"/>
      </w:r>
      <w:r w:rsidR="00E865D5">
        <w:rPr>
          <w:rFonts w:ascii="Arial" w:hAnsi="Arial" w:cs="Arial"/>
          <w:sz w:val="24"/>
          <w:szCs w:val="24"/>
          <w:lang w:val="es-ES"/>
        </w:rPr>
        <w:instrText xml:space="preserve"> ADDIN ZOTERO_ITEM CSL_CITATION {"citationID":"YLWCoDFS","properties":{"custom":"(Passioura, 2002; Zavala {\\i{}et al}., 2022)","formattedCitation":"(Passioura, 2002; Zavala {\\i{}et al}., 2022)","plainCitation":"(Passioura, 2002; Zavala et al., 2022)","noteIndex":0},"citationItems":[{"id":1072,"uris":["http://zotero.org/users/12642312/items/KSQDMTBZ"],"itemData":{"id":1072,"type":"webpage","title":"‘Soil conditions and plant growth’ - Passioura - 2002 - Plant, Cell &amp; Environment - Wiley Online Library","URL":"https://onlinelibrary.wiley.com/doi/full/10.1046/j.0016-8025.2001.00802.x","author":[{"family":"Passioura","given":"J. B."}],"accessed":{"date-parts":[["2025",4,1]]},"issued":{"date-parts":[["2002"]]}},"label":"page"},{"id":1074,"uris":["http://zotero.org/users/12642312/items/JICYWARJ"],"itemData":{"id":1074,"type":"article-journal","container-title":"Revista mexicana de ciencias agrícolas","DOI":"10.29312/remexca.v13i3.2294","ISSN":"2007-0934","issue":"3","language":"en","note":"publisher: Instituto Nacional de Investigaciones Forestales, Agrícolas y Pecuarias","page":"407-420","source":"SciELO","title":"Effect of evapotranspiration rate on leaf area, water potential and yield of forage corn","URL":"http://www.scielo.org.mx/scielo.php?script=sci_abstract&amp;pid=S2007-09342022000300407&amp;lng=es&amp;nrm=iso&amp;tlng=en","volume":"13","author":[{"family":"Zavala","given":"Felipe"},{"family":"Reyes","given":"Arturo"},{"family":"Álvarez-Reyna","given":"Vicente de Paul"},{"family":"Cano-Ríos","given":"Pedro"},{"family":"Rodríguez-Moreno","given":"Víctor Manuel"},{"family":"Zavala-Borrego","given":"Felipe"},{"family":"Reyes-González","given":"Arturo"},{"family":"Álvarez-Reyna","given":"Vicente de Paul"},{"family":"Cano-Ríos","given":"Pedro"},{"family":"Rodríguez-Moreno","given":"Víctor Manuel"}],"accessed":{"date-parts":[["2025",4,1]]},"issued":{"date-parts":[["2022",5]]}},"label":"page"}],"schema":"https://github.com/citation-style-language/schema/raw/master/csl-citation.json"} </w:instrText>
      </w:r>
      <w:r>
        <w:rPr>
          <w:rFonts w:ascii="Arial" w:hAnsi="Arial" w:cs="Arial"/>
          <w:sz w:val="24"/>
          <w:szCs w:val="24"/>
          <w:lang w:val="es-ES"/>
        </w:rPr>
        <w:fldChar w:fldCharType="separate"/>
      </w:r>
      <w:r w:rsidR="00E865D5" w:rsidRPr="00E865D5">
        <w:rPr>
          <w:rFonts w:ascii="Arial" w:hAnsi="Arial" w:cs="Arial"/>
          <w:sz w:val="24"/>
          <w:szCs w:val="24"/>
          <w:lang w:val="es-ES"/>
        </w:rPr>
        <w:t xml:space="preserve">(Passioura, 2002; Zavala </w:t>
      </w:r>
      <w:r w:rsidR="00E865D5" w:rsidRPr="00E865D5">
        <w:rPr>
          <w:rFonts w:ascii="Arial" w:hAnsi="Arial" w:cs="Arial"/>
          <w:i/>
          <w:iCs/>
          <w:sz w:val="24"/>
          <w:szCs w:val="24"/>
          <w:lang w:val="es-ES"/>
        </w:rPr>
        <w:t>et al</w:t>
      </w:r>
      <w:r w:rsidR="00E865D5" w:rsidRPr="00E865D5">
        <w:rPr>
          <w:rFonts w:ascii="Arial" w:hAnsi="Arial" w:cs="Arial"/>
          <w:sz w:val="24"/>
          <w:szCs w:val="24"/>
          <w:lang w:val="es-ES"/>
        </w:rPr>
        <w:t>., 2022)</w:t>
      </w:r>
      <w:r>
        <w:rPr>
          <w:rFonts w:ascii="Arial" w:hAnsi="Arial" w:cs="Arial"/>
          <w:sz w:val="24"/>
          <w:szCs w:val="24"/>
          <w:lang w:val="es-ES"/>
        </w:rPr>
        <w:fldChar w:fldCharType="end"/>
      </w:r>
      <w:r>
        <w:rPr>
          <w:rFonts w:ascii="Arial" w:hAnsi="Arial" w:cs="Arial"/>
          <w:sz w:val="24"/>
          <w:szCs w:val="24"/>
          <w:lang w:val="es-ES"/>
        </w:rPr>
        <w:t>.</w:t>
      </w:r>
    </w:p>
    <w:p w14:paraId="6BF5F69F" w14:textId="77D104E7" w:rsidR="008403BD" w:rsidRDefault="00E45F3A">
      <w:pPr>
        <w:spacing w:before="120" w:after="0" w:line="360" w:lineRule="auto"/>
        <w:jc w:val="both"/>
        <w:rPr>
          <w:rFonts w:ascii="Arial" w:hAnsi="Arial" w:cs="Arial"/>
          <w:sz w:val="24"/>
          <w:szCs w:val="24"/>
          <w:lang w:val="es-ES"/>
        </w:rPr>
      </w:pPr>
      <w:r>
        <w:rPr>
          <w:rFonts w:ascii="Arial" w:hAnsi="Arial" w:cs="Arial"/>
          <w:sz w:val="24"/>
          <w:szCs w:val="24"/>
          <w:lang w:val="es-ES"/>
        </w:rPr>
        <w:t>L</w:t>
      </w:r>
      <w:r w:rsidR="007D49D9">
        <w:rPr>
          <w:rFonts w:ascii="Arial" w:hAnsi="Arial" w:cs="Arial"/>
          <w:sz w:val="24"/>
          <w:szCs w:val="24"/>
          <w:lang w:val="es-ES"/>
        </w:rPr>
        <w:t xml:space="preserve">a masa seca del tallo presentó un comportamiento muy similar a través del tiempo (Figura 6). El crecimiento fue muy lento en sus primeras etapas, pero alrededor de los 50 días se acelera hasta llegar a </w:t>
      </w:r>
      <w:r w:rsidR="00876F09">
        <w:rPr>
          <w:rFonts w:ascii="Arial" w:hAnsi="Arial" w:cs="Arial"/>
          <w:sz w:val="24"/>
          <w:szCs w:val="24"/>
          <w:lang w:val="es-ES"/>
        </w:rPr>
        <w:t>la etapa de fructificación, peri</w:t>
      </w:r>
      <w:r w:rsidR="007D49D9">
        <w:rPr>
          <w:rFonts w:ascii="Arial" w:hAnsi="Arial" w:cs="Arial"/>
          <w:sz w:val="24"/>
          <w:szCs w:val="24"/>
          <w:lang w:val="es-ES"/>
        </w:rPr>
        <w:t>odo a partir del cual presenta una tendencia a estabiliz</w:t>
      </w:r>
      <w:r w:rsidR="00E904E0">
        <w:rPr>
          <w:rFonts w:ascii="Arial" w:hAnsi="Arial" w:cs="Arial"/>
          <w:sz w:val="24"/>
          <w:szCs w:val="24"/>
          <w:lang w:val="es-ES"/>
        </w:rPr>
        <w:t xml:space="preserve">ar </w:t>
      </w:r>
      <w:r w:rsidR="007D49D9">
        <w:rPr>
          <w:rFonts w:ascii="Arial" w:hAnsi="Arial" w:cs="Arial"/>
          <w:sz w:val="24"/>
          <w:szCs w:val="24"/>
          <w:lang w:val="es-ES"/>
        </w:rPr>
        <w:t xml:space="preserve">y se mantuvo así hasta el final del ciclo de cultivo. Como mencionan </w:t>
      </w:r>
      <w:r w:rsidR="007D49D9">
        <w:rPr>
          <w:rFonts w:ascii="Arial" w:hAnsi="Arial" w:cs="Arial"/>
          <w:sz w:val="24"/>
          <w:szCs w:val="24"/>
          <w:lang w:val="es-ES"/>
        </w:rPr>
        <w:fldChar w:fldCharType="begin"/>
      </w:r>
      <w:r w:rsidR="007D49D9">
        <w:rPr>
          <w:rFonts w:ascii="Arial" w:hAnsi="Arial" w:cs="Arial"/>
          <w:sz w:val="24"/>
          <w:szCs w:val="24"/>
          <w:lang w:val="es-ES"/>
        </w:rPr>
        <w:instrText xml:space="preserve"> ADDIN ZOTERO_ITEM CSL_CITATION {"citationID":"FIdEQuUo","properties":{"formattedCitation":"(Cerdas &amp; Moreira, 1990)","plainCitation":"(Cerdas &amp; Moreira, 1990)","noteIndex":0},"citationItems":[{"id":1182,"uris":["http://zotero.org/users/12642312/items/MG83BG6D"],"itemData":{"id":1182,"type":"article-journal","container-title":"Boletin Tecnico Estacion Experimental Fabio Baudrit M. (Costa Rica)","ISSN":"1011-8659","issue":"3","language":"en","source":"agris.fao.org","title":"[Analysis of the growth of the tomato (Lycopersicon esculentum mill) cv Catalina, in Alajuela [Costa Rica]]","URL":"https://agris.fao.org/search/en/providers/122467/records/647756abf2e6fe92b3656136","volume":"23","author":[{"family":"Cerdas","given":"J. C."},{"family":"Moreira","given":"M. A."}],"accessed":{"date-parts":[["2025",4,1]]},"issued":{"date-parts":[["1990"]]}}}],"schema":"https://github.com/citation-style-language/schema/raw/master/csl-citation.json"} </w:instrText>
      </w:r>
      <w:r w:rsidR="007D49D9">
        <w:rPr>
          <w:rFonts w:ascii="Arial" w:hAnsi="Arial" w:cs="Arial"/>
          <w:sz w:val="24"/>
          <w:szCs w:val="24"/>
          <w:lang w:val="es-ES"/>
        </w:rPr>
        <w:fldChar w:fldCharType="separate"/>
      </w:r>
      <w:r w:rsidR="007D49D9">
        <w:rPr>
          <w:rFonts w:ascii="Arial" w:hAnsi="Arial" w:cs="Arial"/>
          <w:sz w:val="24"/>
          <w:lang w:val="es-ES"/>
        </w:rPr>
        <w:t xml:space="preserve">Cerdas &amp; Moreira, </w:t>
      </w:r>
      <w:r w:rsidR="00775DD1">
        <w:rPr>
          <w:rFonts w:ascii="Arial" w:hAnsi="Arial" w:cs="Arial"/>
          <w:sz w:val="24"/>
          <w:lang w:val="es-ES"/>
        </w:rPr>
        <w:t>(</w:t>
      </w:r>
      <w:r w:rsidR="007D49D9">
        <w:rPr>
          <w:rFonts w:ascii="Arial" w:hAnsi="Arial" w:cs="Arial"/>
          <w:sz w:val="24"/>
          <w:lang w:val="es-ES"/>
        </w:rPr>
        <w:t>1990)</w:t>
      </w:r>
      <w:r w:rsidR="007D49D9">
        <w:rPr>
          <w:rFonts w:ascii="Arial" w:hAnsi="Arial" w:cs="Arial"/>
          <w:sz w:val="24"/>
          <w:szCs w:val="24"/>
          <w:lang w:val="es-ES"/>
        </w:rPr>
        <w:fldChar w:fldCharType="end"/>
      </w:r>
      <w:r w:rsidR="007D49D9">
        <w:rPr>
          <w:rFonts w:ascii="Arial" w:hAnsi="Arial" w:cs="Arial"/>
          <w:sz w:val="24"/>
          <w:szCs w:val="24"/>
          <w:lang w:val="es-ES"/>
        </w:rPr>
        <w:t xml:space="preserve"> existe una relación entre el tallo y las hojas, al inicio generalmente existe un incremento y luego desciende ya que depende de la edad y el tamaño de la planta. Estos autores plantean que es común encontrar altibajos en la acumulación de la materia seca debido a que la planta suministra nutrientes a distintos órganos y, además, en ocasiones, existe poda de brotes laterales. </w:t>
      </w:r>
    </w:p>
    <w:p w14:paraId="560329B9" w14:textId="77777777" w:rsidR="008403BD" w:rsidRDefault="007D49D9">
      <w:pPr>
        <w:keepNext/>
        <w:spacing w:before="120" w:after="0" w:line="360" w:lineRule="auto"/>
        <w:jc w:val="both"/>
      </w:pPr>
      <w:r>
        <w:rPr>
          <w:rFonts w:ascii="Arial" w:hAnsi="Arial" w:cs="Arial"/>
          <w:noProof/>
          <w:sz w:val="24"/>
          <w:szCs w:val="24"/>
        </w:rPr>
        <w:lastRenderedPageBreak/>
        <w:drawing>
          <wp:inline distT="0" distB="0" distL="0" distR="0" wp14:anchorId="01151BE8" wp14:editId="21DC3C92">
            <wp:extent cx="5612130" cy="3690619"/>
            <wp:effectExtent l="0" t="0" r="7620" b="5080"/>
            <wp:docPr id="1038" name="Imagen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n 31"/>
                    <pic:cNvPicPr/>
                  </pic:nvPicPr>
                  <pic:blipFill>
                    <a:blip r:embed="rId17" cstate="print"/>
                    <a:srcRect/>
                    <a:stretch/>
                  </pic:blipFill>
                  <pic:spPr>
                    <a:xfrm>
                      <a:off x="0" y="0"/>
                      <a:ext cx="5612130" cy="3690619"/>
                    </a:xfrm>
                    <a:prstGeom prst="rect">
                      <a:avLst/>
                    </a:prstGeom>
                  </pic:spPr>
                </pic:pic>
              </a:graphicData>
            </a:graphic>
          </wp:inline>
        </w:drawing>
      </w:r>
    </w:p>
    <w:p w14:paraId="52647C3E" w14:textId="2E974C18" w:rsidR="008403BD" w:rsidRDefault="007D49D9">
      <w:pPr>
        <w:pStyle w:val="Descripcin"/>
        <w:jc w:val="both"/>
        <w:rPr>
          <w:rFonts w:ascii="Arial" w:hAnsi="Arial" w:cs="Arial"/>
          <w:b/>
          <w:color w:val="auto"/>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6</w:t>
      </w:r>
      <w:r>
        <w:rPr>
          <w:rFonts w:ascii="Arial" w:hAnsi="Arial" w:cs="Arial"/>
          <w:b/>
          <w:color w:val="auto"/>
        </w:rPr>
        <w:fldChar w:fldCharType="end"/>
      </w:r>
      <w:r w:rsidR="00E614A4">
        <w:rPr>
          <w:rFonts w:ascii="Arial" w:hAnsi="Arial" w:cs="Arial"/>
          <w:b/>
          <w:color w:val="auto"/>
          <w:lang w:val="es-ES"/>
        </w:rPr>
        <w:t>.</w:t>
      </w:r>
      <w:r>
        <w:rPr>
          <w:rFonts w:ascii="Arial" w:hAnsi="Arial" w:cs="Arial"/>
          <w:b/>
          <w:color w:val="auto"/>
          <w:lang w:val="es-ES"/>
        </w:rPr>
        <w:t xml:space="preserve"> </w:t>
      </w:r>
      <w:r w:rsidRPr="00E614A4">
        <w:rPr>
          <w:rFonts w:ascii="Arial" w:hAnsi="Arial" w:cs="Arial"/>
          <w:color w:val="auto"/>
          <w:lang w:val="es-ES"/>
        </w:rPr>
        <w:t xml:space="preserve">Datos simulados y observados de la masa seca del tallo del cultivar Elbita </w:t>
      </w:r>
      <w:r w:rsidR="00E614A4" w:rsidRPr="00E614A4">
        <w:rPr>
          <w:rFonts w:ascii="Arial" w:hAnsi="Arial" w:cs="Arial"/>
          <w:color w:val="auto"/>
          <w:lang w:val="es-ES"/>
        </w:rPr>
        <w:t>en el periodo óptimo de siembra</w:t>
      </w:r>
    </w:p>
    <w:p w14:paraId="73FF2EC9"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El crecimiento de la masa seca de las raíces se caracterizó por un crecimiento inicial en las primeras etapas y posteriormente fue bastante estable en el resto del ciclo del cultivo con variaciones de poca magnitud (Figura 7). En el comportamiento simulado de este carácter se observó una sobrestimación del valor, fundamentalmente en las etapas finales del desarrollo del cultivo.</w:t>
      </w:r>
    </w:p>
    <w:p w14:paraId="1FB2D42D" w14:textId="76DD9A78"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La distribución de la materia seca entre los diferentes órganos de la planta tiene un papel fundamental en la producción de un cultivo, ya que el rendimiento de este viene dado por la capacidad de acumular biomasa en los órganos que se destinan a la cosecha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{"citationID":"y9V4gaDh","properties":{"formattedCitation":"(Peil &amp; Galvez, 2004)","plainCitation":"(Peil &amp; Galvez, 2004)","noteIndex":0},"citationItems":[{"id":1185,"uris":["http://zotero.org/users/12642312/items/A6MAAM7U"],"itemData":{"id":1185,"type":"article-journal","abstract":"El rendimiento de un cultivo viene dado por la capacidad de acumular biomasa en los órganos que se destinan a la cosecha. Las hortalizas de fruto, cultivadas en invernadero, se caracterizan, en su mayoría, por un crecimiento indeterminado, siendo los frutos los principales órganos sumideros y compitiendo entre ellos y con los órganos vegetativos por los asimilados disponibles. El balance apropiado entre fotoasimilados para las distintas partes de una planta tiene una gran importancia para optimizar la producción, y se puede obtener a través de una adecuada relación fuente/sumidero. Este trabajo expone el estado actual de los conocimientos relacionados con el reparto de la materia seca de hortalizas de fruto comúnmente cultivadas bajo invernadero, con especial énfasis en el efecto que la relación fuente/sumidero tiene sobre éste. Se pone de manifiesto cómo se da la regulación de la distribución de materia seca entre los distintos órganos de la planta, haciendo hincapié en los factores que la afectan y en las medidas para su control. En este sentido, en los invernaderos no climatizados, la manipulación de la densidad de plantación, bien como del número de frutos creciendo en la planta según la época del año son consideradas medidas útiles para controlar la relación fuente/sumidero y el balance de asimilados entre los órganos vegetativos y los frutos, a escala de un cultivo  comercial.","container-title":"Current Agricultural Science and Technology","ISSN":"2317-2436","issue":"1","language":"pt","license":"Copyright (c)","note":"number: 1","source":"periodicos-old.ufpel.edu.br","title":"REPARTO DE MATERIA SECA COMO FACTOR DETERMINANTE DE LA PRODUCCIÓN DE LAS HORTALIZAS DE FRUTO CULTIVADAS EN INVERNADERO","URL":"https://periodicos-old.ufpel.edu.br/ojs2/index.php/CAST/article/view/680","volume":"10","author":[{"family":"Peil","given":"Roberta M."},{"family":"Galvez","given":"José"}],"accessed":{"date-parts":[["2025",4,1]]},"issued":{"date-parts":[["2004"]]}}}],"schema":"https://github.com/citation-style-language/schema/raw/master/csl-citation.json"} </w:instrText>
      </w:r>
      <w:r>
        <w:rPr>
          <w:rFonts w:ascii="Arial" w:hAnsi="Arial" w:cs="Arial"/>
          <w:sz w:val="24"/>
          <w:szCs w:val="24"/>
          <w:lang w:val="es-ES"/>
        </w:rPr>
        <w:fldChar w:fldCharType="separate"/>
      </w:r>
      <w:r>
        <w:rPr>
          <w:rFonts w:ascii="Arial" w:hAnsi="Arial" w:cs="Arial"/>
          <w:sz w:val="24"/>
          <w:lang w:val="es-ES"/>
        </w:rPr>
        <w:t>(Peil &amp; Galvez, 2004)</w:t>
      </w:r>
      <w:r>
        <w:rPr>
          <w:rFonts w:ascii="Arial" w:hAnsi="Arial" w:cs="Arial"/>
          <w:sz w:val="24"/>
          <w:szCs w:val="24"/>
          <w:lang w:val="es-ES"/>
        </w:rPr>
        <w:fldChar w:fldCharType="end"/>
      </w:r>
      <w:r>
        <w:rPr>
          <w:rFonts w:ascii="Arial" w:hAnsi="Arial" w:cs="Arial"/>
          <w:sz w:val="24"/>
          <w:szCs w:val="24"/>
          <w:lang w:val="es-ES"/>
        </w:rPr>
        <w:t xml:space="preserve">. </w:t>
      </w:r>
    </w:p>
    <w:p w14:paraId="2A827F44" w14:textId="5095411E"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Las medidas matemáticas directas, que conducen a realizar un análisis de crecimiento de una planta o un cultivo en particular en condiciones naturales o controladas de desarrollo fenológico y fisiológico traen como resultado un análisis de crecimiento. Este análisis </w:t>
      </w:r>
      <w:r w:rsidR="0038427D">
        <w:rPr>
          <w:rFonts w:ascii="Arial" w:hAnsi="Arial" w:cs="Arial"/>
          <w:sz w:val="24"/>
          <w:szCs w:val="24"/>
          <w:lang w:val="es-ES"/>
        </w:rPr>
        <w:t>se</w:t>
      </w:r>
      <w:r>
        <w:rPr>
          <w:rFonts w:ascii="Arial" w:hAnsi="Arial" w:cs="Arial"/>
          <w:sz w:val="24"/>
          <w:szCs w:val="24"/>
          <w:lang w:val="es-ES"/>
        </w:rPr>
        <w:t xml:space="preserve"> ha utilizado ampliamente en estudios de los factores que influyen en el desarrollo de la planta y el rendimiento, a través del seguimiento de la acumulación de materia seca durante el tiempo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{"citationID":"HIOdz8AG","properties":{"custom":"(Santos {\\i{}et al}., 2010)","formattedCitation":"(Santos {\\i{}et al}., 2010)","plainCitation":"(Santos et al., 2010)","noteIndex":0},"citationItems":[{"id":1187,"uris":["http://zotero.org/users/12642312/items/3UZQDACD"],"itemData":{"id":1187,"type":"article-journal","abstract":"Foram avaliadas dietas com silagem de milho e concentrado à base de farelo de soja ou farelo de algodão para fêmeas leiteiras. Quatro dietas experimentais foram constituídas da combinação de dois níveis de concentrado (1 ou 2 kg) e duas fontes proteicas (farelo de soja ou farelo de algodão). Observou-se efeito da interação nível de concentrado × fonte proteica no consumo de matéria seca (MS), fibra em detergente neutro (FDN) e no consumo de nutrientes digestíveis totais (NDT). A quantidade de concentrado influenciou os consumos de proteína bruta (PB), FDN, extrato etéreo (EE), carboidratos nãofibrosos (CNF), matéria orgânica (MO) e de PB por kg de NDT. Não houve efeito nas digestibilidades da MS, FDN, MO e para NDT, porém a fonte proteica influenciou as digestibilidades de PB, EE e CNF. Houve efeito da quantidade de concentrado sobre o ganho de peso (GP) e da interação quantidade de concentrado × fonte proteica sobre o ganho de peso por cm de ganho em altura da cernelha. A dieta com 1 kg de concentrado à base de farelo de algodão foi insuficiente para ganho de peso de 800 g/dia, enquanto as dietas com 2 kg de concentrado propiciaram o maior ganho de peso. Entretanto, a dieta constituída de 2 kg de concentrado à base de farelo de soja foi mais eficiente, pois propiciou maior crescimento linear das novilhas, com ganho médio de 820 g por dia. Equações de predição do peso corporal com base no perímetro torácico apresentam maior acurácia em relação a equações baseadas em outras medidas lineares.","container-title":"Revista Brasileira de Zootecnia","DOI":"https://doi.org/10.1590/S1516-35982010000300025","ISSN":"1516-3598, 1806-9290","journalAbbreviation":"R. Bras. Zootec.","language":"en","note":"publisher: Sociedade Brasileira de Zootecnia","page":"638-647","source":"SciELO","title":"Productive performance of growing dairy heifers fed corn silage and soybean or cottonseed meal based concentrate","URL":"https://www.scielo.br/j/rbz/a/xc94BjRnpPGRJy3Krpj89pr/abstract/?format=html&amp;lang=en","volume":"39","author":[{"family":"Santos","given":"Stefanie Alvarenga"},{"family":"Campos","given":"José Maurício de Souza"},{"family":"Valadares Filho","given":"Sebastião de Campos"},{"family":"Detmann","given":"Edenio"},{"family":"Oliveira","given":"André Soares","dropping-particle":"de"},{"family":"Souza","given":"Shirley Motta","dropping-particle":"de"}],"accessed":{"date-parts":[["2025",4,1]]},"issued":{"date-parts":[["2010",3]]}}}],"schema":"https://github.com/citation-style-language/schema/raw/master/csl-citation.json"}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(Santos </w:t>
      </w:r>
      <w:r>
        <w:rPr>
          <w:rFonts w:ascii="Arial" w:hAnsi="Arial" w:cs="Arial"/>
          <w:i/>
          <w:iCs/>
          <w:sz w:val="24"/>
          <w:szCs w:val="24"/>
          <w:lang w:val="es-ES"/>
        </w:rPr>
        <w:t>et al</w:t>
      </w:r>
      <w:r>
        <w:rPr>
          <w:rFonts w:ascii="Arial" w:hAnsi="Arial" w:cs="Arial"/>
          <w:sz w:val="24"/>
          <w:szCs w:val="24"/>
          <w:lang w:val="es-ES"/>
        </w:rPr>
        <w:t>., 2010)</w:t>
      </w:r>
      <w:r>
        <w:rPr>
          <w:rFonts w:ascii="Arial" w:hAnsi="Arial" w:cs="Arial"/>
          <w:sz w:val="24"/>
          <w:szCs w:val="24"/>
          <w:lang w:val="es-ES"/>
        </w:rPr>
        <w:fldChar w:fldCharType="end"/>
      </w:r>
      <w:r>
        <w:rPr>
          <w:rFonts w:ascii="Arial" w:hAnsi="Arial" w:cs="Arial"/>
          <w:sz w:val="24"/>
          <w:szCs w:val="24"/>
          <w:lang w:val="es-ES"/>
        </w:rPr>
        <w:t xml:space="preserve">. No </w:t>
      </w:r>
      <w:r>
        <w:rPr>
          <w:rFonts w:ascii="Arial" w:hAnsi="Arial" w:cs="Arial"/>
          <w:sz w:val="24"/>
          <w:szCs w:val="24"/>
          <w:lang w:val="es-ES"/>
        </w:rPr>
        <w:lastRenderedPageBreak/>
        <w:t xml:space="preserve">obstante, la acumulación de materia seca por una población de plantas, depende principalmente del total de carbono fijado y obedece a la intercepción de radiación fotosintéticamente activa y su uso eficiente por el dosel del cultivo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{"citationID":"2ZGlZ6bU","properties":{"custom":"(Torres {\\i{}et al}., 2015)","formattedCitation":"(Torres {\\i{}et al}., 2015)","plainCitation":"(Torres et al., 2015)","noteIndex":0},"citationItems":[{"id":1196,"uris":["http://zotero.org/users/12642312/items/2BUUTVTJ"],"itemData":{"id":1196,"type":"article-journal","abstract":"A adubação foliar com silício tem promovido diversas ações benéficas às plantas, dentre elas está a maior tolerância à deficiência hídrica, contudo, para a cultura da soja, são escassas informações destes benefícios nesta condição. Assim, objetivou-se, neste estudo, avaliar o efeito da aplicação de silício, via foliar, no acúmulo de massa seca da soja em seus estádios reprodutivos, onde a cultura sofreu deficiência hídrica durante os mesmos. O experimento foi realizado no setor de Fitotecnia da Unidade Universitária de Aquidauana - Universidade Estadual de Mato Grosso do Sul. O delineamento estatístico utilizado foi o de blocos ao acaso em parcelas subdivididas, com quatro repetições. As parcelas foram representadas pela cultivar de soja 5DR615, as subparcelas consistiram na aplicação (com e sem) de silício, cuja fonte utilizada foi o KSi. Mensurou-se a altura e identificou-se o estádio de desenvolvimento de todas as plantas, separando-as em haste + ramos, folhas + pecíolos, cápsulas de vagens e sementes, para avaliação quanto ao acúmulo de matéria seca. Em condições de déficit hídrico, a aplicação foliar de silício na soja proporcionou um desenvolvimento normal das plantas, gerando maior acúmulo de massa seca de haste + ramos, folhas + pecíolos, cápsulas de vagens e sementes durante toda sua fase reprodutiva, sendo os maiores valores obtidos no estádio R6 (35 dias após R2).","archive_location":"Brazil; Contemporary","container-title":"Bioscience Journal","DOI":"10.14393/BJ-v31n1a2015-22283","ISSN":"1981-3163","issue":"1","language":"pt","license":"https://creativecommons.org/licenses/by/4.0","note":"number: 1","page":"161-170","source":"seer.ufu.br","title":"Acúmulo de massa seca na soja em resposta a aplicação foliar com silício sob condições de déficit hídrico","URL":"https://seer.ufu.br/index.php/biosciencejournal/article/view/22283","volume":"31","author":[{"family":"Torres","given":"Francisco Eduardo"},{"family":"Teodoro","given":"Paulo Eduardo"},{"family":"Ribeiro","given":"Larissa Pereira"},{"family":"Oliveira","given":"Elisa Pereira","dropping-particle":"de"},{"family":"Corrêa","given":"Caio Cézar Guedes"}],"accessed":{"date-parts":[["2025",4,1]]},"issued":{"date-parts":[["2015",1,6]]}}}],"schema":"https://github.com/citation-style-language/schema/raw/master/csl-citation.json"}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(Torres </w:t>
      </w:r>
      <w:r>
        <w:rPr>
          <w:rFonts w:ascii="Arial" w:hAnsi="Arial" w:cs="Arial"/>
          <w:i/>
          <w:iCs/>
          <w:sz w:val="24"/>
          <w:szCs w:val="24"/>
          <w:lang w:val="es-ES"/>
        </w:rPr>
        <w:t>et al</w:t>
      </w:r>
      <w:r>
        <w:rPr>
          <w:rFonts w:ascii="Arial" w:hAnsi="Arial" w:cs="Arial"/>
          <w:sz w:val="24"/>
          <w:szCs w:val="24"/>
          <w:lang w:val="es-ES"/>
        </w:rPr>
        <w:t>., 2015)</w:t>
      </w:r>
      <w:r>
        <w:rPr>
          <w:rFonts w:ascii="Arial" w:hAnsi="Arial" w:cs="Arial"/>
          <w:sz w:val="24"/>
          <w:szCs w:val="24"/>
          <w:lang w:val="es-ES"/>
        </w:rPr>
        <w:fldChar w:fldCharType="end"/>
      </w:r>
      <w:r>
        <w:rPr>
          <w:rFonts w:ascii="Arial" w:hAnsi="Arial" w:cs="Arial"/>
          <w:sz w:val="24"/>
          <w:szCs w:val="24"/>
          <w:lang w:val="es-ES"/>
        </w:rPr>
        <w:t xml:space="preserve">. La intercepción se determina, en primer lugar, por el índice de área foliar, indicaron estos autores. </w:t>
      </w:r>
    </w:p>
    <w:p w14:paraId="6B592107" w14:textId="77777777" w:rsidR="008403BD" w:rsidRDefault="008403BD">
      <w:pPr>
        <w:spacing w:before="120" w:after="0" w:line="360" w:lineRule="auto"/>
        <w:jc w:val="both"/>
        <w:rPr>
          <w:rFonts w:ascii="Arial" w:hAnsi="Arial" w:cs="Arial"/>
          <w:sz w:val="24"/>
          <w:szCs w:val="24"/>
          <w:lang w:val="es-ES"/>
        </w:rPr>
      </w:pPr>
    </w:p>
    <w:p w14:paraId="5554F4C4" w14:textId="77777777" w:rsidR="008403BD" w:rsidRDefault="007D49D9">
      <w:pPr>
        <w:keepNext/>
        <w:rPr>
          <w:lang w:val="es-ES"/>
        </w:rPr>
      </w:pPr>
      <w:r>
        <w:rPr>
          <w:noProof/>
        </w:rPr>
        <w:drawing>
          <wp:inline distT="0" distB="0" distL="0" distR="0" wp14:anchorId="190C63BE" wp14:editId="0B5B1F92">
            <wp:extent cx="5612130" cy="3674110"/>
            <wp:effectExtent l="0" t="0" r="7620" b="2540"/>
            <wp:docPr id="1039" name="Imagen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n 32"/>
                    <pic:cNvPicPr/>
                  </pic:nvPicPr>
                  <pic:blipFill>
                    <a:blip r:embed="rId18" cstate="print"/>
                    <a:srcRect/>
                    <a:stretch/>
                  </pic:blipFill>
                  <pic:spPr>
                    <a:xfrm>
                      <a:off x="0" y="0"/>
                      <a:ext cx="5612130" cy="3674110"/>
                    </a:xfrm>
                    <a:prstGeom prst="rect">
                      <a:avLst/>
                    </a:prstGeom>
                  </pic:spPr>
                </pic:pic>
              </a:graphicData>
            </a:graphic>
          </wp:inline>
        </w:drawing>
      </w:r>
    </w:p>
    <w:p w14:paraId="373EDA58" w14:textId="7AB58801" w:rsidR="008403BD" w:rsidRDefault="007D49D9">
      <w:pPr>
        <w:pStyle w:val="Descripcin"/>
        <w:rPr>
          <w:rFonts w:ascii="Arial" w:hAnsi="Arial" w:cs="Arial"/>
          <w:b/>
          <w:color w:val="auto"/>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7</w:t>
      </w:r>
      <w:r>
        <w:rPr>
          <w:rFonts w:ascii="Arial" w:hAnsi="Arial" w:cs="Arial"/>
          <w:b/>
          <w:color w:val="auto"/>
        </w:rPr>
        <w:fldChar w:fldCharType="end"/>
      </w:r>
      <w:r w:rsidR="00E614A4">
        <w:rPr>
          <w:rFonts w:ascii="Arial" w:hAnsi="Arial" w:cs="Arial"/>
          <w:b/>
          <w:color w:val="auto"/>
          <w:lang w:val="es-ES"/>
        </w:rPr>
        <w:t>.</w:t>
      </w:r>
      <w:r>
        <w:rPr>
          <w:rFonts w:ascii="Arial" w:hAnsi="Arial" w:cs="Arial"/>
          <w:b/>
          <w:color w:val="auto"/>
          <w:lang w:val="es-ES"/>
        </w:rPr>
        <w:t xml:space="preserve"> </w:t>
      </w:r>
      <w:r w:rsidRPr="00E614A4">
        <w:rPr>
          <w:rFonts w:ascii="Arial" w:hAnsi="Arial" w:cs="Arial"/>
          <w:color w:val="auto"/>
          <w:lang w:val="es-ES"/>
        </w:rPr>
        <w:t xml:space="preserve">Datos simulados y observados de la masa seca de la raíz del cultivar Elbita </w:t>
      </w:r>
      <w:r w:rsidR="00E614A4" w:rsidRPr="00E614A4">
        <w:rPr>
          <w:rFonts w:ascii="Arial" w:hAnsi="Arial" w:cs="Arial"/>
          <w:color w:val="auto"/>
          <w:lang w:val="es-ES"/>
        </w:rPr>
        <w:t>en el periodo óptimo de siembra</w:t>
      </w:r>
    </w:p>
    <w:p w14:paraId="014B4554" w14:textId="77777777" w:rsidR="008403BD" w:rsidRDefault="00493ECC">
      <w:pPr>
        <w:spacing w:before="120" w:after="0" w:line="360" w:lineRule="auto"/>
        <w:jc w:val="both"/>
        <w:rPr>
          <w:rFonts w:ascii="Arial" w:hAnsi="Arial" w:cs="Arial"/>
          <w:sz w:val="24"/>
          <w:szCs w:val="24"/>
          <w:lang w:val="es-ES"/>
        </w:rPr>
      </w:pPr>
      <w:r>
        <w:rPr>
          <w:rFonts w:ascii="Arial" w:hAnsi="Arial" w:cs="Arial"/>
          <w:sz w:val="24"/>
          <w:szCs w:val="24"/>
          <w:lang w:val="es-ES"/>
        </w:rPr>
        <w:t xml:space="preserve"> </w:t>
      </w:r>
      <w:r w:rsidR="007D49D9">
        <w:rPr>
          <w:rFonts w:ascii="Arial" w:hAnsi="Arial" w:cs="Arial"/>
          <w:sz w:val="24"/>
          <w:szCs w:val="24"/>
          <w:lang w:val="es-ES"/>
        </w:rPr>
        <w:t>En la figura 8 se observa que el</w:t>
      </w:r>
      <w:r>
        <w:rPr>
          <w:rFonts w:ascii="Arial" w:hAnsi="Arial" w:cs="Arial"/>
          <w:sz w:val="24"/>
          <w:szCs w:val="24"/>
          <w:lang w:val="es-ES"/>
        </w:rPr>
        <w:t xml:space="preserve"> Índice de área foliar</w:t>
      </w:r>
      <w:r w:rsidR="007D49D9">
        <w:rPr>
          <w:rFonts w:ascii="Arial" w:hAnsi="Arial" w:cs="Arial"/>
          <w:sz w:val="24"/>
          <w:szCs w:val="24"/>
          <w:lang w:val="es-ES"/>
        </w:rPr>
        <w:t xml:space="preserve"> </w:t>
      </w:r>
      <w:r>
        <w:rPr>
          <w:rFonts w:ascii="Arial" w:hAnsi="Arial" w:cs="Arial"/>
          <w:sz w:val="24"/>
          <w:szCs w:val="24"/>
          <w:lang w:val="es-ES"/>
        </w:rPr>
        <w:t>(</w:t>
      </w:r>
      <w:r w:rsidR="007D49D9">
        <w:rPr>
          <w:rFonts w:ascii="Arial" w:hAnsi="Arial" w:cs="Arial"/>
          <w:sz w:val="24"/>
          <w:szCs w:val="24"/>
          <w:lang w:val="es-ES"/>
        </w:rPr>
        <w:t>IAF</w:t>
      </w:r>
      <w:r>
        <w:rPr>
          <w:rFonts w:ascii="Arial" w:hAnsi="Arial" w:cs="Arial"/>
          <w:sz w:val="24"/>
          <w:szCs w:val="24"/>
          <w:lang w:val="es-ES"/>
        </w:rPr>
        <w:t>)</w:t>
      </w:r>
      <w:r w:rsidR="007D49D9">
        <w:rPr>
          <w:rFonts w:ascii="Arial" w:hAnsi="Arial" w:cs="Arial"/>
          <w:sz w:val="24"/>
          <w:szCs w:val="24"/>
          <w:lang w:val="es-ES"/>
        </w:rPr>
        <w:t xml:space="preserve"> de la planta presentó una tendencia creciente hasta aproximadamente los 80 DDS. Después de este periodo primero se estabilizó y presentó los mayores valores, lo que puede indicar que la planta alcanzó su máximo desarrollo foliar y por ende la mayor captación de luz, pues se sabe que la fracción de radiación interceptada por un cultivo depende principalmente del IAF </w:t>
      </w:r>
      <w:r w:rsidR="007D49D9">
        <w:rPr>
          <w:rFonts w:ascii="Arial" w:hAnsi="Arial" w:cs="Arial"/>
          <w:sz w:val="24"/>
          <w:szCs w:val="24"/>
          <w:lang w:val="es-ES"/>
        </w:rPr>
        <w:fldChar w:fldCharType="begin"/>
      </w:r>
      <w:r w:rsidR="007D49D9">
        <w:rPr>
          <w:rFonts w:ascii="Arial" w:hAnsi="Arial" w:cs="Arial"/>
          <w:sz w:val="24"/>
          <w:szCs w:val="24"/>
          <w:lang w:val="es-ES"/>
        </w:rPr>
        <w:instrText xml:space="preserve"> ADDIN ZOTERO_ITEM CSL_CITATION {"citationID":"b2p9AFAQ","properties":{"formattedCitation":"(Cerdas &amp; Moreira, 1990)","plainCitation":"(Cerdas &amp; Moreira, 1990)","noteIndex":0},"citationItems":[{"id":1182,"uris":["http://zotero.org/users/12642312/items/MG83BG6D"],"itemData":{"id":1182,"type":"article-journal","container-title":"Boletin Tecnico Estacion Experimental Fabio Baudrit M. (Costa Rica)","ISSN":"1011-8659","issue":"3","language":"en","source":"agris.fao.org","title":"[Analysis of the growth of the tomato (Lycopersicon esculentum mill) cv Catalina, in Alajuela [Costa Rica]]","URL":"https://agris.fao.org/search/en/providers/122467/records/647756abf2e6fe92b3656136","volume":"23","author":[{"family":"Cerdas","given":"J. C."},{"family":"Moreira","given":"M. A."}],"accessed":{"date-parts":[["2025",4,1]]},"issued":{"date-parts":[["1990"]]}}}],"schema":"https://github.com/citation-style-language/schema/raw/master/csl-citation.json"} </w:instrText>
      </w:r>
      <w:r w:rsidR="007D49D9">
        <w:rPr>
          <w:rFonts w:ascii="Arial" w:hAnsi="Arial" w:cs="Arial"/>
          <w:sz w:val="24"/>
          <w:szCs w:val="24"/>
          <w:lang w:val="es-ES"/>
        </w:rPr>
        <w:fldChar w:fldCharType="separate"/>
      </w:r>
      <w:r w:rsidR="007D49D9">
        <w:rPr>
          <w:rFonts w:ascii="Arial" w:hAnsi="Arial" w:cs="Arial"/>
          <w:sz w:val="24"/>
          <w:lang w:val="es-ES"/>
        </w:rPr>
        <w:t>(Cerdas &amp; Moreira, 1990)</w:t>
      </w:r>
      <w:r w:rsidR="007D49D9">
        <w:rPr>
          <w:rFonts w:ascii="Arial" w:hAnsi="Arial" w:cs="Arial"/>
          <w:sz w:val="24"/>
          <w:szCs w:val="24"/>
          <w:lang w:val="es-ES"/>
        </w:rPr>
        <w:fldChar w:fldCharType="end"/>
      </w:r>
      <w:r w:rsidR="007D49D9">
        <w:rPr>
          <w:rFonts w:ascii="Arial" w:hAnsi="Arial" w:cs="Arial"/>
          <w:sz w:val="24"/>
          <w:szCs w:val="24"/>
          <w:lang w:val="es-ES"/>
        </w:rPr>
        <w:t xml:space="preserve">; debido posiblemente a los altos valores del IAF, los cuales por su magnitud conducen a un balance desfavorable fotosíntesis - respiración, lo que va en detrimento de la eficiencia en la acumulación de materia seca </w:t>
      </w:r>
      <w:r w:rsidR="007D49D9">
        <w:rPr>
          <w:rFonts w:ascii="Arial" w:hAnsi="Arial" w:cs="Arial"/>
          <w:sz w:val="24"/>
          <w:szCs w:val="24"/>
          <w:lang w:val="es-ES"/>
        </w:rPr>
        <w:fldChar w:fldCharType="begin"/>
      </w:r>
      <w:r w:rsidR="007D49D9">
        <w:rPr>
          <w:rFonts w:ascii="Arial" w:hAnsi="Arial" w:cs="Arial"/>
          <w:sz w:val="24"/>
          <w:szCs w:val="24"/>
          <w:lang w:val="es-ES"/>
        </w:rPr>
        <w:instrText xml:space="preserve"> ADDIN ZOTERO_ITEM CSL_CITATION {"citationID":"xjafqBJz","properties":{"formattedCitation":"(Cerdas &amp; Moreira, 1990)","plainCitation":"(Cerdas &amp; Moreira, 1990)","noteIndex":0},"citationItems":[{"id":1182,"uris":["http://zotero.org/users/12642312/items/MG83BG6D"],"itemData":{"id":1182,"type":"article-journal","container-title":"Boletin Tecnico Estacion Experimental Fabio Baudrit M. (Costa Rica)","ISSN":"1011-8659","issue":"3","language":"en","source":"agris.fao.org","title":"[Analysis of the growth of the tomato (Lycopersicon esculentum mill) cv Catalina, in Alajuela [Costa Rica]]","URL":"https://agris.fao.org/search/en/providers/122467/records/647756abf2e6fe92b3656136","volume":"23","author":[{"family":"Cerdas","given":"J. C."},{"family":"Moreira","given":"M. A."}],"accessed":{"date-parts":[["2025",4,1]]},"issued":{"date-parts":[["1990"]]}}}],"schema":"https://github.com/citation-style-language/schema/raw/master/csl-citation.json"} </w:instrText>
      </w:r>
      <w:r w:rsidR="007D49D9">
        <w:rPr>
          <w:rFonts w:ascii="Arial" w:hAnsi="Arial" w:cs="Arial"/>
          <w:sz w:val="24"/>
          <w:szCs w:val="24"/>
          <w:lang w:val="es-ES"/>
        </w:rPr>
        <w:fldChar w:fldCharType="separate"/>
      </w:r>
      <w:r w:rsidR="007D49D9">
        <w:rPr>
          <w:rFonts w:ascii="Arial" w:hAnsi="Arial" w:cs="Arial"/>
          <w:sz w:val="24"/>
          <w:lang w:val="es-ES"/>
        </w:rPr>
        <w:t>(Cerdas &amp; Moreira, 1990)</w:t>
      </w:r>
      <w:r w:rsidR="007D49D9">
        <w:rPr>
          <w:rFonts w:ascii="Arial" w:hAnsi="Arial" w:cs="Arial"/>
          <w:sz w:val="24"/>
          <w:szCs w:val="24"/>
          <w:lang w:val="es-ES"/>
        </w:rPr>
        <w:fldChar w:fldCharType="end"/>
      </w:r>
      <w:r w:rsidR="007D49D9">
        <w:rPr>
          <w:rFonts w:ascii="Arial" w:hAnsi="Arial" w:cs="Arial"/>
          <w:sz w:val="24"/>
          <w:szCs w:val="24"/>
          <w:lang w:val="es-ES"/>
        </w:rPr>
        <w:t xml:space="preserve">. La pérdida de follaje de la planta, </w:t>
      </w:r>
      <w:r w:rsidR="007D49D9">
        <w:rPr>
          <w:rFonts w:ascii="Arial" w:hAnsi="Arial" w:cs="Arial"/>
          <w:sz w:val="24"/>
          <w:szCs w:val="24"/>
          <w:lang w:val="es-ES"/>
        </w:rPr>
        <w:lastRenderedPageBreak/>
        <w:t>producto de la senescencia, hace que el IAF disminuya en las etapas finales del ciclo de cultivo. El IAF es la expresión numérica adimensional resultado de la división aritmética del área de las hojas de un cultivo expresado en m</w:t>
      </w:r>
      <w:r w:rsidR="007D49D9">
        <w:rPr>
          <w:rFonts w:ascii="Arial" w:hAnsi="Arial" w:cs="Arial"/>
          <w:sz w:val="24"/>
          <w:szCs w:val="24"/>
          <w:vertAlign w:val="superscript"/>
          <w:lang w:val="es-ES"/>
        </w:rPr>
        <w:t>2</w:t>
      </w:r>
      <w:r w:rsidR="007D49D9">
        <w:rPr>
          <w:rFonts w:ascii="Arial" w:hAnsi="Arial" w:cs="Arial"/>
          <w:sz w:val="24"/>
          <w:szCs w:val="24"/>
          <w:lang w:val="es-ES"/>
        </w:rPr>
        <w:t xml:space="preserve"> y el área de suelo sobre el cual se encuentra establecido, también expresado en m</w:t>
      </w:r>
      <w:r w:rsidR="007D49D9">
        <w:rPr>
          <w:rFonts w:ascii="Arial" w:hAnsi="Arial" w:cs="Arial"/>
          <w:sz w:val="24"/>
          <w:szCs w:val="24"/>
          <w:vertAlign w:val="superscript"/>
          <w:lang w:val="es-ES"/>
        </w:rPr>
        <w:t>2</w:t>
      </w:r>
      <w:r w:rsidR="007D49D9">
        <w:rPr>
          <w:rFonts w:ascii="Arial" w:hAnsi="Arial" w:cs="Arial"/>
          <w:sz w:val="24"/>
          <w:szCs w:val="24"/>
          <w:lang w:val="es-ES"/>
        </w:rPr>
        <w:t xml:space="preserve"> </w:t>
      </w:r>
      <w:r w:rsidR="007D49D9">
        <w:rPr>
          <w:rFonts w:ascii="Arial" w:hAnsi="Arial" w:cs="Arial"/>
          <w:sz w:val="24"/>
          <w:szCs w:val="24"/>
          <w:lang w:val="es-ES"/>
        </w:rPr>
        <w:fldChar w:fldCharType="begin"/>
      </w:r>
      <w:r w:rsidR="007D49D9">
        <w:rPr>
          <w:rFonts w:ascii="Arial" w:hAnsi="Arial" w:cs="Arial"/>
          <w:sz w:val="24"/>
          <w:szCs w:val="24"/>
          <w:lang w:val="es-ES"/>
        </w:rPr>
        <w:instrText xml:space="preserve"> ADDIN ZOTERO_ITEM CSL_CITATION {"citationID":"zEf16jaA","properties":{"formattedCitation":"(Intagri, 2017)","plainCitation":"(Intagri, 2017)","noteIndex":0},"citationItems":[{"id":1123,"uris":["http://zotero.org/users/12642312/items/K5UJJTW7"],"itemData":{"id":1123,"type":"webpage","abstract":"El índice de área foliar (IAF) es la expresión numérica adimensional resultado de la división aritmética del área de las hojas de un cultivo expresado en m2 y el área de suelo sobre el cual se encuentra establecido, también expresado en m2. El IAF permite estimar la capacidad fotosintética de las plantas y ayuda a entender la relación entre acumulación de biomasa y rendimiento bajo condiciones ambientales imperantes en una región determinada.","language":"es","title":"El Índice de Área Foliar (IAF) y su Relación con el Rendimiento del Cultivo de Maíz | Intagri S.C.","URL":"https://www.intagri.com/articulos/cereales/el-indice-de-area-foliar-iaf","author":[{"family":"Intagri","given":""}],"accessed":{"date-parts":[["2025",4,1]]},"issued":{"date-parts":[["2017"]]}}}],"schema":"https://github.com/citation-style-language/schema/raw/master/csl-citation.json"} </w:instrText>
      </w:r>
      <w:r w:rsidR="007D49D9">
        <w:rPr>
          <w:rFonts w:ascii="Arial" w:hAnsi="Arial" w:cs="Arial"/>
          <w:sz w:val="24"/>
          <w:szCs w:val="24"/>
          <w:lang w:val="es-ES"/>
        </w:rPr>
        <w:fldChar w:fldCharType="separate"/>
      </w:r>
      <w:r w:rsidR="007D49D9">
        <w:rPr>
          <w:rFonts w:ascii="Arial" w:hAnsi="Arial" w:cs="Arial"/>
          <w:sz w:val="24"/>
          <w:lang w:val="es-ES"/>
        </w:rPr>
        <w:t>(Intagri, 2017)</w:t>
      </w:r>
      <w:r w:rsidR="007D49D9">
        <w:rPr>
          <w:rFonts w:ascii="Arial" w:hAnsi="Arial" w:cs="Arial"/>
          <w:sz w:val="24"/>
          <w:szCs w:val="24"/>
          <w:lang w:val="es-ES"/>
        </w:rPr>
        <w:fldChar w:fldCharType="end"/>
      </w:r>
      <w:r w:rsidR="007D49D9">
        <w:rPr>
          <w:rFonts w:ascii="Arial" w:hAnsi="Arial" w:cs="Arial"/>
          <w:sz w:val="24"/>
          <w:szCs w:val="24"/>
          <w:lang w:val="es-ES"/>
        </w:rPr>
        <w:t xml:space="preserve">. </w:t>
      </w:r>
    </w:p>
    <w:p w14:paraId="3FAF5572" w14:textId="4A092E65"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Según los resultados de este estudio, este indicador no presenta buen ajuste en el modelo CROPGRO</w:t>
      </w:r>
      <w:r w:rsidR="00A71029">
        <w:rPr>
          <w:rFonts w:ascii="Arial" w:hAnsi="Arial" w:cs="Arial"/>
          <w:sz w:val="24"/>
          <w:szCs w:val="24"/>
          <w:lang w:val="es-ES"/>
        </w:rPr>
        <w:t>-Tomato para el cultivar Elbita</w:t>
      </w:r>
      <w:r>
        <w:rPr>
          <w:rFonts w:ascii="Arial" w:hAnsi="Arial" w:cs="Arial"/>
          <w:sz w:val="24"/>
          <w:szCs w:val="24"/>
          <w:lang w:val="es-ES"/>
        </w:rPr>
        <w:t xml:space="preserve">. De hecho,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{"citationID":"Zjo8gQ1g","properties":{"custom":"(Boote {\\i{}et al}., 2021)","formattedCitation":"(Boote {\\i{}et al}., 2021)","plainCitation":"(Boote et al., 2021)","noteIndex":0},"citationItems":[{"id":643,"uris":["http://zotero.org/users/12642312/items/39Z8AHQ3"],"itemData":{"id":643,"type":"article-journal","abstract":"Carinata (Brassica carinata) is an oilseed crop which, because of its non-edible oil composition and favorable fatty acid profile, is proposed as a “green” sustainable aviation fuel. It can be grown as a winter crop in the southeastern USA or as a summer annual crop in northern latitudes. No crop models exist for carinata because it is a relatively new crop. The CROPGRO model is a mechanistic crop simulation of daily crop growth and development as a function of daily weather, soil properties, crop management, and species parameters. We adapted the CROPGRO model to simulate carinata based on growth analysis data collected over two seasons at three sites: Quincy, FL, Jay, FL, and Shorter, AL. The adaptation process required literature knowledge as well as optimization against field observations. The parameterization of model sensitivities to climatic factors is presented. The adapted model gave good simulations of carinata growth dynamics compared to observed growth during different seasons and locations and in response to N fertilization. While additional testing is appropriate, the model is sufficiently ready to be used for various applications. An example application is presented for the effect of sowing date on carinata yield and maturity over long-term weather in the Southeastern USA.","container-title":"GCB Bioenergy","DOI":"10.1111/gcbb.12838","ISSN":"1757-1693, 1757-1707","issue":"7","journalAbbreviation":"GCB Bioenergy","language":"en","page":"1134-1148","source":"DOI.org (Crossref)","title":"Adapting the CROPGRO model to simulate growth and production of &lt;i&gt;Brassica carinata&lt;/i&gt; , a bio</w:instrText>
      </w:r>
      <w:r>
        <w:rPr>
          <w:rFonts w:ascii="Cambria Math" w:hAnsi="Cambria Math" w:cs="Cambria Math"/>
          <w:sz w:val="24"/>
          <w:szCs w:val="24"/>
          <w:lang w:val="es-ES"/>
        </w:rPr>
        <w:instrText>‐</w:instrText>
      </w:r>
      <w:r>
        <w:rPr>
          <w:rFonts w:ascii="Arial" w:hAnsi="Arial" w:cs="Arial"/>
          <w:sz w:val="24"/>
          <w:szCs w:val="24"/>
          <w:lang w:val="es-ES"/>
        </w:rPr>
        <w:instrText xml:space="preserve">fuel crop","URL":"https://onlinelibrary.wiley.com/doi/10.1111/gcbb.12838","volume":"13","author":[{"family":"Boote","given":"Kenneth J."},{"family":"Seepaul","given":"Ramdeo"},{"family":"Mulvaney","given":"Michael J."},{"family":"Hagan","given":"Austin K."},{"family":"Bashyal","given":"Mahesh"},{"family":"George","given":"Sheeja"},{"family":"Small","given":"Ian"},{"family":"Wright","given":"David L."}],"accessed":{"date-parts":[["2025",3,12]]},"issued":{"date-parts":[["2021",7]]}}}],"schema":"https://github.com/citation-style-language/schema/raw/master/csl-citation.json"}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Boote </w:t>
      </w:r>
      <w:r>
        <w:rPr>
          <w:rFonts w:ascii="Arial" w:hAnsi="Arial" w:cs="Arial"/>
          <w:i/>
          <w:iCs/>
          <w:sz w:val="24"/>
          <w:szCs w:val="24"/>
          <w:lang w:val="es-ES"/>
        </w:rPr>
        <w:t>et al</w:t>
      </w:r>
      <w:r>
        <w:rPr>
          <w:rFonts w:ascii="Arial" w:hAnsi="Arial" w:cs="Arial"/>
          <w:sz w:val="24"/>
          <w:szCs w:val="24"/>
          <w:lang w:val="es-ES"/>
        </w:rPr>
        <w:t xml:space="preserve">., </w:t>
      </w:r>
      <w:r w:rsidR="00A14013">
        <w:rPr>
          <w:rFonts w:ascii="Arial" w:hAnsi="Arial" w:cs="Arial"/>
          <w:sz w:val="24"/>
          <w:szCs w:val="24"/>
          <w:lang w:val="es-ES"/>
        </w:rPr>
        <w:t>(</w:t>
      </w:r>
      <w:r>
        <w:rPr>
          <w:rFonts w:ascii="Arial" w:hAnsi="Arial" w:cs="Arial"/>
          <w:sz w:val="24"/>
          <w:szCs w:val="24"/>
          <w:lang w:val="es-ES"/>
        </w:rPr>
        <w:t>2021)</w:t>
      </w:r>
      <w:r>
        <w:rPr>
          <w:rFonts w:ascii="Arial" w:hAnsi="Arial" w:cs="Arial"/>
          <w:sz w:val="24"/>
          <w:szCs w:val="24"/>
          <w:lang w:val="es-ES"/>
        </w:rPr>
        <w:fldChar w:fldCharType="end"/>
      </w:r>
      <w:r>
        <w:rPr>
          <w:rFonts w:ascii="Arial" w:hAnsi="Arial" w:cs="Arial"/>
          <w:sz w:val="24"/>
          <w:szCs w:val="24"/>
          <w:lang w:val="es-ES"/>
        </w:rPr>
        <w:t xml:space="preserve">, obtuvo poca concordancia (d) y altos valores de RMSE en el cultivo, señalando que en diferentes experimentos el valor de IAF fue sobreestimado o subestimado, señalando que les resultó difícil obtener simulaciones de IAF robustas en todos los experimentos por igual. Estos autores señalan que el modelo no fue capaz de reproducir con precisión las disminuciones del IAF asociadas con la senescencia y la desmovilización de N, el cual está presente en algunas estaciones, pero no en todas. </w:t>
      </w:r>
    </w:p>
    <w:p w14:paraId="446DDD84" w14:textId="0889B452"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De igual forma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{"citationID":"GTaKFUx4","properties":{"custom":"(Uslu {\\i{}et al}., 2025)","formattedCitation":"(Uslu {\\i{}et al}., 2025)","plainCitation":"(Uslu et al., 2025)","noteIndex":0},"citationItems":[{"id":1176,"uris":["http://zotero.org/users/12642312/items/3DSHQ6HJ"],"itemData":{"id":1176,"type":"article-journal","abstract":"Irrigation water quality is of critical importance for optimum crop yield of economically important field crops in the Kahramanmaraş plains. A preliminary ecotoxicological assessment is necessary before large-scale irrigation. Therefore, this study aims to evaluate the quality of irrigation water supplied from different water sources (Karasu, Erkenez, and Oklu streams on the Aksu River and Sır Dam) and the effects on the seed germination and early seedling growth of different field crops (wheat, alfalfa, ryegrass, and maize) irrigated with this water. For this, in order to evaluate the effects on seed germination and early growth parameters of forage crop seedlings, a Petri dish germination test was carried out with four replications using a completely randomized design (CRD). Before the germination assay, heavy metal concentrations including copper (Cu), iron (Fe), lead (Pb), chromium (Cr), arsenic (As), nickel (Ni), and cadmium (Cd) were analyzed in water samples obtained from different water sources. In all water samples used for the experiment, Cu concentrations exceeded the acceptable limit of 0.2 mg L</w:instrText>
      </w:r>
      <w:r>
        <w:rPr>
          <w:rFonts w:ascii="Cambria Math" w:hAnsi="Cambria Math" w:cs="Cambria Math"/>
          <w:sz w:val="24"/>
          <w:szCs w:val="24"/>
          <w:lang w:val="es-ES"/>
        </w:rPr>
        <w:instrText>⁻</w:instrText>
      </w:r>
      <w:r>
        <w:rPr>
          <w:rFonts w:ascii="Arial" w:hAnsi="Arial" w:cs="Arial"/>
          <w:sz w:val="24"/>
          <w:szCs w:val="24"/>
          <w:lang w:val="es-ES"/>
        </w:rPr>
        <w:instrText>1. The Cu levels found were 0.98 mg L</w:instrText>
      </w:r>
      <w:r>
        <w:rPr>
          <w:rFonts w:ascii="Cambria Math" w:hAnsi="Cambria Math" w:cs="Cambria Math"/>
          <w:sz w:val="24"/>
          <w:szCs w:val="24"/>
          <w:lang w:val="es-ES"/>
        </w:rPr>
        <w:instrText>⁻</w:instrText>
      </w:r>
      <w:r>
        <w:rPr>
          <w:rFonts w:ascii="Arial" w:hAnsi="Arial" w:cs="Arial"/>
          <w:sz w:val="24"/>
          <w:szCs w:val="24"/>
          <w:lang w:val="es-ES"/>
        </w:rPr>
        <w:instrText>1 in Karasu (KC), 1.627 mg L</w:instrText>
      </w:r>
      <w:r>
        <w:rPr>
          <w:rFonts w:ascii="Cambria Math" w:hAnsi="Cambria Math" w:cs="Cambria Math"/>
          <w:sz w:val="24"/>
          <w:szCs w:val="24"/>
          <w:lang w:val="es-ES"/>
        </w:rPr>
        <w:instrText>⁻</w:instrText>
      </w:r>
      <w:r>
        <w:rPr>
          <w:rFonts w:ascii="Arial" w:hAnsi="Arial" w:cs="Arial"/>
          <w:sz w:val="24"/>
          <w:szCs w:val="24"/>
          <w:lang w:val="es-ES"/>
        </w:rPr>
        <w:instrText>1 in Oklu (OC), 0.945 mg L</w:instrText>
      </w:r>
      <w:r>
        <w:rPr>
          <w:rFonts w:ascii="Cambria Math" w:hAnsi="Cambria Math" w:cs="Cambria Math"/>
          <w:sz w:val="24"/>
          <w:szCs w:val="24"/>
          <w:lang w:val="es-ES"/>
        </w:rPr>
        <w:instrText>⁻</w:instrText>
      </w:r>
      <w:r>
        <w:rPr>
          <w:rFonts w:ascii="Arial" w:hAnsi="Arial" w:cs="Arial"/>
          <w:sz w:val="24"/>
          <w:szCs w:val="24"/>
          <w:lang w:val="es-ES"/>
        </w:rPr>
        <w:instrText>1 in Erkenez (EC), and 1.218 mg L</w:instrText>
      </w:r>
      <w:r>
        <w:rPr>
          <w:rFonts w:ascii="Cambria Math" w:hAnsi="Cambria Math" w:cs="Cambria Math"/>
          <w:sz w:val="24"/>
          <w:szCs w:val="24"/>
          <w:lang w:val="es-ES"/>
        </w:rPr>
        <w:instrText>⁻</w:instrText>
      </w:r>
      <w:r>
        <w:rPr>
          <w:rFonts w:ascii="Arial" w:hAnsi="Arial" w:cs="Arial"/>
          <w:sz w:val="24"/>
          <w:szCs w:val="24"/>
          <w:lang w:val="es-ES"/>
        </w:rPr>
        <w:instrText xml:space="preserve">1 in Sır Dam (SD) waters. Additionally, Fe exceeded the limit only in KC, while Cd surpassed the permissible levels in EC and SD water samples. Seeds exposed to different water treatments were germinated in a climate chamber at 20 ± 1 °C. Over two weeks, daily germination and seedling growth parameters were measured. The results indicated that higher heavy metal concentrations in irrigation water led to a decline in seed germination rates and adversely impacted early seedling growth. Notably, water from Karasu Creek exhibited the most significant negative impact on all germination and growth parameters in the tested crops, especially due to Cu and Fe metal toxicity. Additionally, ryegrass seeds were most affected by these irrigation waters. This study highlights the importance of using uncontaminated quality irrigation water for optimal crop production by quantifying its impact, such as the percentage of decrease in germination or seedling growth.","container-title":"Water","DOI":"10.3390/w17060892","ISSN":"2073-4441","issue":"6","language":"en","license":"http://creativecommons.org/licenses/by/3.0/","note":"number: 6\npublisher: Multidisciplinary Digital Publishing Institute","page":"892","source":"www.mdpi.com","title":"Effects of Different Irrigation Water Sources Contaminated with Heavy Metals on Seed Germination and Seedling Growth of Different Field Crops","URL":"https://www.mdpi.com/2073-4441/17/6/892","volume":"17","author":[{"family":"Uslu","given":"Ömer Süha"},{"family":"Gedik","given":"Osman"},{"family":"Kaya","given":"Ali Rahmi"},{"family":"Erol","given":"Adem"},{"family":"Babur","given":"Emre"},{"family":"Khan","given":"Haroon"},{"family":"Seleiman","given":"Mahmoud F."},{"family":"Wasonga","given":"Daniel O."}],"accessed":{"date-parts":[["2025",4,1]]},"issued":{"date-parts":[["2025",1]]}}}],"schema":"https://github.com/citation-style-language/schema/raw/master/csl-citation.json"}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Uslu </w:t>
      </w:r>
      <w:r>
        <w:rPr>
          <w:rFonts w:ascii="Arial" w:hAnsi="Arial" w:cs="Arial"/>
          <w:i/>
          <w:iCs/>
          <w:sz w:val="24"/>
          <w:szCs w:val="24"/>
          <w:lang w:val="es-ES"/>
        </w:rPr>
        <w:t>et al</w:t>
      </w:r>
      <w:r>
        <w:rPr>
          <w:rFonts w:ascii="Arial" w:hAnsi="Arial" w:cs="Arial"/>
          <w:sz w:val="24"/>
          <w:szCs w:val="24"/>
          <w:lang w:val="es-ES"/>
        </w:rPr>
        <w:t xml:space="preserve">., </w:t>
      </w:r>
      <w:r w:rsidR="001E6482">
        <w:rPr>
          <w:rFonts w:ascii="Arial" w:hAnsi="Arial" w:cs="Arial"/>
          <w:sz w:val="24"/>
          <w:szCs w:val="24"/>
          <w:lang w:val="es-ES"/>
        </w:rPr>
        <w:t>(</w:t>
      </w:r>
      <w:r>
        <w:rPr>
          <w:rFonts w:ascii="Arial" w:hAnsi="Arial" w:cs="Arial"/>
          <w:sz w:val="24"/>
          <w:szCs w:val="24"/>
          <w:lang w:val="es-ES"/>
        </w:rPr>
        <w:t>2025)</w:t>
      </w:r>
      <w:r>
        <w:rPr>
          <w:rFonts w:ascii="Arial" w:hAnsi="Arial" w:cs="Arial"/>
          <w:sz w:val="24"/>
          <w:szCs w:val="24"/>
          <w:lang w:val="es-ES"/>
        </w:rPr>
        <w:fldChar w:fldCharType="end"/>
      </w:r>
      <w:r>
        <w:rPr>
          <w:rFonts w:ascii="Arial" w:hAnsi="Arial" w:cs="Arial"/>
          <w:sz w:val="24"/>
          <w:szCs w:val="24"/>
          <w:lang w:val="es-ES"/>
        </w:rPr>
        <w:t xml:space="preserve"> encontró alta precisión (d superior a 0,97) en la simulación de este indicador, utilizando dosis adecuadas de N, sin embargo, en simulaciones con 0 kg ha</w:t>
      </w:r>
      <w:r>
        <w:rPr>
          <w:rFonts w:ascii="Arial" w:hAnsi="Arial" w:cs="Arial"/>
          <w:sz w:val="24"/>
          <w:szCs w:val="24"/>
          <w:vertAlign w:val="superscript"/>
          <w:lang w:val="es-ES"/>
        </w:rPr>
        <w:t>-1</w:t>
      </w:r>
      <w:r>
        <w:rPr>
          <w:rFonts w:ascii="Arial" w:hAnsi="Arial" w:cs="Arial"/>
          <w:sz w:val="24"/>
          <w:szCs w:val="24"/>
          <w:lang w:val="es-ES"/>
        </w:rPr>
        <w:t xml:space="preserve"> de </w:t>
      </w:r>
      <w:r w:rsidR="00315752">
        <w:rPr>
          <w:rFonts w:ascii="Arial" w:hAnsi="Arial" w:cs="Arial"/>
          <w:sz w:val="24"/>
          <w:szCs w:val="24"/>
          <w:lang w:val="es-ES"/>
        </w:rPr>
        <w:t>N, los valores de d fueron de 4,</w:t>
      </w:r>
      <w:r>
        <w:rPr>
          <w:rFonts w:ascii="Arial" w:hAnsi="Arial" w:cs="Arial"/>
          <w:sz w:val="24"/>
          <w:szCs w:val="24"/>
          <w:lang w:val="es-ES"/>
        </w:rPr>
        <w:t xml:space="preserve">040 and 4.355 en los dos cultivares evaluados, señalando la importancia de un adecuado sumisito de N en la precisión del modelo. </w:t>
      </w:r>
    </w:p>
    <w:p w14:paraId="45D7F3DC"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De hecho, se sugiere para mejorar la simulación del IAF, incrementar en el modelo DSSAT los parámetros NMOBMX (fracción máxima de nitrógeno que puede ser movilizada por días) y NVSMOB (rango de movilización relativa de N en la fase vegetativa)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{"citationID":"O4ZXnbxW","properties":{"custom":"(Heuvelink {\\i{}et al}., 2005)","formattedCitation":"(Heuvelink {\\i{}et al}., 2005)","plainCitation":"(Heuvelink et al., 2005)","noteIndex":0},"citationItems":[{"id":1115,"uris":["http://zotero.org/users/12642312/items/IXR9PWCC"],"itemData":{"id":1115,"type":"article-journal","container-title":"Acta Horticulturae","DOI":"10.17660/ActaHortic.2005.691.2","ISSN":"0567-7572, 2406-6168","issue":"691","journalAbbreviation":"Acta Hortic.","page":"43-50","source":"DOI.org (Crossref)","title":"EFFECT OF LEAF AREA ON TOMATO YIELD","URL":"https://www.actahort.org/books/691/691_2.htm","author":[{"family":"Heuvelink","given":"E."},{"family":"Bakker","given":"M.J."},{"family":"Elings","given":"A."},{"family":"Kaarsemaker","given":"R.C."},{"family":"Marcelis","given":"L.F.M."}],"accessed":{"date-parts":[["2025",4,1]]},"issued":{"date-parts":[["2005",10]]}}}],"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(Heuvelink </w:t>
      </w:r>
      <w:r>
        <w:rPr>
          <w:rFonts w:ascii="Arial" w:hAnsi="Arial" w:cs="Arial"/>
          <w:i/>
          <w:iCs/>
          <w:sz w:val="24"/>
          <w:szCs w:val="24"/>
          <w:lang w:val="es-ES"/>
        </w:rPr>
        <w:t>et al</w:t>
      </w:r>
      <w:r>
        <w:rPr>
          <w:rFonts w:ascii="Arial" w:hAnsi="Arial" w:cs="Arial"/>
          <w:sz w:val="24"/>
          <w:szCs w:val="24"/>
          <w:lang w:val="es-ES"/>
        </w:rPr>
        <w:t>., 2005)</w:t>
      </w:r>
      <w:r>
        <w:rPr>
          <w:rFonts w:ascii="Arial" w:hAnsi="Arial" w:cs="Arial"/>
          <w:sz w:val="24"/>
          <w:szCs w:val="24"/>
          <w:lang w:val="es-ES"/>
        </w:rPr>
        <w:fldChar w:fldCharType="end"/>
      </w:r>
      <w:r>
        <w:rPr>
          <w:rFonts w:ascii="Arial" w:hAnsi="Arial" w:cs="Arial"/>
          <w:sz w:val="24"/>
          <w:szCs w:val="24"/>
          <w:lang w:val="es-ES"/>
        </w:rPr>
        <w:t xml:space="preserve">. Estos parámetros no se ajustaron en el modelo propuesto. </w:t>
      </w:r>
    </w:p>
    <w:p w14:paraId="08B30FC6" w14:textId="77777777" w:rsidR="008403BD" w:rsidRDefault="007D49D9">
      <w:pPr>
        <w:keepNext/>
        <w:spacing w:before="120" w:after="0" w:line="360" w:lineRule="auto"/>
        <w:jc w:val="both"/>
      </w:pPr>
      <w:r>
        <w:rPr>
          <w:rFonts w:ascii="Arial" w:hAnsi="Arial" w:cs="Arial"/>
          <w:noProof/>
          <w:sz w:val="24"/>
          <w:szCs w:val="24"/>
        </w:rPr>
        <w:lastRenderedPageBreak/>
        <w:drawing>
          <wp:inline distT="0" distB="0" distL="0" distR="0" wp14:anchorId="41D6CDF6" wp14:editId="68A8351D">
            <wp:extent cx="5612130" cy="3706494"/>
            <wp:effectExtent l="0" t="0" r="7620" b="8255"/>
            <wp:docPr id="1040" name="Imagen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n 6"/>
                    <pic:cNvPicPr/>
                  </pic:nvPicPr>
                  <pic:blipFill>
                    <a:blip r:embed="rId19" cstate="print"/>
                    <a:srcRect/>
                    <a:stretch/>
                  </pic:blipFill>
                  <pic:spPr>
                    <a:xfrm>
                      <a:off x="0" y="0"/>
                      <a:ext cx="5612130" cy="3706494"/>
                    </a:xfrm>
                    <a:prstGeom prst="rect">
                      <a:avLst/>
                    </a:prstGeom>
                  </pic:spPr>
                </pic:pic>
              </a:graphicData>
            </a:graphic>
          </wp:inline>
        </w:drawing>
      </w:r>
    </w:p>
    <w:p w14:paraId="5870D208" w14:textId="43CDFD8C" w:rsidR="008403BD" w:rsidRDefault="007D49D9">
      <w:pPr>
        <w:pStyle w:val="Descripcin"/>
        <w:jc w:val="both"/>
        <w:rPr>
          <w:rFonts w:ascii="Arial" w:hAnsi="Arial" w:cs="Arial"/>
          <w:b/>
          <w:color w:val="auto"/>
          <w:sz w:val="24"/>
          <w:szCs w:val="24"/>
          <w:lang w:val="es-ES"/>
        </w:rPr>
      </w:pPr>
      <w:r>
        <w:rPr>
          <w:rFonts w:ascii="Arial" w:hAnsi="Arial" w:cs="Arial"/>
          <w:b/>
          <w:color w:val="auto"/>
          <w:lang w:val="es-ES"/>
        </w:rPr>
        <w:t xml:space="preserve">Figura </w:t>
      </w:r>
      <w:r>
        <w:rPr>
          <w:rFonts w:ascii="Arial" w:hAnsi="Arial" w:cs="Arial"/>
          <w:b/>
          <w:color w:val="auto"/>
        </w:rPr>
        <w:fldChar w:fldCharType="begin"/>
      </w:r>
      <w:r>
        <w:rPr>
          <w:rFonts w:ascii="Arial" w:hAnsi="Arial" w:cs="Arial"/>
          <w:b/>
          <w:color w:val="auto"/>
          <w:lang w:val="es-ES"/>
        </w:rPr>
        <w:instrText xml:space="preserve"> SEQ Figura \* ARABIC </w:instrText>
      </w:r>
      <w:r>
        <w:rPr>
          <w:rFonts w:ascii="Arial" w:hAnsi="Arial" w:cs="Arial"/>
          <w:b/>
          <w:color w:val="auto"/>
        </w:rPr>
        <w:fldChar w:fldCharType="separate"/>
      </w:r>
      <w:r w:rsidR="00073C4F">
        <w:rPr>
          <w:rFonts w:ascii="Arial" w:hAnsi="Arial" w:cs="Arial"/>
          <w:b/>
          <w:noProof/>
          <w:color w:val="auto"/>
          <w:lang w:val="es-ES"/>
        </w:rPr>
        <w:t>8</w:t>
      </w:r>
      <w:r>
        <w:rPr>
          <w:rFonts w:ascii="Arial" w:hAnsi="Arial" w:cs="Arial"/>
          <w:b/>
          <w:color w:val="auto"/>
        </w:rPr>
        <w:fldChar w:fldCharType="end"/>
      </w:r>
      <w:r w:rsidR="00E614A4" w:rsidRPr="00E614A4">
        <w:rPr>
          <w:rFonts w:ascii="Arial" w:hAnsi="Arial" w:cs="Arial"/>
          <w:b/>
          <w:color w:val="auto"/>
          <w:lang w:val="es-ES"/>
        </w:rPr>
        <w:t>.</w:t>
      </w:r>
      <w:r>
        <w:rPr>
          <w:rFonts w:ascii="Arial" w:hAnsi="Arial" w:cs="Arial"/>
          <w:b/>
          <w:color w:val="auto"/>
          <w:lang w:val="es-ES"/>
        </w:rPr>
        <w:t xml:space="preserve"> </w:t>
      </w:r>
      <w:r w:rsidRPr="00E614A4">
        <w:rPr>
          <w:rFonts w:ascii="Arial" w:hAnsi="Arial" w:cs="Arial"/>
          <w:color w:val="auto"/>
          <w:lang w:val="es-ES"/>
        </w:rPr>
        <w:t xml:space="preserve">Datos simulados y observados del índice de área foliar del cultivar Elbita </w:t>
      </w:r>
      <w:r w:rsidR="00E614A4" w:rsidRPr="00E614A4">
        <w:rPr>
          <w:rFonts w:ascii="Arial" w:hAnsi="Arial" w:cs="Arial"/>
          <w:color w:val="auto"/>
          <w:lang w:val="es-ES"/>
        </w:rPr>
        <w:t>en el periodo óptimo de siembra</w:t>
      </w:r>
    </w:p>
    <w:p w14:paraId="7B365219" w14:textId="4A1BEC0A" w:rsidR="008403BD" w:rsidRDefault="007D49D9">
      <w:pPr>
        <w:spacing w:before="120" w:after="0" w:line="360" w:lineRule="auto"/>
        <w:jc w:val="both"/>
        <w:rPr>
          <w:rFonts w:ascii="Arial" w:hAnsi="Arial" w:cs="Arial"/>
          <w:sz w:val="24"/>
          <w:szCs w:val="24"/>
          <w:lang w:val="es-ES"/>
        </w:rPr>
      </w:pPr>
      <w:r w:rsidRPr="00825BC6">
        <w:rPr>
          <w:rFonts w:ascii="Arial" w:hAnsi="Arial" w:cs="Arial"/>
          <w:sz w:val="24"/>
          <w:szCs w:val="24"/>
          <w:lang w:val="es-ES"/>
        </w:rPr>
        <w:t>Diversos estudios</w:t>
      </w:r>
      <w:r>
        <w:rPr>
          <w:rFonts w:ascii="Arial" w:hAnsi="Arial" w:cs="Arial"/>
          <w:sz w:val="24"/>
          <w:szCs w:val="24"/>
          <w:lang w:val="es-ES"/>
        </w:rPr>
        <w:t xml:space="preserve"> utilizaron la modelación de cultivos para estimar el IAF en tomate tanto por métodos destructivos como no destructivos </w:t>
      </w:r>
      <w:r>
        <w:rPr>
          <w:rFonts w:ascii="Arial" w:hAnsi="Arial" w:cs="Arial"/>
          <w:sz w:val="24"/>
          <w:szCs w:val="24"/>
          <w:lang w:val="es-ES"/>
        </w:rPr>
        <w:fldChar w:fldCharType="begin"/>
      </w:r>
      <w:r w:rsidR="00825BC6">
        <w:rPr>
          <w:rFonts w:ascii="Arial" w:hAnsi="Arial" w:cs="Arial"/>
          <w:sz w:val="24"/>
          <w:szCs w:val="24"/>
          <w:lang w:val="es-ES"/>
        </w:rPr>
        <w:instrText xml:space="preserve"> ADDIN ZOTERO_ITEM CSL_CITATION {"citationID":"YuYiK5Kb","properties":{"custom":"(Heuvelink {\\i{}et al}., 2005; Boote {\\i{}et al}., 2012; K\\uc0\\u252{}\\uc0\\u231{}\\uc0\\u252{}k\\uc0\\u246{}nder {\\i{}et al}., 2016)","unsorted":true,"formattedCitation":"(Heuvelink {\\i{}et al}., 2005; Boote {\\i{}et al}., 2012; K\\uc0\\u252{}\\uc0\\u231{}\\uc0\\u252{}k\\uc0\\u246{}nder {\\i{}et al}., 2016)","plainCitation":"(Heuvelink et al., 2005; Boote et al., 2012; Küçükönder et al., 2016)","noteIndex":0},"citationItems":[{"id":1115,"uris":["http://zotero.org/users/12642312/items/IXR9PWCC"],"itemData":{"id":1115,"type":"article-journal","container-title":"Acta Horticulturae","DOI":"10.17660/ActaHortic.2005.691.2","ISSN":"0567-7572, 2406-6168","issue":"691","journalAbbreviation":"Acta Hortic.","page":"43-50","source":"DOI.org (Crossref)","title":"EFFECT OF LEAF AREA ON TOMATO YIELD","URL":"https://www.actahort.org/books/691/691_2.htm","author":[{"family":"Heuvelink","given":"E."},{"family":"Bakker","given":"M.J."},{"family":"Elings","given":"A."},{"family":"Kaarsemaker","given":"R.C."},{"family":"Marcelis","given":"L.F.M."}],"accessed":{"date-parts":[["2025",4,1]]},"issued":{"date-parts":[["2005",10]]}},"label":"page"},{"id":1231,"uris":["http://zotero.org/users/12642312/items/F3PDPX3Y"],"itemData":{"id":1231,"type":"article-journal","abstract":"Parameterizing crop models for more accurate response to climate factors such as temperature is important considering potential temperature increases associated with climate change, particularly for tomato (Lycopersicon esculentum Mill.), which is a heat-sensitive crop. The objective of this work was to update the cardinal temperature parameters of the CROPGRO-Tomato model affecting the simulation of crop development, daily dry matter (DM) production, fruit set, and DM partitioning of field-grown tomato from transplanting to harvest. The main adaptation relied on new literature values for cardinal temperature parameters that affect tomato crop phenology, fruit set, and fruit growth. The new cardinal temperature values are considered reliable because they come from recent published experiments conducted in controlled-temperature environments. Use of the new cardinal temperatures in the CROPGRO-Tomato model affected the rate of crop development compared with prior default parameters; thus, we found it necessary to recalibrate genetic coefficients that affect life cycle phases and growth simulated by the model. The model was recalibrated and evaluated with 10 growth analyses data sets collected in field experiments conducted at three locations in Florida (Bradenton, Quincy, and Gainesville) from 1991 to 2007. Use of modified parameters sufficiently improved model performance to provide accurate prediction of crop and fruit DM accumulation throughout the season. Overall, the average root mean square error (RMSE) over all experiments was reduced 44% for leaf area index, 71% for fruit number, and 36% for both aboveground biomass and fruit dry weight simulations with the modified parameters compared with the default. The Willmott d index was higher and was always above 0.92. The CROPGRO-Tomato model with these modified cardinal temperature parameters will predict more accurately tomato growth and yield response to temperature and thus be useful in model applications.","container-title":"HortScience","DOI":"10.21273/HORTSCI.47.8.1038","ISSN":"0018-5345, 2327-9834","issue":"8","language":"en_US","note":"publisher: American Society for Horticultural Science\nsection: HortScience","page":"1038-1049","source":"journals.ashs.org","title":"Improving the CROPGRO-Tomato Model for Predicting Growth and Yield Response to Temperature","URL":"https://journals.ashs.org/hortsci/view/journals/hortsci/47/8/article-p1038.xml","volume":"47","author":[{"family":"Boote","given":"Kenneth J."},{"family":"Rybak","given":"Maria R."},{"family":"Scholberg","given":"Johan M. S."},{"family":"Jones","given":"James W."}],"accessed":{"date-parts":[["2025",4,2]]},"issued":{"date-parts":[["2012",8,1]]}},"label":"page"},{"id":1200,"uris":["http://zotero.org/users/12642312/items/NRR79U6B"],"itemData":{"id":1200,"type":"article-journal","container-title":"Turkish Journal of Agriculture and Forestry","DOI":"10.3906/tar-1408-28","ISSN":"1300-011X","issue":"2","page":"203-212","source":"COinS","title":"A modeling study with an artificial neural network: developing estimationmodels for the tomato plant leaf area","title-short":"A modeling study with an artificial neural network","URL":"https://journals.tubitak.gov.tr/agriculture/vol40/iss2/9","volume":"40","author":[{"family":"Küçükönder","given":"Hande"},{"family":"BOYACI","given":"SEDAT"},{"family":"AKYÜZ","given":"ADİL"}],"issued":{"date-parts":[["2016",1,1]]}},"label":"page"}],"schema":"https://github.com/citation-style-language/schema/raw/master/csl-citation.json"} </w:instrText>
      </w:r>
      <w:r>
        <w:rPr>
          <w:rFonts w:ascii="Arial" w:hAnsi="Arial" w:cs="Arial"/>
          <w:sz w:val="24"/>
          <w:szCs w:val="24"/>
          <w:lang w:val="es-ES"/>
        </w:rPr>
        <w:fldChar w:fldCharType="separate"/>
      </w:r>
      <w:r w:rsidR="00825BC6" w:rsidRPr="00825BC6">
        <w:rPr>
          <w:rFonts w:ascii="Arial" w:hAnsi="Arial" w:cs="Arial"/>
          <w:sz w:val="24"/>
          <w:szCs w:val="24"/>
          <w:lang w:val="es-ES"/>
        </w:rPr>
        <w:t xml:space="preserve">(Heuvelink </w:t>
      </w:r>
      <w:r w:rsidR="00825BC6" w:rsidRPr="00825BC6">
        <w:rPr>
          <w:rFonts w:ascii="Arial" w:hAnsi="Arial" w:cs="Arial"/>
          <w:i/>
          <w:iCs/>
          <w:sz w:val="24"/>
          <w:szCs w:val="24"/>
          <w:lang w:val="es-ES"/>
        </w:rPr>
        <w:t>et al</w:t>
      </w:r>
      <w:r w:rsidR="00825BC6" w:rsidRPr="00825BC6">
        <w:rPr>
          <w:rFonts w:ascii="Arial" w:hAnsi="Arial" w:cs="Arial"/>
          <w:sz w:val="24"/>
          <w:szCs w:val="24"/>
          <w:lang w:val="es-ES"/>
        </w:rPr>
        <w:t xml:space="preserve">., 2005; Boote </w:t>
      </w:r>
      <w:r w:rsidR="00825BC6" w:rsidRPr="00825BC6">
        <w:rPr>
          <w:rFonts w:ascii="Arial" w:hAnsi="Arial" w:cs="Arial"/>
          <w:i/>
          <w:iCs/>
          <w:sz w:val="24"/>
          <w:szCs w:val="24"/>
          <w:lang w:val="es-ES"/>
        </w:rPr>
        <w:t>et al</w:t>
      </w:r>
      <w:r w:rsidR="00825BC6" w:rsidRPr="00825BC6">
        <w:rPr>
          <w:rFonts w:ascii="Arial" w:hAnsi="Arial" w:cs="Arial"/>
          <w:sz w:val="24"/>
          <w:szCs w:val="24"/>
          <w:lang w:val="es-ES"/>
        </w:rPr>
        <w:t xml:space="preserve">., 2012; Küçükönder </w:t>
      </w:r>
      <w:r w:rsidR="00825BC6" w:rsidRPr="00825BC6">
        <w:rPr>
          <w:rFonts w:ascii="Arial" w:hAnsi="Arial" w:cs="Arial"/>
          <w:i/>
          <w:iCs/>
          <w:sz w:val="24"/>
          <w:szCs w:val="24"/>
          <w:lang w:val="es-ES"/>
        </w:rPr>
        <w:t>et al</w:t>
      </w:r>
      <w:r w:rsidR="00825BC6" w:rsidRPr="00825BC6">
        <w:rPr>
          <w:rFonts w:ascii="Arial" w:hAnsi="Arial" w:cs="Arial"/>
          <w:sz w:val="24"/>
          <w:szCs w:val="24"/>
          <w:lang w:val="es-ES"/>
        </w:rPr>
        <w:t>., 2016)</w:t>
      </w:r>
      <w:r>
        <w:rPr>
          <w:rFonts w:ascii="Arial" w:hAnsi="Arial" w:cs="Arial"/>
          <w:sz w:val="24"/>
          <w:szCs w:val="24"/>
          <w:lang w:val="es-ES"/>
        </w:rPr>
        <w:fldChar w:fldCharType="end"/>
      </w:r>
      <w:r>
        <w:rPr>
          <w:rFonts w:ascii="Arial" w:hAnsi="Arial" w:cs="Arial"/>
          <w:sz w:val="24"/>
          <w:szCs w:val="24"/>
          <w:lang w:val="es-ES"/>
        </w:rPr>
        <w:t xml:space="preserve">, quienes demostraron que es preferible usar métodos destructivos para medir el IAF. </w:t>
      </w:r>
    </w:p>
    <w:p w14:paraId="6DF87713"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El IAF es una herramienta útil para el desarrollo de modelos predictores de cosecha y una forma precisa de estimar la capacidad de captura de luz del dosel vegetal. Aunque la intercepción de luz tiende a saturarse en IAF&gt;3, la distribución de las hojas puede afectar la </w:t>
      </w:r>
      <w:proofErr w:type="spellStart"/>
      <w:r>
        <w:rPr>
          <w:rFonts w:ascii="Arial" w:hAnsi="Arial" w:cs="Arial"/>
          <w:sz w:val="24"/>
          <w:szCs w:val="24"/>
          <w:lang w:val="es-ES"/>
        </w:rPr>
        <w:t>eﬁciencia</w:t>
      </w:r>
      <w:proofErr w:type="spellEnd"/>
      <w:r>
        <w:rPr>
          <w:rFonts w:ascii="Arial" w:hAnsi="Arial" w:cs="Arial"/>
          <w:sz w:val="24"/>
          <w:szCs w:val="24"/>
          <w:lang w:val="es-ES"/>
        </w:rPr>
        <w:t xml:space="preserve"> de uso de la luz. </w:t>
      </w:r>
    </w:p>
    <w:p w14:paraId="6FFD069D"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El IAF también sirve para evaluar el crecimiento y desarrollo de los cultivos en los estudios de requerimientos hídricos y evaluaciones sobre </w:t>
      </w:r>
      <w:proofErr w:type="spellStart"/>
      <w:r>
        <w:rPr>
          <w:rFonts w:ascii="Arial" w:hAnsi="Arial" w:cs="Arial"/>
          <w:sz w:val="24"/>
          <w:szCs w:val="24"/>
          <w:lang w:val="es-ES"/>
        </w:rPr>
        <w:t>eﬁciencia</w:t>
      </w:r>
      <w:proofErr w:type="spellEnd"/>
      <w:r>
        <w:rPr>
          <w:rFonts w:ascii="Arial" w:hAnsi="Arial" w:cs="Arial"/>
          <w:sz w:val="24"/>
          <w:szCs w:val="24"/>
          <w:lang w:val="es-ES"/>
        </w:rPr>
        <w:t xml:space="preserve"> bioenergética o determinar el daño producido por plagas y enfermedades sobre el follaje. </w:t>
      </w:r>
    </w:p>
    <w:p w14:paraId="58F3B8D5"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La estimación del rendimiento en distintos cultivos puede basarse en el IAF determinado en alguna etapa fenológica y previamente correlacionado mediante </w:t>
      </w:r>
      <w:r>
        <w:rPr>
          <w:rFonts w:ascii="Arial" w:hAnsi="Arial" w:cs="Arial"/>
          <w:sz w:val="24"/>
          <w:szCs w:val="24"/>
          <w:lang w:val="es-ES"/>
        </w:rPr>
        <w:lastRenderedPageBreak/>
        <w:t>algún método de determinación: destructivo, no destructivo, in situ o determinaciones por métodos empíricos.</w:t>
      </w:r>
    </w:p>
    <w:p w14:paraId="1906B0B4" w14:textId="77777777"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 Esta correlación deberá ser realizada para un cultivo bajo condiciones regionales acotadas. A nivel experimental se ha demostrado que la acumulación de materia seca hasta la cosecha y el IAF son características con estrecha correlación con el rendimiento para cultivos como: cereales, tubérculos, solanáceas, leguminosas y cultivos industriales, sin descartar a otros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{"citationID":"YH5ILjwV","properties":{"formattedCitation":"(Intagri, 2017)","plainCitation":"(Intagri, 2017)","noteIndex":0},"citationItems":[{"id":1123,"uris":["http://zotero.org/users/12642312/items/K5UJJTW7"],"itemData":{"id":1123,"type":"webpage","abstract":"El índice de área foliar (IAF) es la expresión numérica adimensional resultado de la división aritmética del área de las hojas de un cultivo expresado en m2 y el área de suelo sobre el cual se encuentra establecido, también expresado en m2. El IAF permite estimar la capacidad fotosintética de las plantas y ayuda a entender la relación entre acumulación de biomasa y rendimiento bajo condiciones ambientales imperantes en una región determinada.","language":"es","title":"El Índice de Área Foliar (IAF) y su Relación con el Rendimiento del Cultivo de Maíz | Intagri S.C.","URL":"https://www.intagri.com/articulos/cereales/el-indice-de-area-foliar-iaf","author":[{"family":"Intagri","given":""}],"accessed":{"date-parts":[["2025",4,1]]},"issued":{"date-parts":[["2017"]]}}}],"schema":"https://github.com/citation-style-language/schema/raw/master/csl-citation.json"} </w:instrText>
      </w:r>
      <w:r>
        <w:rPr>
          <w:rFonts w:ascii="Arial" w:hAnsi="Arial" w:cs="Arial"/>
          <w:sz w:val="24"/>
          <w:szCs w:val="24"/>
          <w:lang w:val="es-ES"/>
        </w:rPr>
        <w:fldChar w:fldCharType="separate"/>
      </w:r>
      <w:r>
        <w:rPr>
          <w:rFonts w:ascii="Arial" w:hAnsi="Arial" w:cs="Arial"/>
          <w:sz w:val="24"/>
          <w:lang w:val="es-ES"/>
        </w:rPr>
        <w:t>(Intagri, 2017)</w:t>
      </w:r>
      <w:r>
        <w:rPr>
          <w:rFonts w:ascii="Arial" w:hAnsi="Arial" w:cs="Arial"/>
          <w:sz w:val="24"/>
          <w:szCs w:val="24"/>
          <w:lang w:val="es-ES"/>
        </w:rPr>
        <w:fldChar w:fldCharType="end"/>
      </w:r>
      <w:r>
        <w:rPr>
          <w:rFonts w:ascii="Arial" w:hAnsi="Arial" w:cs="Arial"/>
          <w:sz w:val="24"/>
          <w:szCs w:val="24"/>
          <w:lang w:val="es-ES"/>
        </w:rPr>
        <w:t>.</w:t>
      </w:r>
    </w:p>
    <w:p w14:paraId="30B59D64" w14:textId="77777777" w:rsidR="008403BD" w:rsidRDefault="00424AA0">
      <w:pPr>
        <w:spacing w:before="120" w:line="360" w:lineRule="auto"/>
        <w:jc w:val="both"/>
        <w:rPr>
          <w:rFonts w:ascii="Arial" w:hAnsi="Arial" w:cs="Arial"/>
          <w:sz w:val="24"/>
          <w:szCs w:val="24"/>
          <w:lang w:val="es-ES"/>
        </w:rPr>
      </w:pPr>
      <w:r>
        <w:rPr>
          <w:rFonts w:ascii="Arial" w:hAnsi="Arial" w:cs="Arial"/>
          <w:sz w:val="24"/>
          <w:szCs w:val="24"/>
          <w:lang w:val="es-ES"/>
        </w:rPr>
        <w:t>E</w:t>
      </w:r>
      <w:r w:rsidR="007D49D9">
        <w:rPr>
          <w:rFonts w:ascii="Arial" w:hAnsi="Arial" w:cs="Arial"/>
          <w:sz w:val="24"/>
          <w:szCs w:val="24"/>
          <w:lang w:val="es-ES"/>
        </w:rPr>
        <w:t xml:space="preserve">n la figura 9 se presenta la dinámica seguida por el número de frutos. Como se aprecia, los frutos comienzan a aparecer después de los 45 DDS. A partir de ese momento presenta un crecimiento exponencial. </w:t>
      </w:r>
    </w:p>
    <w:p w14:paraId="4263E16A" w14:textId="23892476" w:rsidR="008403BD" w:rsidRDefault="007D49D9">
      <w:pPr>
        <w:spacing w:before="120" w:line="360" w:lineRule="auto"/>
        <w:jc w:val="both"/>
        <w:rPr>
          <w:rFonts w:ascii="Arial" w:hAnsi="Arial" w:cs="Arial"/>
          <w:sz w:val="24"/>
          <w:szCs w:val="24"/>
          <w:lang w:val="es-ES"/>
        </w:rPr>
      </w:pPr>
      <w:r>
        <w:rPr>
          <w:rFonts w:ascii="Arial" w:hAnsi="Arial" w:cs="Arial"/>
          <w:sz w:val="24"/>
          <w:szCs w:val="24"/>
          <w:lang w:val="es-ES"/>
        </w:rPr>
        <w:t xml:space="preserve">Para este indicador el valor obtenido fue inferior al simulado y presentó un coeficiente de concordancia intermedio (0,72), aunque valores superiores a 0,7 en algunos casos se consideran satisfactorios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{"citationID":"NPdpcnsN","properties":{"custom":"(Lamsal {\\i{}et al}., 2013)","formattedCitation":"(Lamsal {\\i{}et al}., 2013)","plainCitation":"(Lamsal et al., 2013)","noteIndex":0},"citationItems":[{"id":1168,"uris":["http://zotero.org/users/12642312/items/VCQBDZKV"],"itemData":{"id":1168,"type":"article-journal","abstract":"Concern is growing about the effects of urbanization on air pollution and health. Nitrogen dioxide (NO2) released primarily from combustion processes, such as traffic, is a short-lived atmospheric pollutant that serves as an air-quality indicator and is itself a health concern. We derive a global distribution of ground-level NO2 concentrations from tropospheric NO2 columns retrieved from the Ozone Monitoring Instrument (OMI). Local scaling factors from a three-dimensional chemistry-transport model (GEOS-Chem) are used to relate the OMI NO2 columns to ground-level concentrations. The OMI-derived surface NO2 data are significantly correlated (r = 0.69) with in situ surface measurements. We examine how the OMI-derived ground-level NO2 concentrations, OMI NO2 columns, and bottom-up NOx emission inventories relate to urban population. Emission hot spots, such as power plants, are excluded to focus on urban relationships. The correlation of surface NO2 with population is significant for the three countries and one continent examined here: United States (r = 0.71), Europe (r = 0.67), China (r = 0.69), and India (r = 0.59). Urban NO2 pollution, like other urban properties, is a power law scaling function of the population size: NO2 concentration increases proportional to population raised to an exponent. The value of the exponent varies by region from 0.36 for India to 0.66 for China, reflecting regional differences in industrial development and per capita emissions. It has been generally established that energy efficiency increases and, therefore, per capita NOx emissions decrease with urban population; here, we show how outdoor ambient NO2 concentrations depend upon urban population in different global regions.","container-title":"Environmental Science &amp; Technology","DOI":"10.1021/es400744g","ISSN":"0013-936X","issue":"14","journalAbbreviation":"Environ. Sci. Technol.","note":"publisher: American Chemical Society","page":"7855-7861","source":"ACS Publications","title":"Scaling Relationship for NO2 Pollution and Urban Population Size: A Satellite Perspective","title-short":"Scaling Relationship for NO2 Pollution and Urban Population Size","URL":"https://doi.org/10.1021/es400744g","volume":"47","author":[{"family":"Lamsal","given":""},{"family":"Martin","given":"R. V."},{"family":"Parrish","given":"D. D."},{"family":"Krotkov","given":"N. A."}],"accessed":{"date-parts":[["2025",4,1]]},"issued":{"date-parts":[["2013",7,16]]}}}],"schema":"https://github.com/citation-style-language/schema/raw/master/csl-citation.json"}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rPr>
        <w:t xml:space="preserve">(Lamsal </w:t>
      </w:r>
      <w:r>
        <w:rPr>
          <w:rFonts w:ascii="Arial" w:hAnsi="Arial" w:cs="Arial"/>
          <w:i/>
          <w:iCs/>
          <w:sz w:val="24"/>
          <w:szCs w:val="24"/>
        </w:rPr>
        <w:t>et al</w:t>
      </w:r>
      <w:r>
        <w:rPr>
          <w:rFonts w:ascii="Arial" w:hAnsi="Arial" w:cs="Arial"/>
          <w:sz w:val="24"/>
          <w:szCs w:val="24"/>
        </w:rPr>
        <w:t>., 2013)</w:t>
      </w:r>
      <w:r>
        <w:rPr>
          <w:rFonts w:ascii="Arial" w:hAnsi="Arial" w:cs="Arial"/>
          <w:sz w:val="24"/>
          <w:szCs w:val="24"/>
          <w:lang w:val="es-ES"/>
        </w:rPr>
        <w:fldChar w:fldCharType="end"/>
      </w:r>
      <w:r>
        <w:rPr>
          <w:rFonts w:ascii="Arial" w:hAnsi="Arial" w:cs="Arial"/>
          <w:sz w:val="24"/>
          <w:szCs w:val="24"/>
          <w:lang w:val="es-ES"/>
        </w:rPr>
        <w:t xml:space="preserve">, aunque el RMSE es muy alto. </w:t>
      </w:r>
      <w:r>
        <w:rPr>
          <w:rFonts w:ascii="Arial" w:hAnsi="Arial" w:cs="Arial"/>
          <w:sz w:val="24"/>
          <w:szCs w:val="24"/>
          <w:lang w:val="es-ES"/>
        </w:rPr>
        <w:fldChar w:fldCharType="begin"/>
      </w:r>
      <w:r w:rsidR="005F4615">
        <w:rPr>
          <w:rFonts w:ascii="Arial" w:hAnsi="Arial" w:cs="Arial"/>
          <w:sz w:val="24"/>
          <w:szCs w:val="24"/>
          <w:lang w:val="es-ES"/>
        </w:rPr>
        <w:instrText xml:space="preserve"> ADDIN ZOTERO_ITEM CSL_CITATION {"citationID":"BSZDOo1p","properties":{"custom":"(Boote {\\i{}et al}., 2012)","formattedCitation":"(Boote {\\i{}et al}., 2012)","plainCitation":"(Boote et al., 2012)","noteIndex":0},"citationItems":[{"id":"CwEAk9Hn/WH6Y4utA","uris":["http://zotero.org/users/12642312/items/IDLXJN5U"],"itemData":{"id":703,"type":"article-journal","abstract":"Parameterizing crop models for more accurate response to climate factors such as temperature is important considering potential temperature increases associated with climate change, particularly for tomato (Lycopersicon esculentum Mill.), which is a heatsensitive crop. The objective of this work was to update the cardinal temperature parameters of the CROPGRO-Tomato model affecting the simulation of crop development, daily dry matter (DM) production, fruit set, and DM partitioning of ﬁeld-grown tomato from transplanting to harvest. The main adaptation relied on new literature values for cardinal temperature parameters that affect tomato crop phenology, fruit set, and fruit growth. The new cardinal temperature values are considered reliable because they come from recent published experiments conducted in controlled-temperature environments. Use of the new cardinal temperatures in the CROPGRO-Tomato model affected the rate of crop development compared with prior default parameters; thus, we found it necessary to recalibrate genetic coefﬁcients that affect life cycle phases and growth simulated by the model. The model was recalibrated and evaluated with 10 growth analyses data sets collected in ﬁeld experiments conducted at three locations in Florida (Bradenton, Quincy, and Gainesville) from 1991 to 2007. Use of modiﬁed parameters sufﬁciently improved model performance to provide accurate prediction of crop and fruit DM accumulation throughout the season. Overall, the average root mean square error (RMSE) over all experiments was reduced 44% for leaf area index, 71% for fruit number, and 36% for both aboveground biomass and fruit dry weight simulations with the modiﬁed parameters compared with the default. The Willmott d index was higher and was always above 0.92. The CROPGRO-Tomato model with these modiﬁed cardinal temperature parameters will predict more accurately tomato growth and yield response to temperature and thus be useful in model applications.","container-title":"HortScience","DOI":"10.21273/HORTSCI.47.8.1038","ISSN":"0018-5345, 2327-9834","issue":"8","journalAbbreviation":"horts","language":"en","page":"1038-1049","source":"DOI.org (Crossref)","title":"Improving the CROPGRO-Tomato Model for Predicting Growth and Yield Response to Temperature","URL":"https://journals.ashs.org/view/journals/hortsci/47/8/article-p1038.xml","volume":"47","author":[{"family":"Boote","given":"Kenneth J."},{"family":"Rybak","given":"Maria R."},{"family":"Scholberg","given":"Johan M.S."},{"family":"Jones","given":"James W."}],"accessed":{"date-parts":[["2025",3,12]]},"issued":{"date-parts":[["2012",8]]}}}],"schema":"https://github.com/citation-style-language/schema/raw/master/csl-citation.json"} </w:instrText>
      </w:r>
      <w:r>
        <w:rPr>
          <w:rFonts w:ascii="Arial" w:hAnsi="Arial" w:cs="Arial"/>
          <w:sz w:val="24"/>
          <w:szCs w:val="24"/>
          <w:lang w:val="es-ES"/>
        </w:rPr>
        <w:fldChar w:fldCharType="separate"/>
      </w:r>
      <w:r>
        <w:rPr>
          <w:rFonts w:ascii="Arial" w:hAnsi="Arial" w:cs="Arial"/>
          <w:sz w:val="24"/>
          <w:szCs w:val="24"/>
          <w:lang w:val="es-ES"/>
        </w:rPr>
        <w:t xml:space="preserve">(Boote </w:t>
      </w:r>
      <w:r>
        <w:rPr>
          <w:rFonts w:ascii="Arial" w:hAnsi="Arial" w:cs="Arial"/>
          <w:i/>
          <w:iCs/>
          <w:sz w:val="24"/>
          <w:szCs w:val="24"/>
          <w:lang w:val="es-ES"/>
        </w:rPr>
        <w:t>et al</w:t>
      </w:r>
      <w:r>
        <w:rPr>
          <w:rFonts w:ascii="Arial" w:hAnsi="Arial" w:cs="Arial"/>
          <w:sz w:val="24"/>
          <w:szCs w:val="24"/>
          <w:lang w:val="es-ES"/>
        </w:rPr>
        <w:t>., 2012)</w:t>
      </w:r>
      <w:r>
        <w:rPr>
          <w:rFonts w:ascii="Arial" w:hAnsi="Arial" w:cs="Arial"/>
          <w:sz w:val="24"/>
          <w:szCs w:val="24"/>
          <w:lang w:val="es-ES"/>
        </w:rPr>
        <w:fldChar w:fldCharType="end"/>
      </w:r>
      <w:r>
        <w:rPr>
          <w:rFonts w:ascii="Arial" w:hAnsi="Arial" w:cs="Arial"/>
          <w:sz w:val="24"/>
          <w:szCs w:val="24"/>
          <w:lang w:val="es-ES"/>
        </w:rPr>
        <w:t xml:space="preserve"> señalaron que con la versión DSSAT por defecto se produce una simulación pobre del número de frutos, siempre sobreestimando esta variable. </w:t>
      </w:r>
    </w:p>
    <w:p w14:paraId="0CCB826B" w14:textId="77777777" w:rsidR="008403BD" w:rsidRDefault="007D49D9">
      <w:pPr>
        <w:spacing w:before="120" w:line="360" w:lineRule="auto"/>
        <w:jc w:val="both"/>
        <w:rPr>
          <w:rFonts w:ascii="Arial" w:hAnsi="Arial" w:cs="Arial"/>
          <w:sz w:val="24"/>
          <w:szCs w:val="24"/>
          <w:lang w:val="es-ES"/>
        </w:rPr>
      </w:pPr>
      <w:r>
        <w:rPr>
          <w:rFonts w:ascii="Arial" w:hAnsi="Arial" w:cs="Arial"/>
          <w:sz w:val="24"/>
          <w:szCs w:val="24"/>
          <w:lang w:val="es-ES"/>
        </w:rPr>
        <w:t xml:space="preserve">Aunque es importante recalcar que la proporción de biomasa distribuida cambia de acuerdo con la etapa fenológica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{"citationID":"7FXn37dG","properties":{"formattedCitation":"(Marcelis &amp; Heuvelink, 1989)","plainCitation":"(Marcelis &amp; Heuvelink, 1989)","noteIndex":0},"citationItems":[{"id":1202,"uris":["http://zotero.org/users/12642312/items/899L8Y72"],"itemData":{"id":1202,"type":"article-journal","container-title":"Acta Horticulturae","DOI":"10.17660/ActaHortic.1989.260.8","ISSN":"0567-7572, 2406-6168","issue":"260","journalAbbreviation":"Acta Hortic.","page":"149-180","source":"DOI.org (Crossref)","title":"DRY MATTER DISTRIBUTION IN TOMATO AND CUCUMBER","URL":"https://www.actahort.org/books/260/260_8.htm","author":[{"family":"Marcelis","given":"L.F.M."},{"family":"Heuvelink","given":"E."}],"accessed":{"date-parts":[["2025",4,1]]},"issued":{"date-parts":[["1989",9]]}}}],"schema":"https://github.com/citation-style-language/schema/raw/master/csl-citation.json"} </w:instrText>
      </w:r>
      <w:r>
        <w:rPr>
          <w:rFonts w:ascii="Arial" w:hAnsi="Arial" w:cs="Arial"/>
          <w:sz w:val="24"/>
          <w:szCs w:val="24"/>
          <w:lang w:val="es-ES"/>
        </w:rPr>
        <w:fldChar w:fldCharType="separate"/>
      </w:r>
      <w:r>
        <w:rPr>
          <w:rFonts w:ascii="Arial" w:hAnsi="Arial" w:cs="Arial"/>
          <w:sz w:val="24"/>
          <w:lang w:val="es-ES"/>
        </w:rPr>
        <w:t>(Marcelis &amp; Heuvelink, 1989)</w:t>
      </w:r>
      <w:r>
        <w:rPr>
          <w:rFonts w:ascii="Arial" w:hAnsi="Arial" w:cs="Arial"/>
          <w:sz w:val="24"/>
          <w:szCs w:val="24"/>
          <w:lang w:val="es-ES"/>
        </w:rPr>
        <w:fldChar w:fldCharType="end"/>
      </w:r>
      <w:r>
        <w:rPr>
          <w:rFonts w:ascii="Arial" w:hAnsi="Arial" w:cs="Arial"/>
          <w:sz w:val="24"/>
          <w:szCs w:val="24"/>
          <w:lang w:val="es-ES"/>
        </w:rPr>
        <w:t xml:space="preserve">, lo cual se entiende ya que la aparición de frutos comienza aproximadamente a la cuarta semana después del trasplante. </w:t>
      </w:r>
    </w:p>
    <w:p w14:paraId="7656ED5A" w14:textId="77777777" w:rsidR="008403BD" w:rsidRDefault="007D49D9">
      <w:pPr>
        <w:spacing w:before="120" w:line="360" w:lineRule="auto"/>
        <w:jc w:val="both"/>
        <w:rPr>
          <w:rFonts w:ascii="Arial" w:hAnsi="Arial" w:cs="Arial"/>
          <w:sz w:val="24"/>
          <w:szCs w:val="24"/>
          <w:lang w:val="es-ES"/>
        </w:rPr>
      </w:pPr>
      <w:r>
        <w:rPr>
          <w:rFonts w:ascii="Arial" w:hAnsi="Arial" w:cs="Arial"/>
          <w:sz w:val="24"/>
          <w:szCs w:val="24"/>
          <w:lang w:val="es-ES"/>
        </w:rPr>
        <w:t xml:space="preserve">Esta distribución se puede mantener siempre y cuando se mantenga en crecimiento la planta, ya que al momento en que se detiene el crecimiento cambia el comportamiento y por consecuencia la distribución de biomasa. En este sentido, el número de frutos, como componente del rendimiento, presenta una alta correlación con este </w:t>
      </w:r>
      <w:r>
        <w:rPr>
          <w:rFonts w:ascii="Arial" w:hAnsi="Arial" w:cs="Arial"/>
          <w:sz w:val="24"/>
          <w:szCs w:val="24"/>
          <w:lang w:val="es-ES"/>
        </w:rPr>
        <w:fldChar w:fldCharType="begin"/>
      </w:r>
      <w:r w:rsidR="00A71029">
        <w:rPr>
          <w:rFonts w:ascii="Arial" w:hAnsi="Arial" w:cs="Arial"/>
          <w:sz w:val="24"/>
          <w:szCs w:val="24"/>
          <w:lang w:val="es-ES"/>
        </w:rPr>
        <w:instrText xml:space="preserve"> ADDIN ZOTERO_ITEM CSL_CITATION {"citationID":"ebMYWNUI","properties":{"formattedCitation":"(Lescay &amp; Molinet, 2022)","plainCitation":"(Lescay &amp; Molinet, 2022)","noteIndex":0},"citationItems":[{"id":1204,"uris":["http://zotero.org/users/12642312/items/Y9QVU58K"],"itemData":{"id":1204,"type":"article-journal","container-title":"Cultivos Tropicales","issue":"2","page":"e08–e08","source":"Google Scholar","title":"Indicadores agronómicos y parámetros genéticos en seis cultivares de tomate (Solanum lycopersicum L.)","URL":"https://ediciones.inca.edu.cu/index.php/ediciones/article/view/1659","volume":"43","author":[{"family":"Lescay","given":"Elio"},{"family":"Molinet","given":"Dariel"}],"accessed":{"date-parts":[["2025",4,1]]},"issued":{"date-parts":[["2022"]]}}}],"schema":"https://github.com/citation-style-language/schema/raw/master/csl-citation.json"} </w:instrText>
      </w:r>
      <w:r>
        <w:rPr>
          <w:rFonts w:ascii="Arial" w:hAnsi="Arial" w:cs="Arial"/>
          <w:sz w:val="24"/>
          <w:szCs w:val="24"/>
          <w:lang w:val="es-ES"/>
        </w:rPr>
        <w:fldChar w:fldCharType="separate"/>
      </w:r>
      <w:r w:rsidR="00A71029" w:rsidRPr="00A71029">
        <w:rPr>
          <w:rFonts w:ascii="Arial" w:hAnsi="Arial" w:cs="Arial"/>
          <w:sz w:val="24"/>
          <w:lang w:val="es-ES"/>
        </w:rPr>
        <w:t>(Lescay &amp; Molinet, 2022)</w:t>
      </w:r>
      <w:r>
        <w:rPr>
          <w:rFonts w:ascii="Arial" w:hAnsi="Arial" w:cs="Arial"/>
          <w:sz w:val="24"/>
          <w:szCs w:val="24"/>
          <w:lang w:val="es-ES"/>
        </w:rPr>
        <w:fldChar w:fldCharType="end"/>
      </w:r>
      <w:r>
        <w:rPr>
          <w:rFonts w:ascii="Arial" w:hAnsi="Arial" w:cs="Arial"/>
          <w:sz w:val="24"/>
          <w:szCs w:val="24"/>
          <w:lang w:val="es-ES"/>
        </w:rPr>
        <w:t>.</w:t>
      </w:r>
    </w:p>
    <w:p w14:paraId="7FDC9585" w14:textId="77777777" w:rsidR="008403BD" w:rsidRDefault="007D49D9">
      <w:pPr>
        <w:keepNext/>
      </w:pPr>
      <w:r>
        <w:rPr>
          <w:noProof/>
          <w:lang w:val="es-US"/>
        </w:rPr>
        <w:lastRenderedPageBreak/>
        <w:t xml:space="preserve"> </w:t>
      </w:r>
      <w:r>
        <w:rPr>
          <w:noProof/>
        </w:rPr>
        <w:drawing>
          <wp:inline distT="0" distB="0" distL="0" distR="0" wp14:anchorId="180A7A7F" wp14:editId="650A0F42">
            <wp:extent cx="5517433" cy="3643952"/>
            <wp:effectExtent l="0" t="0" r="7620" b="0"/>
            <wp:docPr id="1041"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n 7"/>
                    <pic:cNvPicPr/>
                  </pic:nvPicPr>
                  <pic:blipFill>
                    <a:blip r:embed="rId20" cstate="print"/>
                    <a:srcRect/>
                    <a:stretch/>
                  </pic:blipFill>
                  <pic:spPr>
                    <a:xfrm>
                      <a:off x="0" y="0"/>
                      <a:ext cx="5517433" cy="3643952"/>
                    </a:xfrm>
                    <a:prstGeom prst="rect">
                      <a:avLst/>
                    </a:prstGeom>
                  </pic:spPr>
                </pic:pic>
              </a:graphicData>
            </a:graphic>
          </wp:inline>
        </w:drawing>
      </w:r>
    </w:p>
    <w:p w14:paraId="4C610B06" w14:textId="23453BFD" w:rsidR="008403BD" w:rsidRDefault="007D49D9">
      <w:pPr>
        <w:pStyle w:val="Descripcin"/>
        <w:rPr>
          <w:rFonts w:ascii="Arial" w:hAnsi="Arial" w:cs="Arial"/>
          <w:b/>
          <w:color w:val="000000"/>
          <w:lang w:val="es-ES"/>
        </w:rPr>
      </w:pPr>
      <w:r>
        <w:rPr>
          <w:rFonts w:ascii="Arial" w:hAnsi="Arial" w:cs="Arial"/>
          <w:b/>
          <w:color w:val="000000"/>
          <w:lang w:val="es-US"/>
        </w:rPr>
        <w:t xml:space="preserve">Figura </w:t>
      </w:r>
      <w:r>
        <w:rPr>
          <w:rFonts w:ascii="Arial" w:hAnsi="Arial" w:cs="Arial"/>
          <w:b/>
          <w:color w:val="000000"/>
        </w:rPr>
        <w:fldChar w:fldCharType="begin"/>
      </w:r>
      <w:r>
        <w:rPr>
          <w:rFonts w:ascii="Arial" w:hAnsi="Arial" w:cs="Arial"/>
          <w:b/>
          <w:color w:val="000000"/>
          <w:lang w:val="es-US"/>
        </w:rPr>
        <w:instrText xml:space="preserve"> SEQ Figura \* ARABIC </w:instrText>
      </w:r>
      <w:r>
        <w:rPr>
          <w:rFonts w:ascii="Arial" w:hAnsi="Arial" w:cs="Arial"/>
          <w:b/>
          <w:color w:val="000000"/>
        </w:rPr>
        <w:fldChar w:fldCharType="separate"/>
      </w:r>
      <w:r w:rsidR="00073C4F">
        <w:rPr>
          <w:rFonts w:ascii="Arial" w:hAnsi="Arial" w:cs="Arial"/>
          <w:b/>
          <w:noProof/>
          <w:color w:val="000000"/>
          <w:lang w:val="es-US"/>
        </w:rPr>
        <w:t>9</w:t>
      </w:r>
      <w:r>
        <w:rPr>
          <w:rFonts w:ascii="Arial" w:hAnsi="Arial" w:cs="Arial"/>
          <w:b/>
          <w:color w:val="000000"/>
        </w:rPr>
        <w:fldChar w:fldCharType="end"/>
      </w:r>
      <w:r w:rsidR="004106E1">
        <w:rPr>
          <w:rFonts w:ascii="Arial" w:hAnsi="Arial" w:cs="Arial"/>
          <w:b/>
          <w:color w:val="000000"/>
          <w:lang w:val="es-US"/>
        </w:rPr>
        <w:t>.</w:t>
      </w:r>
      <w:r>
        <w:rPr>
          <w:rFonts w:ascii="Arial" w:hAnsi="Arial" w:cs="Arial"/>
          <w:b/>
          <w:color w:val="000000"/>
          <w:lang w:val="es-US"/>
        </w:rPr>
        <w:t xml:space="preserve"> </w:t>
      </w:r>
      <w:r w:rsidRPr="004106E1">
        <w:rPr>
          <w:rFonts w:ascii="Arial" w:hAnsi="Arial" w:cs="Arial"/>
          <w:color w:val="000000"/>
          <w:lang w:val="es-US"/>
        </w:rPr>
        <w:t xml:space="preserve">Datos simulados y observados del número de frutos por metros cuadrados del cultivar Elbita </w:t>
      </w:r>
      <w:r w:rsidR="004106E1" w:rsidRPr="004106E1">
        <w:rPr>
          <w:rFonts w:ascii="Arial" w:hAnsi="Arial" w:cs="Arial"/>
          <w:color w:val="000000"/>
          <w:lang w:val="es-US"/>
        </w:rPr>
        <w:t>en el periodo óptimo de siembra</w:t>
      </w:r>
    </w:p>
    <w:p w14:paraId="41F0BAD3" w14:textId="258D6596" w:rsidR="008403BD" w:rsidRDefault="007D49D9">
      <w:pPr>
        <w:spacing w:before="120" w:after="120" w:line="360" w:lineRule="auto"/>
        <w:jc w:val="both"/>
        <w:rPr>
          <w:rFonts w:ascii="Arial" w:hAnsi="Arial" w:cs="Arial"/>
          <w:sz w:val="24"/>
          <w:szCs w:val="24"/>
          <w:lang w:val="es-ES"/>
        </w:rPr>
      </w:pPr>
      <w:r>
        <w:rPr>
          <w:rFonts w:ascii="Arial" w:hAnsi="Arial" w:cs="Arial"/>
          <w:sz w:val="24"/>
          <w:szCs w:val="24"/>
          <w:lang w:val="es-ES"/>
        </w:rPr>
        <w:t>La comparación gráfica entre los valores observados y simulados para el rendimiento del fruto sobre la base de masa seca del fruto se observa en la figura 10. Como se aprecia, existe una buena calibración del modelo ya que el coeficiente de concordancia es alto (0,92) y el RMSE se encuentra en un rango entre el 3-8% del rendimiento del cultivo. Un ajuste óptimo para este indicador por el modelo CROPGRO-</w:t>
      </w:r>
      <w:r w:rsidR="005004E3">
        <w:rPr>
          <w:rFonts w:ascii="Arial" w:hAnsi="Arial" w:cs="Arial"/>
          <w:sz w:val="24"/>
          <w:szCs w:val="24"/>
          <w:lang w:val="es-ES"/>
        </w:rPr>
        <w:t xml:space="preserve">Tomato </w:t>
      </w:r>
      <w:r>
        <w:rPr>
          <w:rFonts w:ascii="Arial" w:hAnsi="Arial" w:cs="Arial"/>
          <w:sz w:val="24"/>
          <w:szCs w:val="24"/>
          <w:lang w:val="es-ES"/>
        </w:rPr>
        <w:t xml:space="preserve">ha sido ampliamente informado en la literatura </w:t>
      </w:r>
      <w:r>
        <w:rPr>
          <w:rFonts w:ascii="Arial" w:hAnsi="Arial" w:cs="Arial"/>
          <w:sz w:val="24"/>
          <w:szCs w:val="24"/>
          <w:lang w:val="es-ES"/>
        </w:rPr>
        <w:fldChar w:fldCharType="begin"/>
      </w:r>
      <w:r w:rsidR="000C5664">
        <w:rPr>
          <w:rFonts w:ascii="Arial" w:hAnsi="Arial" w:cs="Arial"/>
          <w:sz w:val="24"/>
          <w:szCs w:val="24"/>
          <w:lang w:val="es-ES"/>
        </w:rPr>
        <w:instrText xml:space="preserve"> ADDIN ZOTERO_ITEM CSL_CITATION {"citationID":"aGQdjdH4","properties":{"custom":"(Boote {\\i{}et al}., 2012; Elsayed {\\i{}et al}., 2017; Gerlin {\\i{}et al}., 2021; Chen {\\i{}et al}., 2025; Phuoc {\\i{}et al}., 2023; Timlin {\\i{}et al}., 2023; Van {\\i{}et al}., 2023; Zhou {\\i{}et al}., 2023)","unsorted":true,"formattedCitation":"(Boote {\\i{}et al}., 2012; Elsayed {\\i{}et al}., 2017; Gerlin {\\i{}et al}., 2021; Chen {\\i{}et al}., 2025; Phuoc {\\i{}et al}., 2023; Timlin {\\i{}et al}., 2023; Van {\\i{}et al}., 2023; Zhou {\\i{}et al}., 2023)","plainCitation":"(Boote et al., 2012; Elsayed et al., 2017; Gerlin et al., 2021; Chen et al., 2025; Phuoc et al., 2023; Timlin et al., 2023; Van et al., 2023; Zhou et al., 2023)","noteIndex":0},"citationItems":[{"id":1167,"uris":["http://zotero.org/users/12642312/items/74QF55NK"],"itemData":{"id":1167,"type":"article-journal","abstract":"Parameterizing crop models for more accurate response to climate factors such as temperature is important considering potential temperature increases associated with climate change, particularly for tomato (Lycopersicon esculentum Mill.), which is a heatsensitive crop. The objective of this work was to update the cardinal temperature parameters of the CROPGRO-Tomato model affecting the simulation of crop development, daily dry matter (DM) production, fruit set, and DM partitioning of ﬁeld-grown tomato from transplanting to harvest. The main adaptation relied on new literature values for cardinal temperature parameters that affect tomato crop phenology, fruit set, and fruit growth. The new cardinal temperature values are considered reliable because they come from recent published experiments conducted in controlled-temperature environments. Use of the new cardinal temperatures in the CROPGRO-Tomato model affected the rate of crop development compared with prior default parameters; thus, we found it necessary to recalibrate genetic coefﬁcients that affect life cycle phases and growth simulated by the model. The model was recalibrated and evaluated with 10 growth analyses data sets collected in ﬁeld experiments conducted at three locations in Florida (Bradenton, Quincy, and Gainesville) from 1991 to 2007. Use of modiﬁed parameters sufﬁciently improved model performance to provide accurate prediction of crop and fruit DM accumulation throughout the season. Overall, the average root mean square error (RMSE) over all experiments was reduced 44% for leaf area index, 71% for fruit number, and 36% for both aboveground biomass and fruit dry weight simulations with the modiﬁed parameters compared with the default. The Willmott d index was higher and was always above 0.92. The CROPGRO-Tomato model with these modiﬁed cardinal temperature parameters will predict more accurately tomato growth and yield response to temperature and thus be useful in model applications.","container-title":"HortScience","DOI":"10.21273/HORTSCI.47.8.1038","ISSN":"0018-5345, 2327-9834","issue":"8","journalAbbreviation":"horts","language":"en","page":"1038-1049","source":"DOI.org (Crossref)","title":"Improving the CROPGRO-Tomato Model for Predicting Growth and Yield Response to Temperature","URL":"https://journals.ashs.org/view/journals/hortsci/47/8/article-p1038.xml","volume":"47","author":[{"family":"Boote","given":"Kenneth J."},{"family":"Rybak","given":"Maria R."},{"family":"Scholberg","given":"Johan M.S."},{"family":"Jones","given":"James W."}],"accessed":{"date-parts":[["2025",4,1]]},"issued":{"date-parts":[["2012",8]]}},"label":"page"},{"id":1078,"uris":["http://zotero.org/users/12642312/items/NNRGMP3V"],"itemData":{"id":1078,"type":"article-journal","abstract":"I talian processed tomato has a major dominance at the global level but few studies have been conducted using a cropping systems analysis approach for this crop.The objective of this research was to evaluate the Cropping System Model (CSM)-CROPGRO-Tomato of the DSSAT (Decision Support System for Agrotechnology Transfer) software with experimental data obtained from field studies conducted in Legnaro, northeastern Italy in 2009 and 2010. The experiment encompassed four transplanting dates with ten-day intervals from 22nd March (TD1, 2, 3, and 4), and two processing tomato varieties (Augusto F1 (De Ruiter), and NPT 63 (S &amp; G)) comparing mulched and non-mulched plots. A comparison of yield for the different transplanting dates showed that earlier transplanting increased yield for both varieties, there was a variation in yield between varieties in both years. Calibration of CSM-CROPGRO-Tomato model using non-mulched data of 2009 showed that index of agreement (d-Stat) between observations and model simulation for different parameters (total dry matter, fruits fresh and dry weight, vegetative dry matter, number of fruits, harvest index and leaf area index) using both varieties ranged from 0.562 to 0.964 at TD1, from 0.915 to 0.992 at TD2, from 0.566 to 0.990 at TD3, and from 0.733 to 0.998 at TD4. Values of d-Stat for model calibration were lower for leaf area index, which ranged from 0.511 to 0.924. Model calibration using TD1 gave acceptable simulation, whereas it was quite high with the other transplanting dates. CSM-CROPGRO-Tomato model could be used as a decision-making tool helping in regional short term plans.","container-title":"Egyptian Journal of Soil Science","DOI":"10.21608/ejss.2017.504.1067","ISSN":"0302-6701","issue":"4","note":"publisher: The National Information and Documentation Centre (NIDOC) affiliated to Academy of Scientific Research and Technology(ASRT)","page":"429-442","source":"journals.ekb.eg","title":"Assessment of transplanting date influence on processing tomato (Lycopersicon esculentum Mill.) production using the Cropping System Model (CSM)-CROPGRO-Tomato simulation model A case study for northeastern Italy","URL":"https://ejss.journals.ekb.eg/article_3678.html","volume":"57","author":[{"family":"Elsayed","given":"Maha"},{"family":"Medany","given":"Mahmoud"},{"family":"Hoogenboom","given":"Gerrit"},{"family":"Rinaldi","given":"Michele"},{"family":"Bona","given":"Stefano"},{"family":"Sambo","given":"Paolo"}],"accessed":{"date-parts":[["2025",4,1]]},"issued":{"date-parts":[["2017",12,1]]}},"label":"page"},{"id":1016,"uris":["http://zotero.org/users/12642312/items/Y93MQVU2"],"itemData":{"id":1016,"type":"article","abstract":"Resumen\nPredecir y entender las respuestas de las plantas a las perturbaciones requiere integrar las interacciones entre fuentes nutricionales, genes, metabolismo celular y fisiología en el mismo modelo. Esto se puede lograr utilizando modelado metabólico calibrado por datos experimentales. En este estudio, desarrollamos un modelo metabólico multiorgánico de una planta de tomate durante el crecimiento vegetativo, llamado VYTOP (Virtual Young TOmato Plant) que combina modelos metabólicos a escala de genoma de hoja, tallo y raíz e integra datos experimentales adquiridos a partir de metabolómica y fenotipado de alto rendimiento de las plantas de tomate. Se compone de 6689 reacciones y 6326 metabolitos. Validamos las predicciones de VYTOP en cinco casos de uso independiente. El modelo predijo correctamente que la glutamina es el principal nutriente orgánico de la savia de xilome. El modelo estimó cuantitativamente cómo la contribución fotosintética del tallo impacta los intercambios entre los diferentes órganos. El modelo también fue capaz de predecir cómo la limitación de nitrógeno afecta el crecimiento vegetal vegetativo, y predecir el comportamiento metabólico de las líneas de tomate transgénico con expresiones alteradas de enzimas metabólicas de núcleo. La integración de diferentes componentes como un modelo metabólico, restricciones fisiológicas y datos experimentales genera una poderosa herramienta predictiva para estudiar el comportamiento de las plantas, que será útil para varias otras aplicaciones como ingeniería metabólica vegetal o nutrición vegetal.\nUn sumario de frase Un modelo metabólico multiorgánico de tomate da información biológica sobre el funcionamiento de una planta como la composición de xylem, el papel del tallo y la respuesta a la perturbación ambiental o genética.","DOI":"10.1101/2021.09.30.462630","language":"en","license":"© 2021, Posted by Cold Spring Harbor Laboratory. This pre-print is available under a Creative Commons License (Attribution-NonCommercial-NoDerivs 4.0 International), CC BY-NC-ND 4.0, as described at http://creativecommons.org/licenses/by-nc-nd/4.0/","note":"page: 2021.09.30.462630\nsection: New Results","publisher":"bioRxiv","source":"bioRxiv","title":"A multi-organ metabolic model of tomato predicts plant responses to nutritional and genetic perturbations","URL":"https://www.biorxiv.org/content/10.1101/2021.09.30.462630v1","author":[{"family":"Gerlin","given":"Léo"},{"family":"Cottret","given":"Ludovic"},{"family":"Escourrou","given":"Antoine"},{"family":"Genin","given":"Stéphane"},{"family":"Baroukh","given":"Caroline"}],"accessed":{"date-parts":[["2025",3,27]]},"issued":{"date-parts":[["2021",10,3]]}},"label":"page"},{"id":1163,"uris":["http://zotero.org/users/12642312/items/AQACI5A9"],"itemData":{"id":1163,"type":"article-journal","abstract":"In order to explore the applicability of the peanut growth simulation model CSM-CROPGRO-Peanut under conditions of mulched drip irrigation in Xinjiang, and to determine the optimal scenario for parameter estimation and model validation, field experiments were conducted in 2022 and 2023 on the water and nitrogen regulation of peanut. Based on the water requirements during the stages of peanut growth, three irrigation levels (low, medium, and high) and two nitrogen application levels (100% N and 50% N) were set, resulting in six treatments. An additional control treatment (CK) with a medium irrigation level and no nitrogen application was also included. In this study, four different parameter estimation and validation protocols were designed, and different parameter estimation results were obtained using the DSSAT-GLUE parameter estimation module. The results showed that the FL-SH (time between first flower and first pod), FL-SD (time between first flower and first seed), SIZLF (time between first flower and first seed), XFRT (maximum size of full leaf), and WTPSD (maximum weight per seed) parameters exhibited strong variability, with coefficients of variation of 24.33%, 22.9%, 19.78%, 14.47%, and 23.82%, respectively, and were significantly affected by environment–management interactions. Other parameters showed weaker variability, with coefficients of variation that were all less than 10%. The model outputs varied significantly among different parameter estimation protocols. Scenario 3, which used data from the adequate irrigation and adequate fertilization treatment (W3N2) environment across both years for parameter estimation and data from other treatments for validation, showed the highest model calibration and validation accuracy. The average absolute relative error (ARE) and normalized root mean square error (nRMSE) for model calibration and validation were the lowest at 9.1% and 10.1%, respectively. The CSM-CROPGRO-Peanut model effectively simulated peanut growth and development as well as soil moisture dynamics under mulched drip irrigation conditions in Xinjiang, with the highest simulation accuracy observed under full irrigation conditions. The findings provide a basis for using the CSMCROPGRO-Peanut model to develop suitable irrigation and nitrogen application regimes for peanuts under mulched drip irrigation in Xinjiang.","container-title":"Plants","DOI":"10.3390/plants14040614","ISSN":"2223-7747","issue":"4","journalAbbreviation":"Plants","language":"en","license":"https://creativecommons.org/licenses/by/4.0/","page":"614","source":"DOI.org (Crossref)","title":"Calibration and Validation of the CSM-CROPGRO-Peanut Model Under Mulched Drip Irrigation Conditions in Xinjiang","URL":"https://www.mdpi.com/2223-7747/14/4/614","volume":"14","author":[{"family":"Chen","given":"Junwei"},{"family":"Li","given":"Qiang"},{"family":"Zhang","given":"Xiaopei"},{"family":"Dong","given":"Jianshu"},{"family":"Hou","given":"Xianfei"},{"family":"Miao","given":"Haocui"},{"family":"Li","given":"Haiming"},{"family":"Zhang","given":"Yuchao"},{"family":"Shen","given":"Xiaojun"},{"family":"Si","given":"Zhuanyun"},{"family":"Shan","given":"Zhijie"}],"accessed":{"date-parts":[["2025",4,1]]},"issued":{"date-parts":[["2025",2,18]]}},"label":"page"},{"id":631,"uris":["http://zotero.org/users/12642312/items/I77XCMEQ"],"itemData":{"id":631,"type":"article-journal","abstract":"Modeling science has been applied by many advanced countries in many fields, such as geology, meteorology, climate change, crop productivity, environment, erosion, and landslide. The crop model simulates the processes of agriculture. The writing of this article is descriptive qualitative using the Systematic Literature Review (SLR) method. So far, each model has its advantages and disadvantages but generally is based on the physiology of the growth and development of crops in relationship with soil, climate, solar radiation energy, and limiting factors to plant growth. There have been many models for rice that can forecast yield and biomass or predict future climate change dynamics. Meanwhile, many models such as DSSAT, AquaCrop, Oryza, APSIM, EPIC need more data to operate their modeling, which in many cases, data is not readily available. In this review, we would like to introduce the model “SIMPLE” which includes only thirteen parameters and four of which describe cultivar characteristics. Another advantage of “SIMPLE” is that it can be adapted for many crop species and added variable modules such as nutrient dynamics, water stress, temperature stress, or pests. It is entirely open source based on R programming, but limitations still exist that have been mentioned in the review.","container-title":"Journal of Applied Agricultural Science and Technology","DOI":"10.55043/jaast.v7i3.123","ISSN":"2621-2528, 2621-4709","issue":"3","journalAbbreviation":"J. appl. agricultural sci. technol.","language":"en","license":"https://creativecommons.org/licenses/by-sa/4.0","page":"197-216","source":"DOI.org (Crossref)","title":"Literature Review Crop Modeling and Introduction a Simple Crop Model","URL":"https://www.jaast.org/index.php/jaast/article/view/123","volume":"7","author":[{"family":"Phuoc","given":"Le Huu"},{"family":"Suliansyah","given":"Irfan"},{"family":"Arlius","given":"Feri"},{"family":"Chaniago","given":"Irawati"},{"family":"Xuan","given":"Nguyen Thi Thanh"},{"family":"Quang","given":"Pham Van"}],"accessed":{"date-parts":[["2025",3,12]]},"issued":{"date-parts":[["2023",8,25]]}},"label":"page"},{"id":1226,"uris":["http://zotero.org/users/12642312/items/WKCPTVUG"],"itemData":{"id":1226,"type":"article-journal","abstract":"Crop models are valuable tools for examining the interactions of cultivar characteristics, environment, and management practices, and how they affect crop growth and development. The difficulty in finding all the data needed to set up a simulation can often deter potential users from utilizing a crop model. Model interfaces are necessary to make these complex tools accessible to end-users who may lack the expertise needed to work with the models directly, but who would benefit from the information generated by the models. As crop models vary in terms of input and output structures, there is no one universally compatible interface, so different crop model suites require their own interface. CLASSIM is a graphical user interface (GUI) for a suite of models developed by USDA-ARS. The interface provides a simplified tool to assemble input data for a model simulation. Web access to online databases for soil and weather data simplifies finding site-related data. The user is guided step by step to build the necessary input files. A database structure facilitates data entry, storage, and retrieval. The use of Structured Query Language (SQL) for data retrieval allows for advanced analysis and visualization outside of the interface. We describe the features of the GUI and provide examples of various operations. Model outputs are provided in tables and graphs to allow for visualization and analysis. Two-dimensional contour plots of soil processes are provided to visualize output from the two-dimensional finite element soil model. CLASSIM also allows users to set up single- and multiple-season runs for maize, cotton, soybean, potato, and fallow treatments, and is expected to be expanded to more crops in the future. A user-friendly GUI is essential for making simulation tools accessible to the broad range of researchers and practitioners working to solve the agricultural system challenges.","container-title":"Smart Agricultural Technology","DOI":"10.1016/j.atech.2023.100281","ISSN":"2772-3755","journalAbbreviation":"Smart Agricultural Technology","page":"100281","source":"ScienceDirect","title":"CLASSIM: A relational database driven crop model interface","title-short":"CLASSIM","URL":"https://www.sciencedirect.com/science/article/pii/S2772375523001107","volume":"5","author":[{"family":"Timlin","given":"Dennis"},{"family":"Fleisher","given":"David"},{"family":"Tokay","given":"Maura"},{"family":"Paff","given":"Kirsten"},{"family":"Sun","given":"Wenguang"},{"family":"Beegum","given":"Sahila"},{"family":"Li","given":"Sanai"},{"family":"Wang","given":"Zhuangji"},{"family":"Reddy","given":"Vangimalla"}],"accessed":{"date-parts":[["2025",4,2]]},"issued":{"date-parts":[["2023",10,1]]}},"label":"page"},{"id":1019,"uris":["http://zotero.org/users/12642312/items/EGNKSJ4H"],"itemData":{"id":1019,"type":"article-journal","container-title":"Frontiers in Plant Science","note":"publisher: Frontiers Media SA","page":"1172359","source":"Google Scholar","title":"A conceptual framework for the dynamic modeling of time-resolved phenotypes for sets of genotype-environment-management combinations: a model library","title-short":"A conceptual framework for the dynamic modeling of time-resolved phenotypes for sets of genotype-environment-management combinations","URL":"https://www.frontiersin.org/articles/10.3389/fpls.2023.1172359/full","volume":"14","author":[{"family":"Van","given":"George AK"},{"family":"Boer","given":"Martin P."},{"family":"Truong","given":"Sandra Huynh"},{"family":"Friedenberg","given":"Nicholas A."},{"family":"Gugushvili","given":"Shota"},{"family":"McCormick","given":"Ryan"},{"family":"Bustos Korts","given":"Daniela"},{"family":"Messina","given":"Carlos D."},{"family":"Van Eeuwijk","given":"Fred A."}],"accessed":{"date-parts":[["2025",3,27]]},"issued":{"date-parts":[["2023"]]}},"label":"page"},{"id":1129,"uris":["http://zotero.org/users/12642312/items/JGAVRHJ2"],"itemData":{"id":1129,"type":"article","abstract":"Chain-of-thought prompting has demonstrated remarkable performance on various natural language reasoning tasks. However, it tends to perform poorly on tasks which requires solving problems harder than the exemplars shown in the prompts. To overcome this challenge of easy-to-hard generalization, we propose a novel prompting strategy, least-to-most prompting. The key idea in this strategy is to break down a complex problem into a series of simpler subproblems and then solve them in sequence. Solving each subproblem is facilitated by the answers to previously solved subproblems. Our experimental results on tasks related to symbolic manipulation, compositional generalization, and math reasoning reveal that least-to-most prompting is capable of generalizing to more difficult problems than those seen in the prompts. A notable finding is that when the GPT-3 code-davinci-002 model is used with least-to-most prompting, it can solve the compositional generalization benchmark SCAN in any split (including length split) with an accuracy of at least 99% using just 14 exemplars, compared to only 16% accuracy with chain-of-thought prompting. This is particularly noteworthy because neural-symbolic models in the literature that specialize in solving SCAN are trained on the entire training set containing over 15,000 examples. We have included prompts for all the tasks in the Appendix.","DOI":"10.48550/arXiv.2205.10625","note":"arXiv:2205.10625 [cs]","number":"arXiv:2205.10625","publisher":"arXiv","source":"arXiv.org","title":"Least-to-Most Prompting Enables Complex Reasoning in Large Language Models","URL":"http://arxiv.org/abs/2205.10625","author":[{"family":"Zhou","given":"Denny"},{"family":"Schärli","given":"Nathanael"},{"family":"Hou","given":"Le"},{"family":"Wei","given":"Jason"},{"family":"Scales","given":"Nathan"},{"family":"Wang","given":"Xuezhi"},{"family":"Schuurmans","given":"Dale"},{"family":"Cui","given":"Claire"},{"family":"Bousquet","given":"Olivier"},{"family":"Le","given":"Quoc"},{"family":"Chi","given":"Ed"}],"accessed":{"date-parts":[["2025",4,1]]},"issued":{"date-parts":[["2023",4,16]]}},"label":"page"}],"schema":"https://github.com/citation-style-language/schema/raw/master/csl-citation.json"} </w:instrText>
      </w:r>
      <w:r>
        <w:rPr>
          <w:rFonts w:ascii="Arial" w:hAnsi="Arial" w:cs="Arial"/>
          <w:sz w:val="24"/>
          <w:szCs w:val="24"/>
          <w:lang w:val="es-ES"/>
        </w:rPr>
        <w:fldChar w:fldCharType="separate"/>
      </w:r>
      <w:r w:rsidR="000C5664" w:rsidRPr="000C5664">
        <w:rPr>
          <w:rFonts w:ascii="Arial" w:hAnsi="Arial" w:cs="Arial"/>
          <w:sz w:val="24"/>
          <w:szCs w:val="24"/>
          <w:lang w:val="es-ES"/>
        </w:rPr>
        <w:t xml:space="preserve">(Boote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xml:space="preserve">., 2012; Elsayed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xml:space="preserve">., 2017; Gerlin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xml:space="preserve">., 2021; Chen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xml:space="preserve">., 2025; Phuoc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xml:space="preserve">., 2023; Timlin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xml:space="preserve">., 2023; Van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xml:space="preserve">., 2023; Zhou </w:t>
      </w:r>
      <w:r w:rsidR="000C5664" w:rsidRPr="000C5664">
        <w:rPr>
          <w:rFonts w:ascii="Arial" w:hAnsi="Arial" w:cs="Arial"/>
          <w:i/>
          <w:iCs/>
          <w:sz w:val="24"/>
          <w:szCs w:val="24"/>
          <w:lang w:val="es-ES"/>
        </w:rPr>
        <w:t>et al</w:t>
      </w:r>
      <w:r w:rsidR="000C5664" w:rsidRPr="000C5664">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w:t>
      </w:r>
    </w:p>
    <w:p w14:paraId="4B3BFBBB" w14:textId="22B2E6F0"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 xml:space="preserve">Un buen ajuste en la simulación del rendimiento del cultivo de tomate es de gran importancia, ya que ayudará al productor a determinar el aprovechamiento del área cultivada, a la vez que predice los resultados en la producción </w:t>
      </w:r>
      <w:r>
        <w:rPr>
          <w:rFonts w:ascii="Arial" w:hAnsi="Arial" w:cs="Arial"/>
          <w:sz w:val="24"/>
          <w:szCs w:val="24"/>
          <w:lang w:val="es-ES"/>
        </w:rPr>
        <w:fldChar w:fldCharType="begin"/>
      </w:r>
      <w:r w:rsidR="00415AA0">
        <w:rPr>
          <w:rFonts w:ascii="Arial" w:hAnsi="Arial" w:cs="Arial"/>
          <w:sz w:val="24"/>
          <w:szCs w:val="24"/>
          <w:lang w:val="es-ES"/>
        </w:rPr>
        <w:instrText xml:space="preserve"> ADDIN ZOTERO_ITEM CSL_CITATION {"citationID":"ZRCa3eNc","properties":{"custom":"(Heuvelink {\\i{}et al}., 2005; Ventrella, {\\i{}et al}., 2012; Boote {\\i{}et al}., 2021)","unsorted":true,"formattedCitation":"(Heuvelink {\\i{}et al}., 2005; Ventrella, {\\i{}et al}., 2012; Boote {\\i{}et al}., 2021)","plainCitation":"(Heuvelink et al., 2005; Ventrella, et al., 2012; Boote et al., 2021)","noteIndex":0},"citationItems":[{"id":1115,"uris":["http://zotero.org/users/12642312/items/IXR9PWCC"],"itemData":{"id":1115,"type":"article-journal","container-title":"Acta Horticulturae","DOI":"10.17660/ActaHortic.2005.691.2","ISSN":"0567-7572, 2406-6168","issue":"691","journalAbbreviation":"Acta Hortic.","page":"43-50","source":"DOI.org (Crossref)","title":"EFFECT OF LEAF AREA ON TOMATO YIELD","URL":"https://www.actahort.org/books/691/691_2.htm","author":[{"family":"Heuvelink","given":"E."},{"family":"Bakker","given":"M.J."},{"family":"Elings","given":"A."},{"family":"Kaarsemaker","given":"R.C."},{"family":"Marcelis","given":"L.F.M."}],"accessed":{"date-parts":[["2025",4,1]]},"issued":{"date-parts":[["2005",10]]}},"label":"page"},{"id":640,"uris":["http://zotero.org/users/12642312/items/VLD4ER7M"],"itemData":{"id":640,"type":"article-journal","abstract":"Many climate change studies have been carried out in different parts of the world to assess climate change vulnerability and adaptation capacity of agricultural crops for certain environments characterized from climatic, pedological and agronomical point of view.","container-title":"Italian Journal of Agronomy","DOI":"10.4081/ija.2012.e16","ISSN":"11254718","issue":"1","journalAbbreviation":"Italian Journal of Agronomy","language":"en","page":"e16","source":"DOI.org (Crossref)","title":"Application of DSSAT Models for an Agronomic Adaptation Strategy Under Climate Change in Southern Italy: Optimum Sowing and Transplanting Time for Winter Durum Wheat and Tomato","title-short":"Application of DSSAT Models for an Agronomic Adaptation Strategy Under Climate Change in Southern Italy","URL":"https://linkinghub.elsevier.com/retrieve/pii/S1125471824008272","volume":"7","author":[{"family":"Ventrella","given":"Domenico"},{"family":"Charfeddine","given":"Monia"},{"family":"Giglio","given":"Luisa"},{"family":"Castellini","given":"Mirko"}],"accessed":{"date-parts":[["2025",3,12]]},"issued":{"date-parts":[["2012"]]}},"label":"page"},{"id":643,"uris":["http://zotero.org/users/12642312/items/39Z8AHQ3"],"itemData":{"id":643,"type":"article-journal","abstract":"Carinata (Brassica carinata) is an oilseed crop which, because of its non-edible oil composition and favorable fatty acid profile, is proposed as a “green” sustainable aviation fuel. It can be grown as a winter crop in the southeastern USA or as a summer annual crop in northern latitudes. No crop models exist for carinata because it is a relatively new crop. The CROPGRO model is a mechanistic crop simulation of daily crop growth and development as a function of daily weather, soil properties, crop management, and species parameters. We adapted the CROPGRO model to simulate carinata based on growth analysis data collected over two seasons at three sites: Quincy, FL, Jay, FL, and Shorter, AL. The adaptation process required literature knowledge as well as optimization against field observations. The parameterization of model sensitivities to climatic factors is presented. The adapted model gave good simulations of carinata growth dynamics compared to observed growth during different seasons and locations and in response to N fertilization. While additional testing is appropriate, the model is sufficiently ready to be used for various applications. An example application is presented for the effect of sowing date on carinata yield and maturity over long-term weather in the Southeastern USA.","container-title":"GCB Bioenergy","DOI":"10.1111/gcbb.12838","ISSN":"1757-1693, 1757-1707","issue":"7","journalAbbreviation":"GCB Bioenergy","language":"en","page":"1134-1148","source":"DOI.org (Crossref)","title":"Adapting the CROPGRO model to s</w:instrText>
      </w:r>
      <w:r w:rsidR="00415AA0">
        <w:rPr>
          <w:rFonts w:ascii="Arial" w:hAnsi="Arial" w:cs="Arial" w:hint="eastAsia"/>
          <w:sz w:val="24"/>
          <w:szCs w:val="24"/>
          <w:lang w:val="es-ES"/>
        </w:rPr>
        <w:instrText>imulate growth and production of &lt;i&gt;Brassica carinata&lt;/i&gt; , a bio</w:instrText>
      </w:r>
      <w:r w:rsidR="00415AA0">
        <w:rPr>
          <w:rFonts w:ascii="Arial" w:hAnsi="Arial" w:cs="Arial" w:hint="eastAsia"/>
          <w:sz w:val="24"/>
          <w:szCs w:val="24"/>
          <w:lang w:val="es-ES"/>
        </w:rPr>
        <w:instrText>‐</w:instrText>
      </w:r>
      <w:r w:rsidR="00415AA0">
        <w:rPr>
          <w:rFonts w:ascii="Arial" w:hAnsi="Arial" w:cs="Arial" w:hint="eastAsia"/>
          <w:sz w:val="24"/>
          <w:szCs w:val="24"/>
          <w:lang w:val="es-ES"/>
        </w:rPr>
        <w:instrText>fuel crop","URL":"https://onlinelibrary.wiley.com/doi/10.1111/gcbb.12838","volume":"13","author":[{"family":"Boote","given":"Kenneth J."},{"family":"Seepaul","given":"Ramdeo"},{"family":"Mu</w:instrText>
      </w:r>
      <w:r w:rsidR="00415AA0">
        <w:rPr>
          <w:rFonts w:ascii="Arial" w:hAnsi="Arial" w:cs="Arial"/>
          <w:sz w:val="24"/>
          <w:szCs w:val="24"/>
          <w:lang w:val="es-ES"/>
        </w:rPr>
        <w:instrText xml:space="preserve">lvaney","given":"Michael J."},{"family":"Hagan","given":"Austin K."},{"family":"Bashyal","given":"Mahesh"},{"family":"George","given":"Sheeja"},{"family":"Small","given":"Ian"},{"family":"Wright","given":"David L."}],"accessed":{"date-parts":[["2025",3,12]]},"issued":{"date-parts":[["2021",7]]}},"label":"page"}],"schema":"https://github.com/citation-style-language/schema/raw/master/csl-citation.json"} </w:instrText>
      </w:r>
      <w:r>
        <w:rPr>
          <w:rFonts w:ascii="Arial" w:hAnsi="Arial" w:cs="Arial"/>
          <w:sz w:val="24"/>
          <w:szCs w:val="24"/>
          <w:lang w:val="es-ES"/>
        </w:rPr>
        <w:fldChar w:fldCharType="separate"/>
      </w:r>
      <w:r w:rsidR="00415AA0" w:rsidRPr="00D40A85">
        <w:rPr>
          <w:rFonts w:ascii="Arial" w:hAnsi="Arial" w:cs="Arial"/>
          <w:sz w:val="24"/>
          <w:szCs w:val="24"/>
          <w:lang w:val="es-ES"/>
        </w:rPr>
        <w:t>(</w:t>
      </w:r>
      <w:proofErr w:type="spellStart"/>
      <w:r w:rsidR="00415AA0" w:rsidRPr="00D40A85">
        <w:rPr>
          <w:rFonts w:ascii="Arial" w:hAnsi="Arial" w:cs="Arial"/>
          <w:sz w:val="24"/>
          <w:szCs w:val="24"/>
          <w:lang w:val="es-ES"/>
        </w:rPr>
        <w:t>Heuvelink</w:t>
      </w:r>
      <w:proofErr w:type="spellEnd"/>
      <w:r w:rsidR="00415AA0" w:rsidRPr="00D40A85">
        <w:rPr>
          <w:rFonts w:ascii="Arial" w:hAnsi="Arial" w:cs="Arial"/>
          <w:sz w:val="24"/>
          <w:szCs w:val="24"/>
          <w:lang w:val="es-ES"/>
        </w:rPr>
        <w:t xml:space="preserve"> </w:t>
      </w:r>
      <w:r w:rsidR="00415AA0" w:rsidRPr="00D40A85">
        <w:rPr>
          <w:rFonts w:ascii="Arial" w:hAnsi="Arial" w:cs="Arial"/>
          <w:i/>
          <w:iCs/>
          <w:sz w:val="24"/>
          <w:szCs w:val="24"/>
          <w:lang w:val="es-ES"/>
        </w:rPr>
        <w:t>et al</w:t>
      </w:r>
      <w:r w:rsidR="00415AA0" w:rsidRPr="00D40A85">
        <w:rPr>
          <w:rFonts w:ascii="Arial" w:hAnsi="Arial" w:cs="Arial"/>
          <w:sz w:val="24"/>
          <w:szCs w:val="24"/>
          <w:lang w:val="es-ES"/>
        </w:rPr>
        <w:t xml:space="preserve">., 2005; </w:t>
      </w:r>
      <w:proofErr w:type="spellStart"/>
      <w:r w:rsidR="00415AA0" w:rsidRPr="00D40A85">
        <w:rPr>
          <w:rFonts w:ascii="Arial" w:hAnsi="Arial" w:cs="Arial"/>
          <w:sz w:val="24"/>
          <w:szCs w:val="24"/>
          <w:lang w:val="es-ES"/>
        </w:rPr>
        <w:t>Ventrella</w:t>
      </w:r>
      <w:proofErr w:type="spellEnd"/>
      <w:r w:rsidR="00415AA0" w:rsidRPr="00D40A85">
        <w:rPr>
          <w:rFonts w:ascii="Arial" w:hAnsi="Arial" w:cs="Arial"/>
          <w:sz w:val="24"/>
          <w:szCs w:val="24"/>
          <w:lang w:val="es-ES"/>
        </w:rPr>
        <w:t xml:space="preserve">, </w:t>
      </w:r>
      <w:r w:rsidR="00415AA0" w:rsidRPr="00D40A85">
        <w:rPr>
          <w:rFonts w:ascii="Arial" w:hAnsi="Arial" w:cs="Arial"/>
          <w:i/>
          <w:iCs/>
          <w:sz w:val="24"/>
          <w:szCs w:val="24"/>
          <w:lang w:val="es-ES"/>
        </w:rPr>
        <w:t>et al</w:t>
      </w:r>
      <w:r w:rsidR="00415AA0" w:rsidRPr="00D40A85">
        <w:rPr>
          <w:rFonts w:ascii="Arial" w:hAnsi="Arial" w:cs="Arial"/>
          <w:sz w:val="24"/>
          <w:szCs w:val="24"/>
          <w:lang w:val="es-ES"/>
        </w:rPr>
        <w:t xml:space="preserve">., 2012; </w:t>
      </w:r>
      <w:proofErr w:type="spellStart"/>
      <w:r w:rsidR="00415AA0" w:rsidRPr="00D40A85">
        <w:rPr>
          <w:rFonts w:ascii="Arial" w:hAnsi="Arial" w:cs="Arial"/>
          <w:sz w:val="24"/>
          <w:szCs w:val="24"/>
          <w:lang w:val="es-ES"/>
        </w:rPr>
        <w:t>Boote</w:t>
      </w:r>
      <w:proofErr w:type="spellEnd"/>
      <w:r w:rsidR="00415AA0" w:rsidRPr="00D40A85">
        <w:rPr>
          <w:rFonts w:ascii="Arial" w:hAnsi="Arial" w:cs="Arial"/>
          <w:sz w:val="24"/>
          <w:szCs w:val="24"/>
          <w:lang w:val="es-ES"/>
        </w:rPr>
        <w:t xml:space="preserve"> </w:t>
      </w:r>
      <w:r w:rsidR="00415AA0" w:rsidRPr="00D40A85">
        <w:rPr>
          <w:rFonts w:ascii="Arial" w:hAnsi="Arial" w:cs="Arial"/>
          <w:i/>
          <w:iCs/>
          <w:sz w:val="24"/>
          <w:szCs w:val="24"/>
          <w:lang w:val="es-ES"/>
        </w:rPr>
        <w:t>et al</w:t>
      </w:r>
      <w:r w:rsidR="00415AA0" w:rsidRPr="00D40A85">
        <w:rPr>
          <w:rFonts w:ascii="Arial" w:hAnsi="Arial" w:cs="Arial"/>
          <w:sz w:val="24"/>
          <w:szCs w:val="24"/>
          <w:lang w:val="es-ES"/>
        </w:rPr>
        <w:t>., 2021)</w:t>
      </w:r>
      <w:r>
        <w:rPr>
          <w:rFonts w:ascii="Arial" w:hAnsi="Arial" w:cs="Arial"/>
          <w:sz w:val="24"/>
          <w:szCs w:val="24"/>
          <w:lang w:val="es-ES"/>
        </w:rPr>
        <w:fldChar w:fldCharType="end"/>
      </w:r>
      <w:r>
        <w:rPr>
          <w:rFonts w:ascii="Arial" w:hAnsi="Arial" w:cs="Arial"/>
          <w:sz w:val="24"/>
          <w:szCs w:val="24"/>
          <w:lang w:val="es-ES"/>
        </w:rPr>
        <w:t xml:space="preserve">. Estos autores señalan, que, al analizar el fruto como un sistema, determina que variables mejoran su rendimiento, para una región determinada. Los modelos de simulación en las hortalizas permiten probar hipótesis científicas, permitiendo evaluar estrategias del manejo, sin </w:t>
      </w:r>
      <w:r>
        <w:rPr>
          <w:rFonts w:ascii="Arial" w:hAnsi="Arial" w:cs="Arial"/>
          <w:sz w:val="24"/>
          <w:szCs w:val="24"/>
          <w:lang w:val="es-ES"/>
        </w:rPr>
        <w:lastRenderedPageBreak/>
        <w:t xml:space="preserve">necesidad de llevar a cabo experimentos costosos. Además, es posible estimar de manera más adecuada el tiempo de cosecha esperado cuando se trabaja el cultivo de tomate en ciclos cortos con el objetivo de concentrar la producción en periodos de demanda específicos tal y como lo resaltan </w:t>
      </w:r>
      <w:r>
        <w:rPr>
          <w:rFonts w:ascii="Arial" w:hAnsi="Arial" w:cs="Arial"/>
          <w:sz w:val="24"/>
          <w:szCs w:val="24"/>
          <w:lang w:val="es-ES"/>
        </w:rPr>
        <w:fldChar w:fldCharType="begin"/>
      </w:r>
      <w:r w:rsidR="00064CBC">
        <w:rPr>
          <w:rFonts w:ascii="Arial" w:hAnsi="Arial" w:cs="Arial"/>
          <w:sz w:val="24"/>
          <w:szCs w:val="24"/>
          <w:lang w:val="es-ES"/>
        </w:rPr>
        <w:instrText xml:space="preserve"> ADDIN ZOTERO_ITEM CSL_CITATION {"citationID":"5m3ZkwUO","properties":{"custom":"(Flores {\\i{}et al}., 2020)","formattedCitation":"(Flores {\\i{}et al}., 2020)","plainCitation":"(Flores et al., 2020)","noteIndex":0},"citationItems":[{"id":1229,"uris":["http://zotero.org/users/12642312/items/28KWLN9E"],"itemData":{"id":1229,"type":"article-journal","container-title":"Tecnología y ciencias del agua","DOI":"10.24850/j-tyca-2020-04-02","ISSN":"2007-2422","issue":"4","language":"es","note":"publisher: Instituto Mexicano de Tecnología del Agua","page":"27-57","source":"SciELO","title":"Estimación del ciclo de cultivo de tomate (Solanum lycopersicum L.) en invernadero, con base en grados días calor (GDC) simulados con CFD","URL":"http://www.scielo.org.mx/scielo.php?script=sci_abstract&amp;pid=S2007-24222020000400027&amp;lng=es&amp;nrm=iso&amp;tlng=es","volume":"11","author":[{"family":"Flores","given":"Jorge"},{"family":"Aguilar","given":"Cruz Ernesto"},{"family":"Rojano","given":"Fernando"},{"family":"Ojeda","given":"Waldo"},{"family":"Iñiguez","given":"Mauro"},{"family":"Aguilar","given":"Cruz Ernesto"},{"family":"Flores","given":"Jorge"},{"family":"Rojano","given":"Fernando"},{"family":"Ojeda","given":"Waldo"},{"family":"Iñiguez","given":"Mauro"}],"accessed":{"date-parts":[["2025",4,2]]},"issued":{"date-parts":[["2020",8]]}}}],"schema":"https://github.com/citation-style-language/schema/raw/master/csl-citation.json"} </w:instrText>
      </w:r>
      <w:r>
        <w:rPr>
          <w:rFonts w:ascii="Arial" w:hAnsi="Arial" w:cs="Arial"/>
          <w:sz w:val="24"/>
          <w:szCs w:val="24"/>
          <w:lang w:val="es-ES"/>
        </w:rPr>
        <w:fldChar w:fldCharType="separate"/>
      </w:r>
      <w:r w:rsidR="00064CBC" w:rsidRPr="00064CBC">
        <w:rPr>
          <w:rFonts w:ascii="Arial" w:hAnsi="Arial" w:cs="Arial"/>
          <w:sz w:val="24"/>
          <w:szCs w:val="24"/>
          <w:lang w:val="es-ES"/>
        </w:rPr>
        <w:t xml:space="preserve">(Flores </w:t>
      </w:r>
      <w:r w:rsidR="00064CBC" w:rsidRPr="00064CBC">
        <w:rPr>
          <w:rFonts w:ascii="Arial" w:hAnsi="Arial" w:cs="Arial"/>
          <w:i/>
          <w:iCs/>
          <w:sz w:val="24"/>
          <w:szCs w:val="24"/>
          <w:lang w:val="es-ES"/>
        </w:rPr>
        <w:t>et al</w:t>
      </w:r>
      <w:r w:rsidR="00064CBC" w:rsidRPr="00064CBC">
        <w:rPr>
          <w:rFonts w:ascii="Arial" w:hAnsi="Arial" w:cs="Arial"/>
          <w:sz w:val="24"/>
          <w:szCs w:val="24"/>
          <w:lang w:val="es-ES"/>
        </w:rPr>
        <w:t>., 2020)</w:t>
      </w:r>
      <w:r>
        <w:rPr>
          <w:rFonts w:ascii="Arial" w:hAnsi="Arial" w:cs="Arial"/>
          <w:sz w:val="24"/>
          <w:szCs w:val="24"/>
          <w:lang w:val="es-ES"/>
        </w:rPr>
        <w:fldChar w:fldCharType="end"/>
      </w:r>
      <w:r>
        <w:rPr>
          <w:rFonts w:ascii="Arial" w:hAnsi="Arial" w:cs="Arial"/>
          <w:sz w:val="24"/>
          <w:szCs w:val="24"/>
          <w:lang w:val="es-ES"/>
        </w:rPr>
        <w:t>.</w:t>
      </w:r>
    </w:p>
    <w:p w14:paraId="57350EEC" w14:textId="77777777" w:rsidR="008403BD" w:rsidRDefault="007D49D9">
      <w:pPr>
        <w:keepNext/>
      </w:pPr>
      <w:r>
        <w:rPr>
          <w:rFonts w:ascii="Arial" w:hAnsi="Arial" w:cs="Arial"/>
          <w:noProof/>
          <w:sz w:val="24"/>
          <w:szCs w:val="24"/>
        </w:rPr>
        <w:drawing>
          <wp:inline distT="0" distB="0" distL="0" distR="0" wp14:anchorId="4DF84EDC" wp14:editId="49F63FBD">
            <wp:extent cx="5447360" cy="3554083"/>
            <wp:effectExtent l="0" t="0" r="1270" b="8890"/>
            <wp:docPr id="1042" name="Imagen 12" descr="C:\Users\Marilyn\Documents\rendim jp.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n 12"/>
                    <pic:cNvPicPr/>
                  </pic:nvPicPr>
                  <pic:blipFill>
                    <a:blip r:embed="rId21" cstate="print"/>
                    <a:srcRect/>
                    <a:stretch/>
                  </pic:blipFill>
                  <pic:spPr>
                    <a:xfrm>
                      <a:off x="0" y="0"/>
                      <a:ext cx="5447360" cy="3554083"/>
                    </a:xfrm>
                    <a:prstGeom prst="rect">
                      <a:avLst/>
                    </a:prstGeom>
                    <a:ln>
                      <a:noFill/>
                    </a:ln>
                  </pic:spPr>
                </pic:pic>
              </a:graphicData>
            </a:graphic>
          </wp:inline>
        </w:drawing>
      </w:r>
    </w:p>
    <w:p w14:paraId="298A5358" w14:textId="55B4897A" w:rsidR="008403BD" w:rsidRDefault="007D49D9">
      <w:pPr>
        <w:pStyle w:val="Descripcin"/>
        <w:rPr>
          <w:rFonts w:ascii="Arial" w:hAnsi="Arial" w:cs="Arial"/>
          <w:b/>
          <w:color w:val="000000"/>
          <w:lang w:val="es-ES"/>
        </w:rPr>
      </w:pPr>
      <w:r>
        <w:rPr>
          <w:rFonts w:ascii="Arial" w:hAnsi="Arial" w:cs="Arial"/>
          <w:b/>
          <w:color w:val="000000"/>
          <w:lang w:val="es-US"/>
        </w:rPr>
        <w:t xml:space="preserve">Figura </w:t>
      </w:r>
      <w:r>
        <w:rPr>
          <w:rFonts w:ascii="Arial" w:hAnsi="Arial" w:cs="Arial"/>
          <w:b/>
          <w:color w:val="000000"/>
        </w:rPr>
        <w:fldChar w:fldCharType="begin"/>
      </w:r>
      <w:r>
        <w:rPr>
          <w:rFonts w:ascii="Arial" w:hAnsi="Arial" w:cs="Arial"/>
          <w:b/>
          <w:color w:val="000000"/>
          <w:lang w:val="es-US"/>
        </w:rPr>
        <w:instrText xml:space="preserve"> SEQ Figura \* ARABIC </w:instrText>
      </w:r>
      <w:r>
        <w:rPr>
          <w:rFonts w:ascii="Arial" w:hAnsi="Arial" w:cs="Arial"/>
          <w:b/>
          <w:color w:val="000000"/>
        </w:rPr>
        <w:fldChar w:fldCharType="separate"/>
      </w:r>
      <w:r w:rsidR="00073C4F">
        <w:rPr>
          <w:rFonts w:ascii="Arial" w:hAnsi="Arial" w:cs="Arial"/>
          <w:b/>
          <w:noProof/>
          <w:color w:val="000000"/>
          <w:lang w:val="es-US"/>
        </w:rPr>
        <w:t>10</w:t>
      </w:r>
      <w:r>
        <w:rPr>
          <w:rFonts w:ascii="Arial" w:hAnsi="Arial" w:cs="Arial"/>
          <w:b/>
          <w:color w:val="000000"/>
        </w:rPr>
        <w:fldChar w:fldCharType="end"/>
      </w:r>
      <w:r w:rsidR="00863A59" w:rsidRPr="00863A59">
        <w:rPr>
          <w:rFonts w:ascii="Arial" w:hAnsi="Arial" w:cs="Arial"/>
          <w:b/>
          <w:color w:val="000000"/>
          <w:lang w:val="es-ES"/>
        </w:rPr>
        <w:t>.</w:t>
      </w:r>
      <w:r>
        <w:rPr>
          <w:rFonts w:ascii="Arial" w:hAnsi="Arial" w:cs="Arial"/>
          <w:b/>
          <w:color w:val="000000"/>
          <w:lang w:val="es-US"/>
        </w:rPr>
        <w:t xml:space="preserve"> </w:t>
      </w:r>
      <w:r w:rsidRPr="00863A59">
        <w:rPr>
          <w:rFonts w:ascii="Arial" w:hAnsi="Arial" w:cs="Arial"/>
          <w:color w:val="000000"/>
          <w:lang w:val="es-US"/>
        </w:rPr>
        <w:t xml:space="preserve">Datos simulados y observados del rendimiento del cultivar Elbita </w:t>
      </w:r>
      <w:r w:rsidR="00863A59" w:rsidRPr="00863A59">
        <w:rPr>
          <w:rFonts w:ascii="Arial" w:hAnsi="Arial" w:cs="Arial"/>
          <w:color w:val="000000"/>
          <w:lang w:val="es-US"/>
        </w:rPr>
        <w:t>en el periodo óptimo de siembra</w:t>
      </w:r>
    </w:p>
    <w:p w14:paraId="3AAC281E" w14:textId="5F220BB3" w:rsidR="008403BD" w:rsidRDefault="007D49D9">
      <w:pPr>
        <w:spacing w:before="120" w:after="0" w:line="360" w:lineRule="auto"/>
        <w:jc w:val="both"/>
        <w:rPr>
          <w:rFonts w:ascii="Arial" w:hAnsi="Arial" w:cs="Arial"/>
          <w:sz w:val="24"/>
          <w:szCs w:val="24"/>
          <w:lang w:val="es-ES"/>
        </w:rPr>
      </w:pPr>
      <w:r>
        <w:rPr>
          <w:rFonts w:ascii="Arial" w:hAnsi="Arial" w:cs="Arial"/>
          <w:sz w:val="24"/>
          <w:szCs w:val="24"/>
          <w:lang w:val="es-ES"/>
        </w:rPr>
        <w:t>El CROPGRO</w:t>
      </w:r>
      <w:r>
        <w:rPr>
          <w:rStyle w:val="A5"/>
          <w:rFonts w:ascii="Arial" w:hAnsi="Arial" w:cs="Arial"/>
          <w:sz w:val="24"/>
          <w:szCs w:val="24"/>
          <w:lang w:val="es-ES"/>
        </w:rPr>
        <w:t xml:space="preserve">-Tomato </w:t>
      </w:r>
      <w:r>
        <w:rPr>
          <w:rFonts w:ascii="Arial" w:hAnsi="Arial" w:cs="Arial"/>
          <w:sz w:val="24"/>
          <w:szCs w:val="24"/>
          <w:lang w:val="es-ES"/>
        </w:rPr>
        <w:t xml:space="preserve">se utiliza ampliamente en regiones tropicales y templadas por su precisión en la simulación de la producción cuando se compara con datos reales de campo e invernaderos </w:t>
      </w:r>
      <w:r>
        <w:rPr>
          <w:rFonts w:ascii="Arial" w:hAnsi="Arial" w:cs="Arial"/>
          <w:sz w:val="24"/>
          <w:szCs w:val="24"/>
          <w:lang w:val="es-ES"/>
        </w:rPr>
        <w:fldChar w:fldCharType="begin"/>
      </w:r>
      <w:r w:rsidR="00866DB3">
        <w:rPr>
          <w:rFonts w:ascii="Arial" w:hAnsi="Arial" w:cs="Arial"/>
          <w:sz w:val="24"/>
          <w:szCs w:val="24"/>
          <w:lang w:val="es-ES"/>
        </w:rPr>
        <w:instrText xml:space="preserve"> ADDIN ZOTERO_ITEM CSL_CITATION {"citationID":"Fv4NOvHS","properties":{"custom":"(Jones {\\i{}et al}., 2003; Boote {\\i{}et al}., 2012; Ventrella {\\i{}et al}., 2018; Fink {\\i{}et al}., 2023)","unsorted":true,"formattedCitation":"(Jones {\\i{}et al}., 2003; Boote {\\i{}et al}., 2012; Ventrella {\\i{}et al}., 2018; Fink {\\i{}et al}., 2023)","plainCitation":"(Jones et al., 2003; Boote et al., 2012; Ventrella et al., 2018; Fink et al., 2023)","noteIndex":0},"citationItems":[{"id":1094,"uris":["http://zotero.org/users/12642312/items/5QMBQCCQ"],"itemData":{"id":1094,"type":"article-journal","abstract":"The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model","URL":"https://www.sciencedirect.com/science/article/pii/S1161030102001077","volume":"18","author":[{"family":"Jones","given":"J. W"},{"family":"Hoogenboom","given":"G"},{"family":"Porter","given":"C. H"},{"family":"Boote","given":"K. J"},{"family":"Batchelor","given":"W. D"},{"family":"Hunt","given":"L. A"},{"family":"Wilkens","given":"P. W"},{"family":"Singh","given":"U"},{"family":"Gijsman","given":"A. J"},{"family":"Ritchie","given":"J. T"}],"accessed":{"date-parts":[["2025",4,1]]},"issued":{"date-parts":[["2003",1,1]]}},"label":"page"},{"id":1167,"uris":["http://zotero.org/users/12642312/items/74QF55NK"],"itemData":{"id":1167,"type":"article-journal","abstract":"Parameterizing crop models for more accurate response to climate factors such as temperature is important considering potential temperature increases associated with climate change, particularly for tomato (Lycopersicon esculentum Mill.), which is a heatsensitive crop. The objective of this work was to update the cardinal temperature parameters of the CROPGRO-Tomato model affecting the simulation of crop development, daily dry matter (DM) production, fruit set, and DM partitioning of ﬁeld-grown tomato from transplanting to harvest. The main adaptation relied on new literature values for cardinal temperature parameters that affect tomato crop phenology, fruit set, and fruit growth. The new cardinal temperature values are considered reliable because they come from recent published experiments conducted in controlled-temperature environments. Use of the new cardinal temperatures in the CROPGRO-Tomato model affected the rate of crop development compared with prior default parameters; thus, we found it necessary to recalibrate genetic coefﬁcients that affect life cycle phases and growth simulated by the model. The model was recalibrated and evaluated with 10 growth analyses data sets collected in ﬁeld experiments conducted at three locations in Florida (Bradenton, Quincy, and Gainesville) from 1991 to 2007. Use of modiﬁed parameters sufﬁciently improved model performance to provide accurate prediction of crop and fruit DM accumulation throughout the season. Overall, the average root mean square error (RMSE) over all experiments was reduced 44% for leaf area index, 71% for fruit number, and 36% for both aboveground biomass and fruit dry weight simulations with the modiﬁed parameters compared with the default. The Willmott d index was higher and was always above 0.92. The CROPGRO-Tomato model with these modiﬁed cardinal temperature parameters will predict more accurately tomato growth and yield response to temperature and thus be useful in model applications.","container-title":"HortScience","DOI":"10.21273/HORTSCI.47.8.1038","ISSN":"0018-5345, 2327-9834","issue":"8","journalAbbreviation":"horts","language":"en","page":"1038-1049","source":"DOI.org (Crossref)","title":"Improving the CROPGRO-Tomato Model for Predicting Growth and Yield Response to Temperature","URL":"https://journals.ashs.org/view/journals/hortsci/47/8/article-p1038.xml","volume":"47","author":[{"family":"Boote","given":"Kenneth J."},{"family":"Rybak","given":"Maria R."},{"family":"Scholberg","given":"Johan M.S."},{"family":"Jones","given":"James W."}],"accessed":{"date-parts":[["2025",4,1]]},"issued":{"date-parts":[["2012",8]]}},"label":"page"},{"id":1233,"uris":["http://zotero.org/users/12642312/items/542B28LV"],"itemData":{"id":1233,"type":"article-journal","abstract":"In the current regional-scale study, the model DSSAT CROPGRO was applied in order to simulate the cultivation of industrial tomato and to estimate the green water (GW), blue water (BW), blue water requirement (BWR) and water footprint (WFP) through a dual-step approach (with and without full irrigation). Simulation covered a period of 30 years for three climate scenarios including a reference period and two future scenarios based on forecast global average temperature increases of 2 and 5 °C. The spatial patterns of indicators relating to the whole territory of Puglia region (Southern Italy), characterized by the high evaporative demand of the atmosphere, are discussed and analysed. Considering the climatic pattern, the analysis was developed for three areas (Northern, Central and Southern). Future scenarios affected all indicators significantly, particularly the Northern area, characterized by higher temperature and rainfall anomalies. Under the A5 scenario, compared with the baseline, this area was forecast to have a large increase of BW (+30%) and reduction in yield (−20%). As a consequence, the BWR and WFP were predicted to increase dramatically, up to 40 and &gt;65%, respectively. On the other hand, Central and Southern areas, with lower anomalies of temperature and rainfall, were forecast to be less vulnerable to climate change. The distributed analysis performed could be important for water policy, allowing most efficient allocation of scarce water resources and concentrating them where the WFP is lowest, or in other words, water use efficiency is highest.","container-title":"The Journal of Agricultural Science","DOI":"10.1017/S0021859617000831","ISSN":"0021-8596, 1469-5146","issue":"5","language":"en","page":"689-701","source":"Cambridge University Press","title":"Regional assessment of green and blue water consumption for tomato cultivated in Southern Italy","URL":"https://www.cambridge.org/core/journals/journal-of-agricultural-science/article/abs/regional-assessment-of-green-and-blue-water-consumption-for-tomato-cultivated-in-southern-italy/E2800D251A90F53FE288BB80C237595B","volume":"156","author":[{"family":"Ventrella","given":"D."},{"family":"Giglio","given":"L."},{"family":"Garofalo","given":"P."},{"family":"Marta","given":"A. Dalla"}],"accessed":{"date-parts":[["2025",4,2]]},"issued":{"date-parts":[["2018",7]]}},"label":"page"},{"id":636,"uris":["http://zotero.org/users/12642312/items/KKY4DBAD"],"itemData":{"id":636,"type":"article","abstract":"As global demand for efﬁciency in agriculture rises, there is a growing interest in high-precision farming practices. Particularly greenhouses play a critical role in ensuring a yearround supply of fresh produce. In order to maximize efﬁciency and productivity while minimizing resource use, mathematical techniques such as optimal control have been employed. However, selecting appropriate models for optimal control requires domain expertise. This study aims to compare three established tomato models for their suitability in an optimal control framework. Results show that all three models have similar yield predictions and accuracy, but only two models are currently applicable for optimal control due to implementation limitations. The two remaining models each have advantages in terms of economic yield and computation times, but the differences in optimal control strategies suggest that they require more accurate parameter identiﬁcation and calibration tailored to greenhouses.","DOI":"10.48550/arXiv.2308.06031","language":"en","note":"arXiv:2308.06031 [math]","number":"arXiv:2308.06031","publisher":"arXiv","source":"arXiv.org","title":"Comparison of Dynamic Tomato Growth Models for Optimal Control in Greenhouses","URL":"http://arxiv.org/abs/2308.06031","author":[{"family":"Fink","given":"Michael"},{"family":"Daniels","given":"Annalena"},{"family":"Qian","given":"Cheng"},{"family":"Velásquez","given":"Víctor Martínez"},{"family":"Salotra","given":"Sahil"},{"family":"Wollherr","given":"Dirk"}],"accessed":{"date-parts":[["2025",3,12]]},"issued":{"date-parts":[["2023",8,11]]}},"label":"page"}],"schema":"https://github.com/citation-style-language/schema/raw/master/csl-citation.json"} </w:instrText>
      </w:r>
      <w:r>
        <w:rPr>
          <w:rFonts w:ascii="Arial" w:hAnsi="Arial" w:cs="Arial"/>
          <w:sz w:val="24"/>
          <w:szCs w:val="24"/>
          <w:lang w:val="es-ES"/>
        </w:rPr>
        <w:fldChar w:fldCharType="separate"/>
      </w:r>
      <w:r w:rsidR="00866DB3" w:rsidRPr="00866DB3">
        <w:rPr>
          <w:rFonts w:ascii="Arial" w:hAnsi="Arial" w:cs="Arial"/>
          <w:sz w:val="24"/>
          <w:szCs w:val="24"/>
          <w:lang w:val="es-ES"/>
        </w:rPr>
        <w:t xml:space="preserve">(Jones </w:t>
      </w:r>
      <w:r w:rsidR="00866DB3" w:rsidRPr="00866DB3">
        <w:rPr>
          <w:rFonts w:ascii="Arial" w:hAnsi="Arial" w:cs="Arial"/>
          <w:i/>
          <w:iCs/>
          <w:sz w:val="24"/>
          <w:szCs w:val="24"/>
          <w:lang w:val="es-ES"/>
        </w:rPr>
        <w:t>et al</w:t>
      </w:r>
      <w:r w:rsidR="00866DB3" w:rsidRPr="00866DB3">
        <w:rPr>
          <w:rFonts w:ascii="Arial" w:hAnsi="Arial" w:cs="Arial"/>
          <w:sz w:val="24"/>
          <w:szCs w:val="24"/>
          <w:lang w:val="es-ES"/>
        </w:rPr>
        <w:t xml:space="preserve">., 2003; Boote </w:t>
      </w:r>
      <w:r w:rsidR="00866DB3" w:rsidRPr="00866DB3">
        <w:rPr>
          <w:rFonts w:ascii="Arial" w:hAnsi="Arial" w:cs="Arial"/>
          <w:i/>
          <w:iCs/>
          <w:sz w:val="24"/>
          <w:szCs w:val="24"/>
          <w:lang w:val="es-ES"/>
        </w:rPr>
        <w:t>et al</w:t>
      </w:r>
      <w:r w:rsidR="00866DB3" w:rsidRPr="00866DB3">
        <w:rPr>
          <w:rFonts w:ascii="Arial" w:hAnsi="Arial" w:cs="Arial"/>
          <w:sz w:val="24"/>
          <w:szCs w:val="24"/>
          <w:lang w:val="es-ES"/>
        </w:rPr>
        <w:t xml:space="preserve">., 2012; Ventrella </w:t>
      </w:r>
      <w:r w:rsidR="00866DB3" w:rsidRPr="00866DB3">
        <w:rPr>
          <w:rFonts w:ascii="Arial" w:hAnsi="Arial" w:cs="Arial"/>
          <w:i/>
          <w:iCs/>
          <w:sz w:val="24"/>
          <w:szCs w:val="24"/>
          <w:lang w:val="es-ES"/>
        </w:rPr>
        <w:t>et al</w:t>
      </w:r>
      <w:r w:rsidR="00866DB3" w:rsidRPr="00866DB3">
        <w:rPr>
          <w:rFonts w:ascii="Arial" w:hAnsi="Arial" w:cs="Arial"/>
          <w:sz w:val="24"/>
          <w:szCs w:val="24"/>
          <w:lang w:val="es-ES"/>
        </w:rPr>
        <w:t xml:space="preserve">., 2018; Fink </w:t>
      </w:r>
      <w:r w:rsidR="00866DB3" w:rsidRPr="00866DB3">
        <w:rPr>
          <w:rFonts w:ascii="Arial" w:hAnsi="Arial" w:cs="Arial"/>
          <w:i/>
          <w:iCs/>
          <w:sz w:val="24"/>
          <w:szCs w:val="24"/>
          <w:lang w:val="es-ES"/>
        </w:rPr>
        <w:t>et al</w:t>
      </w:r>
      <w:r w:rsidR="00866DB3" w:rsidRPr="00866DB3">
        <w:rPr>
          <w:rFonts w:ascii="Arial" w:hAnsi="Arial" w:cs="Arial"/>
          <w:sz w:val="24"/>
          <w:szCs w:val="24"/>
          <w:lang w:val="es-ES"/>
        </w:rPr>
        <w:t>., 2023)</w:t>
      </w:r>
      <w:r>
        <w:rPr>
          <w:rFonts w:ascii="Arial" w:hAnsi="Arial" w:cs="Arial"/>
          <w:sz w:val="24"/>
          <w:szCs w:val="24"/>
          <w:lang w:val="es-ES"/>
        </w:rPr>
        <w:fldChar w:fldCharType="end"/>
      </w:r>
      <w:r>
        <w:rPr>
          <w:rFonts w:ascii="Arial" w:hAnsi="Arial" w:cs="Arial"/>
          <w:sz w:val="24"/>
          <w:szCs w:val="24"/>
          <w:lang w:val="es-ES"/>
        </w:rPr>
        <w:t xml:space="preserve">. Este permite </w:t>
      </w:r>
      <w:r>
        <w:rPr>
          <w:rFonts w:ascii="Arial" w:eastAsia="Times New Roman" w:hAnsi="Arial" w:cs="Arial"/>
          <w:sz w:val="24"/>
          <w:szCs w:val="24"/>
          <w:lang w:val="es-ES" w:eastAsia="es-ES"/>
        </w:rPr>
        <w:t>evaluar</w:t>
      </w:r>
      <w:r w:rsidR="0077047E">
        <w:rPr>
          <w:rFonts w:ascii="Arial" w:eastAsia="Times New Roman" w:hAnsi="Arial" w:cs="Arial"/>
          <w:sz w:val="24"/>
          <w:szCs w:val="24"/>
          <w:lang w:val="es-ES" w:eastAsia="es-ES"/>
        </w:rPr>
        <w:t xml:space="preserve"> </w:t>
      </w:r>
      <w:r>
        <w:rPr>
          <w:rFonts w:ascii="Arial" w:eastAsia="Times New Roman" w:hAnsi="Arial" w:cs="Arial"/>
          <w:sz w:val="24"/>
          <w:szCs w:val="24"/>
          <w:lang w:val="es-ES" w:eastAsia="es-ES"/>
        </w:rPr>
        <w:t xml:space="preserve">los suministros de nutrientes, </w:t>
      </w:r>
      <w:r>
        <w:rPr>
          <w:rFonts w:ascii="Arial" w:hAnsi="Arial" w:cs="Arial"/>
          <w:sz w:val="24"/>
          <w:szCs w:val="24"/>
          <w:lang w:val="es-ES"/>
        </w:rPr>
        <w:t>en el análisis de la interacción agua-nitrógeno y en la simulación del crecimiento del cultivo</w:t>
      </w:r>
      <w:r>
        <w:rPr>
          <w:rFonts w:ascii="Arial" w:eastAsia="Times New Roman" w:hAnsi="Arial" w:cs="Arial"/>
          <w:sz w:val="24"/>
          <w:szCs w:val="24"/>
          <w:lang w:val="es-ES" w:eastAsia="es-ES"/>
        </w:rPr>
        <w:t xml:space="preserve"> y las opciones de adaptación </w:t>
      </w:r>
      <w:r>
        <w:rPr>
          <w:rFonts w:ascii="Arial" w:hAnsi="Arial" w:cs="Arial"/>
          <w:spacing w:val="-7"/>
          <w:sz w:val="24"/>
          <w:szCs w:val="24"/>
          <w:lang w:val="es-ES"/>
        </w:rPr>
        <w:t xml:space="preserve">que permitan contrarrestar los efectos del cambio climático en escenarios presentes y futuros </w:t>
      </w:r>
      <w:r>
        <w:rPr>
          <w:rFonts w:ascii="Arial" w:hAnsi="Arial" w:cs="Arial"/>
          <w:spacing w:val="-7"/>
          <w:sz w:val="24"/>
          <w:szCs w:val="24"/>
          <w:lang w:val="es-ES"/>
        </w:rPr>
        <w:fldChar w:fldCharType="begin"/>
      </w:r>
      <w:r w:rsidR="006A45D2">
        <w:rPr>
          <w:rFonts w:ascii="Arial" w:hAnsi="Arial" w:cs="Arial"/>
          <w:spacing w:val="-7"/>
          <w:sz w:val="24"/>
          <w:szCs w:val="24"/>
          <w:lang w:val="es-ES"/>
        </w:rPr>
        <w:instrText xml:space="preserve"> ADDIN ZOTERO_ITEM CSL_CITATION {"citationID":"xOf8UM3y","properties":{"custom":"(Ayankojo &amp; Morgan, 2020; Abayechaw, 2021; Ge {\\i{}et al}., 2023; Chen {\\i{}et al}., 2025)","unsorted":true,"formattedCitation":"(Ayankojo &amp; Morgan, 2020; Abayechaw, 2021; Ge {\\i{}et al}., 2023; Chen {\\i{}et al}., 2025)","plainCitation":"(Ayankojo &amp; Morgan, 2020; Abayechaw, 2021; Ge et al., 2023; Chen et al., 2025)","noteIndex":0},"citationItems":[{"id":645,"uris":["http://zotero.org/users/12642312/items/YP76YLUU"],"itemData":{"id":645,"type":"article-journal","abstract":"Florida ranks ﬁrst among US states in fresh-market tomato production with annual production exceeding one-third of the total annual production in the country. Although tomato is a signature crop in Florida, current and future ambient temperatures could impose a major production challenge, especially during the fall growing season. This problem is increasingly becoming an important concern among tomato growers in south Florida, but studies addressing these concerns have not been conducted until now. Therefore, this study was conducted to determine the impacts of the present ambient temperature conditions and planting dates on tomato productivity in south Florida. The study was conducted using crop simulation model CROPGRO-Tomato of DSSAT (Decision Support System for Agricultural Transfer) version 4.7. Five treatments were evaluated, and included AT (simulated treatment using 14 years of actual daily weather conditions at the study location) while other treatments were conducted based on a percentage (−20%, −10%, +10%, +20%) of AT to simulate cooler and warmer temperature regimes. The results suggested that under the current temperature conditions during the fall growing season in south Florida, average tomato yield was up to 29% lower compared to the cooler temperature regimes. Tomato yield further decreased by 52% to 85% at air temperatures above the current condition. Yield reduction under high temperature was primarily due to lower fruit production. Contrary to yield, both tomato biomass accumulation and leaf area index increased with increase in temperature. Results also indicated that due to changes in air temperature pattern, tomato yield increased as planting date increased from July to December. Therefore, planting date modiﬁcation during the fall season from the current July–September to dates between November and December will reduce the impacts of heat stress and increase tomato productivity in south Florida.","container-title":"Plants","DOI":"10.3390/plants9091245","ISSN":"2223-7747","issue":"9","journalAbbreviation":"Plants","language":"en","license":"https://creativecommons.org/licenses/by/4.0/","page":"1245","source":"DOI.org (Crossref)","title":"Increasing Air Temperatures and Its Effects on Growth and Productivity of Tomato in South Florida","URL":"https://www.mdpi.com/2223-7747/9/9/1245","volume":"9","author":[{"family":"Ayankojo","given":"Ibukun T."},{"family":"Morgan","given":"Kelly T."}],"accessed":{"date-parts":[["2025",3,12]]},"issued":{"date-parts":[["2020",9,21]]}},"label":"page"},{"id":707,"uris":["http://zotero.org/users/12642312/items/WB7F9CNU"],"itemData":{"id":707,"type":"article-journal","abstract":"Traditional agronomic experiments were conducted at a specific location in time and space, resulting in long, seasonal, time-consuming, and expensive experiments. An international team of scientists has developed a decision support system for the transfer of agrotechnology, which has been used by researchers from around and the world for 15 years. This package incorporates models for over 42 crops (since Version 4.7.5) as well as tools to facilitate effective use of the models. Tools include database management programs for soil, weather, crop management, and experimental data, utilities, and implementation programs. Crop simulation models simulate growth, development, and yield in accordance with soil-plantatmosphere dynamics. Over the last few years, it has become increasingly difficult to maintain the DSSAT crop models, partly due to the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In this review paper, I described the approaches used to model the primary scientific components (soil, crop, weather, and management). Besides, the review paper describes the limitations, the future of the DSSAT model, and its importance. The benefits of the new, redesigned DSSAT–CSM will provide considerable opportunities for its development and others in the scientific community for greater cooperation in interdisciplinary research and in the application of knowledge to solve problems in the field, farm, and higher levels.","container-title":"International Journal of Intelligent Information Systems","DOI":"10.11648/j.ijiis.20211006.13","ISSN":"2328-7675","issue":"6","journalAbbreviation":"IJIIS","language":"en","page":"117","source":"DOI.org (Crossref)","title":"Review on Decision Support System for Agrotechnology Transfer (DSSAT) Model","URL":"http://www.sciencepublishinggroup.com/journal/paperinfo?journalid=135&amp;doi=10.11648/j.ijiis.20211006.13","volume":"10","author":[{"family":"Abayechaw","given":"Desta"}],"accessed":{"date-parts":[["2025",3,12]]},"issued":{"date-parts":[["2021"]]}},"label":"page"},{"id":998,"uris":["http://zotero.org/users/12642312/items/7HYWWNQQ"],"itemData":{"id":998,"type":"article-journal","abstract":"The improvement of the simulation accuracy of crop models in different greenhouse environments would be better applied to the automation management of greenhouse cultivation. Tomatoes under drip irrigation in a greenhouse were taken as the research object, and the cumulative evaporation capacity (Ep) of the 20 cm standard evaporation dish was taken as the basis for irrigation. Three treatments were set up in the experiment: high water treatment without mulch (NM-0.9 Ep), high water treatment with mulch (M-0.9 Ep), and low water treatment with mulch (M-0.5 Ep). AquaCrop and DSSAT models were used to simulate the canopy coverage, soil water content, biomass, and yield of the tomatoes. Data from 2020 were used to correct the model, and simulation results from 2021 were analyzed in this paper. The results showed that: (1) Of the two crop models, the simulation accuracy of the greenhouse tomato canopy coverage kCC was higher, and the root mean square errors were less than 6.8% (AquaCrop model) and 8.5% (DSSAT model); (2) The AquaCrop model could accurately simulate soil water change under high water treatments, while the DSSAT model was more suitable for the conditions without mulch; (3) The relative error RE of simulated and observed values for biomass B, yield Y, and water use efﬁciency WUE in the AquaCrop model were less than 2.0%, 2.3%, and 9.0%, respectively, while those of the DSSAT model were less than 4.7%, 7.6%, and 10.4%, respectively; (4) Considering the simulation results of each index comprehensively, the AquaCrop model was superior to the DSSAT model; subsequently, the former was used to predict 16 different water and ﬁlm coating treatments (S1–S16). It was found that the greenhouse tomato yield and WUE were the highest under S7 (0.8 Ep), at 8.201 t/ha and 2.79 kg/m3, respectively.","container-title":"Plants","DOI":"10.3390/plants12223863","ISSN":"2223-7747","issue":"22","journalAbbreviation":"Plants","language":"en","license":"https://creativecommons.org/licenses/by/4.0/","page":"3863","source":"DOI.org (Crossref)","title":"Evaluation of Irrigation Modes for Greenhouse Drip Irrigation Tomatoes Based on AquaCrop and DSSAT Models","URL":"https://www.mdpi.com/2223-7747/12/22/3863","volume":"12","author":[{"family":"Ge","given":"Jiankun"},{"family":"Yu","given":"Zihui"},{"family":"Gong","given":"Xuewen"},{"family":"Ping","given":"Yinglu"},{"family":"Luo","given":"Jinyao"},{"family":"Li","given":"Yanbin"}],"accessed":{"date-parts":[["2025",3,26]]},"issued":{"date-parts":[["2023",11,15]]}},"label":"page"},{"id":1163,"uris":["http://zotero.org/users/12642312/items/AQACI5A9"],"itemData":{"id":1163,"type":"article-journal","abstract":"In order to explore the applicability of the peanut growth simulation model CSM-CROPGRO-Peanut under conditions of mulched drip irrigation in Xinjiang, and to determine the optimal scenario for parameter estimation and model validation, field experiments were conducted in 2022 and 2023 on the water and nitrogen regulation of peanut. Based on the water requirements during the stages of peanut growth, three irrigation levels (low, medium, and high) and two nitrogen application levels (100% N and 50% N) were set, resulting in six treatments. An additional control treatment (CK) with a medium irrigation level and no nitrogen application was also included. In this study, four different parameter estimation and validation protocols were designed, and different parameter estimation results were obtained using the DSSAT-GLUE parameter estimation module. The results showed that the FL-SH (time between first flower and first pod), FL-SD (time between first flower and first seed), SIZLF (time between first flower and first seed), XFRT (maximum size of full leaf), and WTPSD (maximum weight per seed) parameters exhibited strong variability, with coefficients of variation of 24.33%, 22.9%, 19.78%, 14.47%, and 23.82%, respectively, and were significantly affected by environment–management interactions. Other parameters showed weaker variability, with coefficients of variation that were all less than 10%. The model outputs varied significantly among different parameter estimation protocols. Scenario 3, which used data from the adequate irrigation and adequate fertilization treatment (W3N2) environment across both years for parameter estimation and data from other treatments for validation, showed the highest model calibration and validation accuracy. The average absolute relative error (ARE) and normalized root mean square error (nRMSE) for model calibration and validation were the lowest at 9.1% and 10.1%, respectively. The CSM-CROPGRO-Peanut model effectively simulated peanut growth and development as well as soil moisture dynamics under mulched drip irrigation conditions in Xinjiang, with the highest simulation accuracy observed under full irrigation conditions. The findings provide a basis for using the CSMCROPGRO-Peanut model to develop suitable irrigation and nitrogen application regimes for peanuts under mulched drip irrigation in Xinjiang.","container-title":"Plants","DOI":"10.3390/plants14040614","ISSN":"2223-7747","issue":"4","journalAbbreviation":"Plants","language":"en","license":"https://creativecommons.org/licenses/by/4.0/","page":"614","source":"DOI.org (Crossref)","title":"Calibration and Validation of the CSM-CROPGRO-Peanut Model Under Mulched Drip Irrigation Conditions in Xinjiang","URL":"https://www.mdpi.com/2223-7747/14/4/614","volume":"14","author":[{"family":"Chen","given":"Junwei"},{"family":"Li","given":"Qiang"},{"family":"Zhang","given":"Xiaopei"},{"family":"Dong","given":"Jianshu"},{"family":"Hou","given":"Xianfei"},{"family":"Miao","given":"Haocui"},{"family":"Li","given":"Haiming"},{"family":"Zhang","given":"Yuchao"},{"family":"Shen","given":"Xiaojun"},{"family":"Si","given":"Zhuanyun"},{"family":"Shan","given":"Zhijie"}],"accessed":{"date-parts":[["2025",4,1]]},"issued":{"date-parts":[["2025",2,18]]}},"label":"page"}],"schema":"https://github.com/citation-style-language/schema/raw/master/csl-citation.json"} </w:instrText>
      </w:r>
      <w:r>
        <w:rPr>
          <w:rFonts w:ascii="Arial" w:hAnsi="Arial" w:cs="Arial"/>
          <w:spacing w:val="-7"/>
          <w:sz w:val="24"/>
          <w:szCs w:val="24"/>
          <w:lang w:val="es-ES"/>
        </w:rPr>
        <w:fldChar w:fldCharType="separate"/>
      </w:r>
      <w:r w:rsidR="006A45D2" w:rsidRPr="006A45D2">
        <w:rPr>
          <w:rFonts w:ascii="Arial" w:hAnsi="Arial" w:cs="Arial"/>
          <w:sz w:val="24"/>
          <w:szCs w:val="24"/>
          <w:lang w:val="es-ES"/>
        </w:rPr>
        <w:t xml:space="preserve">(Ayankojo &amp; Morgan, 2020; Abayechaw, 2021; Ge </w:t>
      </w:r>
      <w:r w:rsidR="006A45D2" w:rsidRPr="006A45D2">
        <w:rPr>
          <w:rFonts w:ascii="Arial" w:hAnsi="Arial" w:cs="Arial"/>
          <w:i/>
          <w:iCs/>
          <w:sz w:val="24"/>
          <w:szCs w:val="24"/>
          <w:lang w:val="es-ES"/>
        </w:rPr>
        <w:t>et al</w:t>
      </w:r>
      <w:r w:rsidR="006A45D2" w:rsidRPr="006A45D2">
        <w:rPr>
          <w:rFonts w:ascii="Arial" w:hAnsi="Arial" w:cs="Arial"/>
          <w:sz w:val="24"/>
          <w:szCs w:val="24"/>
          <w:lang w:val="es-ES"/>
        </w:rPr>
        <w:t xml:space="preserve">., 2023; Chen </w:t>
      </w:r>
      <w:r w:rsidR="006A45D2" w:rsidRPr="006A45D2">
        <w:rPr>
          <w:rFonts w:ascii="Arial" w:hAnsi="Arial" w:cs="Arial"/>
          <w:i/>
          <w:iCs/>
          <w:sz w:val="24"/>
          <w:szCs w:val="24"/>
          <w:lang w:val="es-ES"/>
        </w:rPr>
        <w:t>et al</w:t>
      </w:r>
      <w:r w:rsidR="006A45D2" w:rsidRPr="006A45D2">
        <w:rPr>
          <w:rFonts w:ascii="Arial" w:hAnsi="Arial" w:cs="Arial"/>
          <w:sz w:val="24"/>
          <w:szCs w:val="24"/>
          <w:lang w:val="es-ES"/>
        </w:rPr>
        <w:t>., 2025)</w:t>
      </w:r>
      <w:r>
        <w:rPr>
          <w:rFonts w:ascii="Arial" w:hAnsi="Arial" w:cs="Arial"/>
          <w:spacing w:val="-7"/>
          <w:sz w:val="24"/>
          <w:szCs w:val="24"/>
          <w:lang w:val="es-ES"/>
        </w:rPr>
        <w:fldChar w:fldCharType="end"/>
      </w:r>
      <w:r>
        <w:rPr>
          <w:rFonts w:ascii="Arial" w:hAnsi="Arial" w:cs="Arial"/>
          <w:color w:val="231F20"/>
          <w:sz w:val="24"/>
          <w:szCs w:val="24"/>
          <w:lang w:val="es-ES"/>
        </w:rPr>
        <w:t>.</w:t>
      </w:r>
      <w:r>
        <w:rPr>
          <w:rFonts w:ascii="Arial" w:hAnsi="Arial" w:cs="Arial"/>
          <w:sz w:val="24"/>
          <w:szCs w:val="24"/>
          <w:lang w:val="es-ES"/>
        </w:rPr>
        <w:t xml:space="preserve"> </w:t>
      </w:r>
    </w:p>
    <w:p w14:paraId="798BD5DF" w14:textId="77777777" w:rsidR="008403BD" w:rsidRDefault="007D49D9">
      <w:pPr>
        <w:spacing w:after="160" w:line="259" w:lineRule="auto"/>
        <w:rPr>
          <w:rFonts w:ascii="Arial" w:hAnsi="Arial" w:cs="Arial"/>
          <w:sz w:val="24"/>
          <w:szCs w:val="24"/>
          <w:lang w:val="es-ES"/>
        </w:rPr>
      </w:pPr>
      <w:r>
        <w:rPr>
          <w:rFonts w:ascii="Arial" w:hAnsi="Arial" w:cs="Arial"/>
          <w:sz w:val="24"/>
          <w:szCs w:val="24"/>
          <w:lang w:val="es-ES"/>
        </w:rPr>
        <w:br w:type="page"/>
      </w:r>
    </w:p>
    <w:p w14:paraId="0498B717" w14:textId="77777777" w:rsidR="008403BD" w:rsidRDefault="007D49D9">
      <w:pPr>
        <w:pStyle w:val="Ttulo1"/>
        <w:rPr>
          <w:lang w:val="es-ES"/>
        </w:rPr>
      </w:pPr>
      <w:bookmarkStart w:id="25" w:name="_Toc195014962"/>
      <w:r>
        <w:rPr>
          <w:lang w:val="es-ES"/>
        </w:rPr>
        <w:lastRenderedPageBreak/>
        <w:t>CONCLUSIONES</w:t>
      </w:r>
      <w:bookmarkEnd w:id="25"/>
    </w:p>
    <w:p w14:paraId="71B49032" w14:textId="77777777" w:rsidR="008403BD" w:rsidRDefault="008403BD">
      <w:pPr>
        <w:rPr>
          <w:lang w:val="es-ES"/>
        </w:rPr>
      </w:pPr>
    </w:p>
    <w:p w14:paraId="370CB9C3" w14:textId="77777777" w:rsidR="008403BD" w:rsidRPr="00D030B4" w:rsidRDefault="007D49D9" w:rsidP="00D030B4">
      <w:pPr>
        <w:pStyle w:val="Prrafodelista"/>
        <w:numPr>
          <w:ilvl w:val="0"/>
          <w:numId w:val="13"/>
        </w:numPr>
        <w:spacing w:after="160" w:line="360" w:lineRule="auto"/>
        <w:ind w:left="425" w:hanging="357"/>
        <w:jc w:val="both"/>
        <w:rPr>
          <w:rFonts w:ascii="Arial" w:hAnsi="Arial" w:cs="Arial"/>
          <w:sz w:val="24"/>
          <w:szCs w:val="24"/>
          <w:lang w:val="es-ES"/>
        </w:rPr>
      </w:pPr>
      <w:r w:rsidRPr="00D030B4">
        <w:rPr>
          <w:rFonts w:ascii="Arial" w:hAnsi="Arial" w:cs="Arial"/>
          <w:sz w:val="24"/>
          <w:szCs w:val="24"/>
          <w:lang w:val="es-ES"/>
        </w:rPr>
        <w:t>Los coeficientes genéticos del cultivar de tomate Elbita en el modelo CROPGRO-Tomat</w:t>
      </w:r>
      <w:r w:rsidR="004520ED" w:rsidRPr="00D030B4">
        <w:rPr>
          <w:rFonts w:ascii="Arial" w:hAnsi="Arial" w:cs="Arial"/>
          <w:sz w:val="24"/>
          <w:szCs w:val="24"/>
          <w:lang w:val="es-ES"/>
        </w:rPr>
        <w:t>o</w:t>
      </w:r>
      <w:r w:rsidRPr="00D030B4">
        <w:rPr>
          <w:rFonts w:ascii="Arial" w:hAnsi="Arial" w:cs="Arial"/>
          <w:sz w:val="24"/>
          <w:szCs w:val="24"/>
          <w:lang w:val="es-ES"/>
        </w:rPr>
        <w:t xml:space="preserve"> son los siguientes: 23</w:t>
      </w:r>
      <w:r w:rsidR="00C953AA" w:rsidRPr="00D030B4">
        <w:rPr>
          <w:rFonts w:ascii="Arial" w:hAnsi="Arial" w:cs="Arial"/>
          <w:sz w:val="24"/>
          <w:szCs w:val="24"/>
          <w:lang w:val="es-ES"/>
        </w:rPr>
        <w:t>, 2,2, 21, 45, 1,36, 300, 0,78, 27, 50, y 8,</w:t>
      </w:r>
      <w:r w:rsidRPr="00D030B4">
        <w:rPr>
          <w:rFonts w:ascii="Arial" w:hAnsi="Arial" w:cs="Arial"/>
          <w:sz w:val="24"/>
          <w:szCs w:val="24"/>
          <w:lang w:val="es-ES"/>
        </w:rPr>
        <w:t>50 para EM-FL, FL-SH, FL-SD, SD-PM, LFMAX, SLAVR, XFRT, SFDUR, PODUR, y THRSH, respectivamente.</w:t>
      </w:r>
    </w:p>
    <w:p w14:paraId="7E3F4162" w14:textId="77777777" w:rsidR="008403BD" w:rsidRPr="00D030B4" w:rsidRDefault="008403BD">
      <w:pPr>
        <w:pStyle w:val="Prrafodelista"/>
        <w:spacing w:after="160" w:line="259" w:lineRule="auto"/>
        <w:ind w:left="426"/>
        <w:jc w:val="both"/>
        <w:rPr>
          <w:rFonts w:ascii="Arial" w:hAnsi="Arial" w:cs="Arial"/>
          <w:sz w:val="24"/>
          <w:szCs w:val="24"/>
          <w:lang w:val="es-ES"/>
        </w:rPr>
      </w:pPr>
    </w:p>
    <w:p w14:paraId="5BBC3ABF" w14:textId="77777777" w:rsidR="008403BD" w:rsidRPr="00D030B4" w:rsidRDefault="007D49D9" w:rsidP="00D030B4">
      <w:pPr>
        <w:pStyle w:val="Prrafodelista"/>
        <w:numPr>
          <w:ilvl w:val="0"/>
          <w:numId w:val="13"/>
        </w:numPr>
        <w:spacing w:before="120" w:after="0" w:line="360" w:lineRule="auto"/>
        <w:ind w:left="425" w:hanging="357"/>
        <w:jc w:val="both"/>
        <w:rPr>
          <w:rFonts w:ascii="Arial" w:hAnsi="Arial" w:cs="Arial"/>
          <w:sz w:val="24"/>
          <w:szCs w:val="24"/>
          <w:lang w:val="es-ES"/>
        </w:rPr>
      </w:pPr>
      <w:r w:rsidRPr="00D030B4">
        <w:rPr>
          <w:rFonts w:ascii="Arial" w:hAnsi="Arial" w:cs="Arial"/>
          <w:sz w:val="24"/>
          <w:szCs w:val="24"/>
          <w:lang w:val="es-ES"/>
        </w:rPr>
        <w:t>La duración del ciclo del cultivo varía en función del periodo de siembra, debido a la influencia negativa de las altas temperaturas sobre la fructificación y fases fenológicas en</w:t>
      </w:r>
      <w:r w:rsidR="00177EA6" w:rsidRPr="00D030B4">
        <w:rPr>
          <w:rFonts w:ascii="Arial" w:hAnsi="Arial" w:cs="Arial"/>
          <w:sz w:val="24"/>
          <w:szCs w:val="24"/>
          <w:lang w:val="es-ES"/>
        </w:rPr>
        <w:t xml:space="preserve"> el cultivo del</w:t>
      </w:r>
      <w:r w:rsidRPr="00D030B4">
        <w:rPr>
          <w:rFonts w:ascii="Arial" w:hAnsi="Arial" w:cs="Arial"/>
          <w:sz w:val="24"/>
          <w:szCs w:val="24"/>
          <w:lang w:val="es-ES"/>
        </w:rPr>
        <w:t xml:space="preserve"> tomate.</w:t>
      </w:r>
    </w:p>
    <w:p w14:paraId="5F268BD3" w14:textId="77777777" w:rsidR="008403BD" w:rsidRPr="00D030B4" w:rsidRDefault="008403BD">
      <w:pPr>
        <w:pStyle w:val="Prrafodelista"/>
        <w:rPr>
          <w:rFonts w:ascii="Arial" w:hAnsi="Arial" w:cs="Arial"/>
          <w:sz w:val="24"/>
          <w:szCs w:val="24"/>
          <w:lang w:val="es-ES"/>
        </w:rPr>
      </w:pPr>
    </w:p>
    <w:p w14:paraId="64CF00B5" w14:textId="77777777" w:rsidR="008403BD" w:rsidRPr="00D030B4" w:rsidRDefault="007D49D9">
      <w:pPr>
        <w:pStyle w:val="Prrafodelista"/>
        <w:numPr>
          <w:ilvl w:val="0"/>
          <w:numId w:val="13"/>
        </w:numPr>
        <w:spacing w:before="120" w:after="0" w:line="360" w:lineRule="auto"/>
        <w:ind w:left="426"/>
        <w:jc w:val="both"/>
        <w:rPr>
          <w:rFonts w:ascii="Arial" w:hAnsi="Arial" w:cs="Arial"/>
          <w:sz w:val="24"/>
          <w:szCs w:val="24"/>
          <w:lang w:val="es-ES"/>
        </w:rPr>
      </w:pPr>
      <w:r w:rsidRPr="00D030B4">
        <w:rPr>
          <w:rFonts w:ascii="Arial" w:hAnsi="Arial" w:cs="Arial"/>
          <w:sz w:val="24"/>
          <w:szCs w:val="24"/>
          <w:lang w:val="es-ES"/>
        </w:rPr>
        <w:t>Durante la evaluación del modelo se estableció que la predicción fue estadísticamente entre adecuada y excelente para las var</w:t>
      </w:r>
      <w:r w:rsidR="005004E3" w:rsidRPr="00D030B4">
        <w:rPr>
          <w:rFonts w:ascii="Arial" w:hAnsi="Arial" w:cs="Arial"/>
          <w:sz w:val="24"/>
          <w:szCs w:val="24"/>
          <w:lang w:val="es-ES"/>
        </w:rPr>
        <w:t>iables. El modelo CROPGRO-Tomato</w:t>
      </w:r>
      <w:r w:rsidRPr="00D030B4">
        <w:rPr>
          <w:rFonts w:ascii="Arial" w:hAnsi="Arial" w:cs="Arial"/>
          <w:sz w:val="24"/>
          <w:szCs w:val="24"/>
          <w:lang w:val="es-ES"/>
        </w:rPr>
        <w:t xml:space="preserve"> funcionó bien al simular los indicadores días a la antesis y a la maduración y rendimiento del cultivar Elbita, no así para los indicadores de cre</w:t>
      </w:r>
      <w:r w:rsidR="0011294A" w:rsidRPr="00D030B4">
        <w:rPr>
          <w:rFonts w:ascii="Arial" w:hAnsi="Arial" w:cs="Arial"/>
          <w:sz w:val="24"/>
          <w:szCs w:val="24"/>
          <w:lang w:val="es-ES"/>
        </w:rPr>
        <w:t>cimiento, el número de frutos</w:t>
      </w:r>
      <w:r w:rsidRPr="00D030B4">
        <w:rPr>
          <w:rFonts w:ascii="Arial" w:hAnsi="Arial" w:cs="Arial"/>
          <w:sz w:val="24"/>
          <w:szCs w:val="24"/>
          <w:lang w:val="es-ES"/>
        </w:rPr>
        <w:t xml:space="preserve"> y el índice de área foliar.</w:t>
      </w:r>
    </w:p>
    <w:p w14:paraId="745AFE89" w14:textId="77777777" w:rsidR="008403BD" w:rsidRDefault="008403BD">
      <w:pPr>
        <w:rPr>
          <w:lang w:val="es-ES"/>
        </w:rPr>
      </w:pPr>
    </w:p>
    <w:p w14:paraId="61E3C55A" w14:textId="77777777" w:rsidR="008403BD" w:rsidRDefault="007D49D9">
      <w:pPr>
        <w:spacing w:after="160" w:line="259" w:lineRule="auto"/>
        <w:rPr>
          <w:rFonts w:ascii="Arial" w:hAnsi="Arial"/>
          <w:b/>
          <w:sz w:val="32"/>
          <w:szCs w:val="40"/>
          <w:lang w:val="es-ES"/>
        </w:rPr>
      </w:pPr>
      <w:r>
        <w:rPr>
          <w:lang w:val="es-ES"/>
        </w:rPr>
        <w:br w:type="page"/>
      </w:r>
    </w:p>
    <w:p w14:paraId="7A170A00" w14:textId="77777777" w:rsidR="008403BD" w:rsidRDefault="007D49D9">
      <w:pPr>
        <w:pStyle w:val="Ttulo1"/>
        <w:rPr>
          <w:lang w:val="es-ES"/>
        </w:rPr>
      </w:pPr>
      <w:bookmarkStart w:id="26" w:name="_Toc195014963"/>
      <w:r>
        <w:rPr>
          <w:lang w:val="es-ES"/>
        </w:rPr>
        <w:lastRenderedPageBreak/>
        <w:t>RECOMENDACIONES</w:t>
      </w:r>
      <w:bookmarkEnd w:id="26"/>
    </w:p>
    <w:p w14:paraId="60E788F3" w14:textId="77777777" w:rsidR="008403BD" w:rsidRDefault="008403BD">
      <w:pPr>
        <w:rPr>
          <w:lang w:val="es-ES"/>
        </w:rPr>
      </w:pPr>
    </w:p>
    <w:p w14:paraId="2D7DC24C" w14:textId="77777777" w:rsidR="008403BD" w:rsidRDefault="007D49D9">
      <w:pPr>
        <w:spacing w:line="360" w:lineRule="auto"/>
        <w:jc w:val="both"/>
        <w:rPr>
          <w:rFonts w:ascii="Arial" w:hAnsi="Arial" w:cs="Arial"/>
          <w:sz w:val="24"/>
          <w:szCs w:val="24"/>
          <w:lang w:val="es-ES"/>
        </w:rPr>
      </w:pPr>
      <w:r>
        <w:rPr>
          <w:rFonts w:ascii="Arial" w:hAnsi="Arial" w:cs="Arial"/>
          <w:sz w:val="24"/>
          <w:szCs w:val="24"/>
          <w:lang w:val="es-ES"/>
        </w:rPr>
        <w:t xml:space="preserve">1.Calibrar el modelo CROPGRO-Tomato de DSSAT en otras localidades del país para enriquecer la base de datos del cultivar. </w:t>
      </w:r>
    </w:p>
    <w:p w14:paraId="4C93A64A" w14:textId="77777777" w:rsidR="008403BD" w:rsidRDefault="007D49D9">
      <w:pPr>
        <w:spacing w:line="360" w:lineRule="auto"/>
        <w:jc w:val="both"/>
        <w:rPr>
          <w:rFonts w:ascii="Arial" w:hAnsi="Arial" w:cs="Arial"/>
          <w:sz w:val="24"/>
          <w:szCs w:val="24"/>
          <w:lang w:val="es-ES"/>
        </w:rPr>
      </w:pPr>
      <w:r>
        <w:rPr>
          <w:rFonts w:ascii="Arial" w:hAnsi="Arial" w:cs="Arial"/>
          <w:sz w:val="24"/>
          <w:szCs w:val="24"/>
          <w:lang w:val="es-ES"/>
        </w:rPr>
        <w:t xml:space="preserve">2. Obtener los coeficientes genéticos de otros cultivares de tomate para estudiar tendencias del cultivo en Cuba. </w:t>
      </w:r>
    </w:p>
    <w:p w14:paraId="575F4610" w14:textId="77777777" w:rsidR="008403BD" w:rsidRDefault="007D49D9">
      <w:pPr>
        <w:spacing w:line="360" w:lineRule="auto"/>
        <w:jc w:val="both"/>
        <w:rPr>
          <w:rFonts w:ascii="Arial" w:hAnsi="Arial" w:cs="Arial"/>
          <w:sz w:val="24"/>
          <w:szCs w:val="24"/>
          <w:lang w:val="es-ES"/>
        </w:rPr>
      </w:pPr>
      <w:r>
        <w:rPr>
          <w:rFonts w:ascii="Arial" w:hAnsi="Arial" w:cs="Arial"/>
          <w:sz w:val="24"/>
          <w:szCs w:val="24"/>
          <w:lang w:val="es-ES"/>
        </w:rPr>
        <w:t>3. Modelar el comportamiento del cultivo, teniendo en cuenta el impacto que las variables meteorológicas y la fertilización puedan ejercer según diferentes proyecciones a futuro.</w:t>
      </w:r>
    </w:p>
    <w:p w14:paraId="7D0FC434" w14:textId="77777777" w:rsidR="008403BD" w:rsidRDefault="008403BD">
      <w:pPr>
        <w:rPr>
          <w:lang w:val="es-ES"/>
        </w:rPr>
      </w:pPr>
    </w:p>
    <w:p w14:paraId="60E6EA69" w14:textId="77777777" w:rsidR="008403BD" w:rsidRDefault="008403BD">
      <w:pPr>
        <w:rPr>
          <w:lang w:val="es-ES"/>
        </w:rPr>
      </w:pPr>
    </w:p>
    <w:p w14:paraId="15BBB12A" w14:textId="77777777" w:rsidR="008403BD" w:rsidRDefault="008403BD">
      <w:pPr>
        <w:rPr>
          <w:lang w:val="es-ES"/>
        </w:rPr>
      </w:pPr>
    </w:p>
    <w:p w14:paraId="5C8844C4" w14:textId="77777777" w:rsidR="008403BD" w:rsidRDefault="008403BD">
      <w:pPr>
        <w:rPr>
          <w:lang w:val="es-ES"/>
        </w:rPr>
      </w:pPr>
    </w:p>
    <w:p w14:paraId="72C2E8FE" w14:textId="77777777" w:rsidR="008403BD" w:rsidRDefault="007D49D9">
      <w:pPr>
        <w:spacing w:after="160" w:line="259" w:lineRule="auto"/>
        <w:rPr>
          <w:rFonts w:ascii="Arial" w:hAnsi="Arial"/>
          <w:b/>
          <w:sz w:val="32"/>
          <w:szCs w:val="40"/>
          <w:lang w:val="es-ES_tradnl"/>
        </w:rPr>
      </w:pPr>
      <w:r>
        <w:rPr>
          <w:lang w:val="es-ES_tradnl"/>
        </w:rPr>
        <w:br w:type="page"/>
      </w:r>
    </w:p>
    <w:p w14:paraId="3A7157A7" w14:textId="4AEE587A" w:rsidR="008403BD" w:rsidRDefault="007D49D9">
      <w:pPr>
        <w:pStyle w:val="Ttulo1"/>
      </w:pPr>
      <w:bookmarkStart w:id="27" w:name="_Toc179811157"/>
      <w:bookmarkStart w:id="28" w:name="_Toc195014964"/>
      <w:r>
        <w:lastRenderedPageBreak/>
        <w:t>REFERENCIAS BIBLIOGRÁFICAS</w:t>
      </w:r>
      <w:bookmarkEnd w:id="27"/>
      <w:bookmarkEnd w:id="28"/>
      <w:r>
        <w:t xml:space="preserve"> </w:t>
      </w:r>
    </w:p>
    <w:p w14:paraId="34C517C3" w14:textId="77777777" w:rsidR="009A62D9" w:rsidRPr="009A62D9" w:rsidRDefault="009A62D9" w:rsidP="009A62D9"/>
    <w:p w14:paraId="225A57D4" w14:textId="77777777" w:rsidR="006A45D2" w:rsidRPr="000B3E1F" w:rsidRDefault="007D49D9" w:rsidP="000B3E1F">
      <w:pPr>
        <w:pStyle w:val="Bibliografa"/>
        <w:spacing w:line="360" w:lineRule="auto"/>
        <w:jc w:val="both"/>
        <w:rPr>
          <w:rFonts w:ascii="Arial" w:hAnsi="Arial" w:cs="Arial"/>
          <w:sz w:val="24"/>
          <w:szCs w:val="24"/>
        </w:rPr>
      </w:pPr>
      <w:r w:rsidRPr="000B3E1F">
        <w:rPr>
          <w:rFonts w:ascii="Arial" w:hAnsi="Arial" w:cs="Arial"/>
          <w:sz w:val="24"/>
          <w:szCs w:val="24"/>
          <w:lang w:val="es-ES_tradnl"/>
        </w:rPr>
        <w:fldChar w:fldCharType="begin"/>
      </w:r>
      <w:r w:rsidR="00E15CA3" w:rsidRPr="000B3E1F">
        <w:rPr>
          <w:rFonts w:ascii="Arial" w:hAnsi="Arial" w:cs="Arial"/>
          <w:sz w:val="24"/>
          <w:szCs w:val="24"/>
        </w:rPr>
        <w:instrText xml:space="preserve"> ADDIN ZOTERO_BIBL {"uncited":[],"omitted":[],"custom":[]} CSL_BIBLIOGRAPHY </w:instrText>
      </w:r>
      <w:r w:rsidRPr="000B3E1F">
        <w:rPr>
          <w:rFonts w:ascii="Arial" w:hAnsi="Arial" w:cs="Arial"/>
          <w:sz w:val="24"/>
          <w:szCs w:val="24"/>
          <w:lang w:val="es-ES_tradnl"/>
        </w:rPr>
        <w:fldChar w:fldCharType="separate"/>
      </w:r>
      <w:r w:rsidR="006A45D2" w:rsidRPr="000B3E1F">
        <w:rPr>
          <w:rFonts w:ascii="Arial" w:hAnsi="Arial" w:cs="Arial"/>
          <w:sz w:val="24"/>
          <w:szCs w:val="24"/>
        </w:rPr>
        <w:t xml:space="preserve">Abayechaw, D. (2021). Review on Decision Support System for Agrotechnology Transfer (DSSAT) Model. </w:t>
      </w:r>
      <w:r w:rsidR="006A45D2" w:rsidRPr="000B3E1F">
        <w:rPr>
          <w:rFonts w:ascii="Arial" w:hAnsi="Arial" w:cs="Arial"/>
          <w:i/>
          <w:iCs/>
          <w:sz w:val="24"/>
          <w:szCs w:val="24"/>
        </w:rPr>
        <w:t>International Journal of Intelligent Information Systems</w:t>
      </w:r>
      <w:r w:rsidR="006A45D2" w:rsidRPr="000B3E1F">
        <w:rPr>
          <w:rFonts w:ascii="Arial" w:hAnsi="Arial" w:cs="Arial"/>
          <w:sz w:val="24"/>
          <w:szCs w:val="24"/>
        </w:rPr>
        <w:t xml:space="preserve">, </w:t>
      </w:r>
      <w:r w:rsidR="006A45D2" w:rsidRPr="000B3E1F">
        <w:rPr>
          <w:rFonts w:ascii="Arial" w:hAnsi="Arial" w:cs="Arial"/>
          <w:i/>
          <w:iCs/>
          <w:sz w:val="24"/>
          <w:szCs w:val="24"/>
        </w:rPr>
        <w:t>10</w:t>
      </w:r>
      <w:r w:rsidR="006A45D2" w:rsidRPr="000B3E1F">
        <w:rPr>
          <w:rFonts w:ascii="Arial" w:hAnsi="Arial" w:cs="Arial"/>
          <w:sz w:val="24"/>
          <w:szCs w:val="24"/>
        </w:rPr>
        <w:t>(6), 117. https://doi.org/10.11648/j.ijiis.20211006.13</w:t>
      </w:r>
    </w:p>
    <w:p w14:paraId="7EE81297"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Abdel, A. M., Picuno, P., Al, I., Alsadon, A., Ibrahim, A., &amp; Shady, M. (2015). Radiometric Characterization, Solar and Thermal Radiation in a Greenhouse as Affected by Shading Configuration in an Arid Climate. </w:t>
      </w:r>
      <w:r w:rsidRPr="000B3E1F">
        <w:rPr>
          <w:rFonts w:ascii="Arial" w:hAnsi="Arial" w:cs="Arial"/>
          <w:i/>
          <w:iCs/>
          <w:sz w:val="24"/>
          <w:szCs w:val="24"/>
          <w:lang w:val="es-ES"/>
        </w:rPr>
        <w:t>Energies</w:t>
      </w:r>
      <w:r w:rsidRPr="000B3E1F">
        <w:rPr>
          <w:rFonts w:ascii="Arial" w:hAnsi="Arial" w:cs="Arial"/>
          <w:sz w:val="24"/>
          <w:szCs w:val="24"/>
          <w:lang w:val="es-ES"/>
        </w:rPr>
        <w:t xml:space="preserve">, </w:t>
      </w:r>
      <w:r w:rsidRPr="000B3E1F">
        <w:rPr>
          <w:rFonts w:ascii="Arial" w:hAnsi="Arial" w:cs="Arial"/>
          <w:i/>
          <w:iCs/>
          <w:sz w:val="24"/>
          <w:szCs w:val="24"/>
          <w:lang w:val="es-ES"/>
        </w:rPr>
        <w:t>8</w:t>
      </w:r>
      <w:r w:rsidRPr="000B3E1F">
        <w:rPr>
          <w:rFonts w:ascii="Arial" w:hAnsi="Arial" w:cs="Arial"/>
          <w:sz w:val="24"/>
          <w:szCs w:val="24"/>
          <w:lang w:val="es-ES"/>
        </w:rPr>
        <w:t>(12), Article 12. https://doi.org/10.3390/en81212404</w:t>
      </w:r>
    </w:p>
    <w:p w14:paraId="281E1C00"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Abreu, P., Meneses, J. F., &amp; Gary, C. (2000). </w:t>
      </w:r>
      <w:r w:rsidRPr="000B3E1F">
        <w:rPr>
          <w:rFonts w:ascii="Arial" w:hAnsi="Arial" w:cs="Arial"/>
          <w:sz w:val="24"/>
          <w:szCs w:val="24"/>
        </w:rPr>
        <w:t xml:space="preserve">TOMPOUSSE, A MODEL OF YIELD PREDICTION FOR TOMATO CROPS: CALIBRATION STUDY FOR UNHEATED PLASTIC GREENHOUSES. </w:t>
      </w:r>
      <w:r w:rsidRPr="000B3E1F">
        <w:rPr>
          <w:rFonts w:ascii="Arial" w:hAnsi="Arial" w:cs="Arial"/>
          <w:i/>
          <w:iCs/>
          <w:sz w:val="24"/>
          <w:szCs w:val="24"/>
          <w:lang w:val="es-ES"/>
        </w:rPr>
        <w:t>Acta Horticulturae</w:t>
      </w:r>
      <w:r w:rsidRPr="000B3E1F">
        <w:rPr>
          <w:rFonts w:ascii="Arial" w:hAnsi="Arial" w:cs="Arial"/>
          <w:sz w:val="24"/>
          <w:szCs w:val="24"/>
          <w:lang w:val="es-ES"/>
        </w:rPr>
        <w:t xml:space="preserve">, </w:t>
      </w:r>
      <w:r w:rsidRPr="000B3E1F">
        <w:rPr>
          <w:rFonts w:ascii="Arial" w:hAnsi="Arial" w:cs="Arial"/>
          <w:i/>
          <w:iCs/>
          <w:sz w:val="24"/>
          <w:szCs w:val="24"/>
          <w:lang w:val="es-ES"/>
        </w:rPr>
        <w:t>519</w:t>
      </w:r>
      <w:r w:rsidRPr="000B3E1F">
        <w:rPr>
          <w:rFonts w:ascii="Arial" w:hAnsi="Arial" w:cs="Arial"/>
          <w:sz w:val="24"/>
          <w:szCs w:val="24"/>
          <w:lang w:val="es-ES"/>
        </w:rPr>
        <w:t>, 141–150. https://doi.org/10.17660/ActaHortic.2000.519.14</w:t>
      </w:r>
    </w:p>
    <w:p w14:paraId="2624EA44"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i/>
          <w:iCs/>
          <w:sz w:val="24"/>
          <w:szCs w:val="24"/>
          <w:lang w:val="es-ES"/>
        </w:rPr>
        <w:t>Agroinformación—El cultivo del tomate. 1</w:t>
      </w:r>
      <w:r w:rsidRPr="000B3E1F">
        <w:rPr>
          <w:rFonts w:ascii="Arial" w:hAnsi="Arial" w:cs="Arial"/>
          <w:i/>
          <w:iCs/>
          <w:sz w:val="24"/>
          <w:szCs w:val="24"/>
          <w:vertAlign w:val="superscript"/>
          <w:lang w:val="es-ES"/>
        </w:rPr>
        <w:t>a</w:t>
      </w:r>
      <w:r w:rsidRPr="000B3E1F">
        <w:rPr>
          <w:rFonts w:ascii="Arial" w:hAnsi="Arial" w:cs="Arial"/>
          <w:i/>
          <w:iCs/>
          <w:sz w:val="24"/>
          <w:szCs w:val="24"/>
          <w:lang w:val="es-ES"/>
        </w:rPr>
        <w:t xml:space="preserve"> parte.</w:t>
      </w:r>
      <w:r w:rsidRPr="000B3E1F">
        <w:rPr>
          <w:rFonts w:ascii="Arial" w:hAnsi="Arial" w:cs="Arial"/>
          <w:sz w:val="24"/>
          <w:szCs w:val="24"/>
          <w:lang w:val="es-ES"/>
        </w:rPr>
        <w:t xml:space="preserve"> (2025). https://www.infoagro.com/hortalizas/tomate.htm</w:t>
      </w:r>
    </w:p>
    <w:p w14:paraId="713C0A5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Alghamdi, A. G., Aly, A. A., Alomran, A., Alkhasha, A., &amp; Alharbi, A. (2024). Water conservation in tomato production using deficit irrigation and SALTMED model under greenhouse conditions. </w:t>
      </w:r>
      <w:r w:rsidRPr="000B3E1F">
        <w:rPr>
          <w:rFonts w:ascii="Arial" w:hAnsi="Arial" w:cs="Arial"/>
          <w:i/>
          <w:iCs/>
          <w:sz w:val="24"/>
          <w:szCs w:val="24"/>
        </w:rPr>
        <w:t>Scientific African</w:t>
      </w:r>
      <w:r w:rsidRPr="000B3E1F">
        <w:rPr>
          <w:rFonts w:ascii="Arial" w:hAnsi="Arial" w:cs="Arial"/>
          <w:sz w:val="24"/>
          <w:szCs w:val="24"/>
        </w:rPr>
        <w:t xml:space="preserve">, </w:t>
      </w:r>
      <w:r w:rsidRPr="000B3E1F">
        <w:rPr>
          <w:rFonts w:ascii="Arial" w:hAnsi="Arial" w:cs="Arial"/>
          <w:i/>
          <w:iCs/>
          <w:sz w:val="24"/>
          <w:szCs w:val="24"/>
        </w:rPr>
        <w:t>24</w:t>
      </w:r>
      <w:r w:rsidRPr="000B3E1F">
        <w:rPr>
          <w:rFonts w:ascii="Arial" w:hAnsi="Arial" w:cs="Arial"/>
          <w:sz w:val="24"/>
          <w:szCs w:val="24"/>
        </w:rPr>
        <w:t>, e02185. https://doi.org/10.1016/j.sciaf.2024.e02185</w:t>
      </w:r>
    </w:p>
    <w:p w14:paraId="2766A5EC"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Alsamir, M., Mahmood, T., Trethowan, R., &amp; Ahmad, N. (2021). An overview of heat stress in tomato (</w:t>
      </w:r>
      <w:r w:rsidRPr="000B3E1F">
        <w:rPr>
          <w:rFonts w:ascii="Arial" w:hAnsi="Arial" w:cs="Arial"/>
          <w:i/>
          <w:iCs/>
          <w:sz w:val="24"/>
          <w:szCs w:val="24"/>
        </w:rPr>
        <w:t>Solanum lycopersicum</w:t>
      </w:r>
      <w:r w:rsidRPr="000B3E1F">
        <w:rPr>
          <w:rFonts w:ascii="Arial" w:hAnsi="Arial" w:cs="Arial"/>
          <w:sz w:val="24"/>
          <w:szCs w:val="24"/>
        </w:rPr>
        <w:t xml:space="preserve"> L.). </w:t>
      </w:r>
      <w:r w:rsidRPr="000B3E1F">
        <w:rPr>
          <w:rFonts w:ascii="Arial" w:hAnsi="Arial" w:cs="Arial"/>
          <w:i/>
          <w:iCs/>
          <w:sz w:val="24"/>
          <w:szCs w:val="24"/>
        </w:rPr>
        <w:t>Saudi Journal of Biological Sciences</w:t>
      </w:r>
      <w:r w:rsidRPr="000B3E1F">
        <w:rPr>
          <w:rFonts w:ascii="Arial" w:hAnsi="Arial" w:cs="Arial"/>
          <w:sz w:val="24"/>
          <w:szCs w:val="24"/>
        </w:rPr>
        <w:t xml:space="preserve">, </w:t>
      </w:r>
      <w:r w:rsidRPr="000B3E1F">
        <w:rPr>
          <w:rFonts w:ascii="Arial" w:hAnsi="Arial" w:cs="Arial"/>
          <w:i/>
          <w:iCs/>
          <w:sz w:val="24"/>
          <w:szCs w:val="24"/>
        </w:rPr>
        <w:t>28</w:t>
      </w:r>
      <w:r w:rsidRPr="000B3E1F">
        <w:rPr>
          <w:rFonts w:ascii="Arial" w:hAnsi="Arial" w:cs="Arial"/>
          <w:sz w:val="24"/>
          <w:szCs w:val="24"/>
        </w:rPr>
        <w:t>(3), 1654–1663. https://doi.org/10.1016/j.sjbs.2020.11.088</w:t>
      </w:r>
    </w:p>
    <w:p w14:paraId="27F8064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Álvarez, M., Martínez-Zubiaur, Y., Carabeo, J. A., Florido-Bacallao, M., &amp; Dueñas-Hurtado, F. (2018). </w:t>
      </w:r>
      <w:r w:rsidRPr="000B3E1F">
        <w:rPr>
          <w:rFonts w:ascii="Arial" w:hAnsi="Arial" w:cs="Arial"/>
          <w:i/>
          <w:iCs/>
          <w:sz w:val="24"/>
          <w:szCs w:val="24"/>
        </w:rPr>
        <w:t>“Elbita”: Begomovirus resistant tomato variety for tropical conditions.</w:t>
      </w:r>
      <w:r w:rsidRPr="000B3E1F">
        <w:rPr>
          <w:rFonts w:ascii="Arial" w:hAnsi="Arial" w:cs="Arial"/>
          <w:sz w:val="24"/>
          <w:szCs w:val="24"/>
        </w:rPr>
        <w:t xml:space="preserve"> https://www.cabidigitallibrary.org/doi/full/10.5555/20193031714</w:t>
      </w:r>
    </w:p>
    <w:p w14:paraId="7114DC4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Amat, J. (2021). </w:t>
      </w:r>
      <w:r w:rsidRPr="000B3E1F">
        <w:rPr>
          <w:rFonts w:ascii="Arial" w:hAnsi="Arial" w:cs="Arial"/>
          <w:i/>
          <w:iCs/>
          <w:sz w:val="24"/>
          <w:szCs w:val="24"/>
        </w:rPr>
        <w:t>Calibrar modelos de machine learning</w:t>
      </w:r>
      <w:r w:rsidRPr="000B3E1F">
        <w:rPr>
          <w:rFonts w:ascii="Arial" w:hAnsi="Arial" w:cs="Arial"/>
          <w:sz w:val="24"/>
          <w:szCs w:val="24"/>
        </w:rPr>
        <w:t>. https://doi.org/10.5281/ZENODO.10006330</w:t>
      </w:r>
    </w:p>
    <w:p w14:paraId="48547D5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lastRenderedPageBreak/>
        <w:t xml:space="preserve">Amuji, C. F., Beaumont, L. J., &amp; Rodriguez, M. E. (2020). Simulating the impact of projected West African heatwaves and water stress on the physiology and yield of three tomato varieties. </w:t>
      </w:r>
      <w:r w:rsidRPr="000B3E1F">
        <w:rPr>
          <w:rFonts w:ascii="Arial" w:hAnsi="Arial" w:cs="Arial"/>
          <w:i/>
          <w:iCs/>
          <w:sz w:val="24"/>
          <w:szCs w:val="24"/>
        </w:rPr>
        <w:t>Advances in Horticultural Science</w:t>
      </w:r>
      <w:r w:rsidRPr="000B3E1F">
        <w:rPr>
          <w:rFonts w:ascii="Arial" w:hAnsi="Arial" w:cs="Arial"/>
          <w:sz w:val="24"/>
          <w:szCs w:val="24"/>
        </w:rPr>
        <w:t xml:space="preserve">, </w:t>
      </w:r>
      <w:r w:rsidRPr="000B3E1F">
        <w:rPr>
          <w:rFonts w:ascii="Arial" w:hAnsi="Arial" w:cs="Arial"/>
          <w:i/>
          <w:iCs/>
          <w:sz w:val="24"/>
          <w:szCs w:val="24"/>
        </w:rPr>
        <w:t>34</w:t>
      </w:r>
      <w:r w:rsidRPr="000B3E1F">
        <w:rPr>
          <w:rFonts w:ascii="Arial" w:hAnsi="Arial" w:cs="Arial"/>
          <w:sz w:val="24"/>
          <w:szCs w:val="24"/>
        </w:rPr>
        <w:t>(2), 147–156. https://www.jstor.org/stable/26996779</w:t>
      </w:r>
    </w:p>
    <w:p w14:paraId="6C5A61AD"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Ara, I., Turner, L., Harrison, M. T., Monjardino, M., deVoil, P., &amp; Rodriguez, D. (2021). Application, adoption and opportunities for improving decision support systems in irrigated agriculture: A review.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257</w:t>
      </w:r>
      <w:r w:rsidRPr="000B3E1F">
        <w:rPr>
          <w:rFonts w:ascii="Arial" w:hAnsi="Arial" w:cs="Arial"/>
          <w:sz w:val="24"/>
          <w:szCs w:val="24"/>
        </w:rPr>
        <w:t>, 107161. https://doi.org/10.1016/j.agwat.2021.107161</w:t>
      </w:r>
    </w:p>
    <w:p w14:paraId="6262249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Ayankojo, I. T., &amp; Morgan, K. T. (2020). Increasing Air Temperatures and Its Effects on Growth and Productivity of Tomato in South Florida. </w:t>
      </w:r>
      <w:r w:rsidRPr="000B3E1F">
        <w:rPr>
          <w:rFonts w:ascii="Arial" w:hAnsi="Arial" w:cs="Arial"/>
          <w:i/>
          <w:iCs/>
          <w:sz w:val="24"/>
          <w:szCs w:val="24"/>
        </w:rPr>
        <w:t>Plants</w:t>
      </w:r>
      <w:r w:rsidRPr="000B3E1F">
        <w:rPr>
          <w:rFonts w:ascii="Arial" w:hAnsi="Arial" w:cs="Arial"/>
          <w:sz w:val="24"/>
          <w:szCs w:val="24"/>
        </w:rPr>
        <w:t xml:space="preserve">, </w:t>
      </w:r>
      <w:r w:rsidRPr="000B3E1F">
        <w:rPr>
          <w:rFonts w:ascii="Arial" w:hAnsi="Arial" w:cs="Arial"/>
          <w:i/>
          <w:iCs/>
          <w:sz w:val="24"/>
          <w:szCs w:val="24"/>
        </w:rPr>
        <w:t>9</w:t>
      </w:r>
      <w:r w:rsidRPr="000B3E1F">
        <w:rPr>
          <w:rFonts w:ascii="Arial" w:hAnsi="Arial" w:cs="Arial"/>
          <w:sz w:val="24"/>
          <w:szCs w:val="24"/>
        </w:rPr>
        <w:t>(9), 1245. https://doi.org/10.3390/plants9091245</w:t>
      </w:r>
    </w:p>
    <w:p w14:paraId="6A222FFC"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Bayomi, K., Abdel-Baset, A., &amp; Nassar, S. (2020). Performance of some tomato genotypes under greenhouse conditions. </w:t>
      </w:r>
      <w:r w:rsidRPr="000B3E1F">
        <w:rPr>
          <w:rFonts w:ascii="Arial" w:hAnsi="Arial" w:cs="Arial"/>
          <w:i/>
          <w:iCs/>
          <w:sz w:val="24"/>
          <w:szCs w:val="24"/>
        </w:rPr>
        <w:t>Egyptian Journal of Desert Research</w:t>
      </w:r>
      <w:r w:rsidRPr="000B3E1F">
        <w:rPr>
          <w:rFonts w:ascii="Arial" w:hAnsi="Arial" w:cs="Arial"/>
          <w:sz w:val="24"/>
          <w:szCs w:val="24"/>
        </w:rPr>
        <w:t xml:space="preserve">, </w:t>
      </w:r>
      <w:r w:rsidRPr="000B3E1F">
        <w:rPr>
          <w:rFonts w:ascii="Arial" w:hAnsi="Arial" w:cs="Arial"/>
          <w:i/>
          <w:iCs/>
          <w:sz w:val="24"/>
          <w:szCs w:val="24"/>
        </w:rPr>
        <w:t>70</w:t>
      </w:r>
      <w:r w:rsidRPr="000B3E1F">
        <w:rPr>
          <w:rFonts w:ascii="Arial" w:hAnsi="Arial" w:cs="Arial"/>
          <w:sz w:val="24"/>
          <w:szCs w:val="24"/>
        </w:rPr>
        <w:t>(1), 1–10. https://journals.ekb.eg/article_108100.html</w:t>
      </w:r>
    </w:p>
    <w:p w14:paraId="3C97B7C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Bita, C. E., Zenoni, S., Vriezen, W. H., Mariani, C., Pezzotti, M., &amp; Gerats, T. (2011). Temperature stress differentially modulates transcription in meiotic anthers of heat-tolerant and heat-sensitive tomato plants. </w:t>
      </w:r>
      <w:r w:rsidRPr="000B3E1F">
        <w:rPr>
          <w:rFonts w:ascii="Arial" w:hAnsi="Arial" w:cs="Arial"/>
          <w:i/>
          <w:iCs/>
          <w:sz w:val="24"/>
          <w:szCs w:val="24"/>
        </w:rPr>
        <w:t>BMC Genomics</w:t>
      </w:r>
      <w:r w:rsidRPr="000B3E1F">
        <w:rPr>
          <w:rFonts w:ascii="Arial" w:hAnsi="Arial" w:cs="Arial"/>
          <w:sz w:val="24"/>
          <w:szCs w:val="24"/>
        </w:rPr>
        <w:t xml:space="preserve">, </w:t>
      </w:r>
      <w:r w:rsidRPr="000B3E1F">
        <w:rPr>
          <w:rFonts w:ascii="Arial" w:hAnsi="Arial" w:cs="Arial"/>
          <w:i/>
          <w:iCs/>
          <w:sz w:val="24"/>
          <w:szCs w:val="24"/>
        </w:rPr>
        <w:t>12</w:t>
      </w:r>
      <w:r w:rsidRPr="000B3E1F">
        <w:rPr>
          <w:rFonts w:ascii="Arial" w:hAnsi="Arial" w:cs="Arial"/>
          <w:sz w:val="24"/>
          <w:szCs w:val="24"/>
        </w:rPr>
        <w:t>(1), 1–18.</w:t>
      </w:r>
    </w:p>
    <w:p w14:paraId="23732AD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Boote, K. J., Rybak, M. R., Scholberg, J. M. S., &amp; Jones, J. W. (2012a). Improving the CROPGRO-Tomato Model for Predicting Growth and Yield Response to Temperature. </w:t>
      </w:r>
      <w:r w:rsidRPr="000B3E1F">
        <w:rPr>
          <w:rFonts w:ascii="Arial" w:hAnsi="Arial" w:cs="Arial"/>
          <w:i/>
          <w:iCs/>
          <w:sz w:val="24"/>
          <w:szCs w:val="24"/>
        </w:rPr>
        <w:t>HortScience</w:t>
      </w:r>
      <w:r w:rsidRPr="000B3E1F">
        <w:rPr>
          <w:rFonts w:ascii="Arial" w:hAnsi="Arial" w:cs="Arial"/>
          <w:sz w:val="24"/>
          <w:szCs w:val="24"/>
        </w:rPr>
        <w:t xml:space="preserve">, </w:t>
      </w:r>
      <w:r w:rsidRPr="000B3E1F">
        <w:rPr>
          <w:rFonts w:ascii="Arial" w:hAnsi="Arial" w:cs="Arial"/>
          <w:i/>
          <w:iCs/>
          <w:sz w:val="24"/>
          <w:szCs w:val="24"/>
        </w:rPr>
        <w:t>47</w:t>
      </w:r>
      <w:r w:rsidRPr="000B3E1F">
        <w:rPr>
          <w:rFonts w:ascii="Arial" w:hAnsi="Arial" w:cs="Arial"/>
          <w:sz w:val="24"/>
          <w:szCs w:val="24"/>
        </w:rPr>
        <w:t>(8), 1038–1049. https://doi.org/10.21273/HORTSCI.47.8.1038</w:t>
      </w:r>
    </w:p>
    <w:p w14:paraId="143F14C8"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Boote, K. J., Rybak, M. R., Scholberg, J. M. S., &amp; Jones, J. W. (2012b). Improving the CROPGRO-Tomato Model for Predicting Growth and Yield Response to Temperature. </w:t>
      </w:r>
      <w:r w:rsidRPr="000B3E1F">
        <w:rPr>
          <w:rFonts w:ascii="Arial" w:hAnsi="Arial" w:cs="Arial"/>
          <w:i/>
          <w:iCs/>
          <w:sz w:val="24"/>
          <w:szCs w:val="24"/>
        </w:rPr>
        <w:t>HortScience</w:t>
      </w:r>
      <w:r w:rsidRPr="000B3E1F">
        <w:rPr>
          <w:rFonts w:ascii="Arial" w:hAnsi="Arial" w:cs="Arial"/>
          <w:sz w:val="24"/>
          <w:szCs w:val="24"/>
        </w:rPr>
        <w:t xml:space="preserve">, </w:t>
      </w:r>
      <w:r w:rsidRPr="000B3E1F">
        <w:rPr>
          <w:rFonts w:ascii="Arial" w:hAnsi="Arial" w:cs="Arial"/>
          <w:i/>
          <w:iCs/>
          <w:sz w:val="24"/>
          <w:szCs w:val="24"/>
        </w:rPr>
        <w:t>47</w:t>
      </w:r>
      <w:r w:rsidRPr="000B3E1F">
        <w:rPr>
          <w:rFonts w:ascii="Arial" w:hAnsi="Arial" w:cs="Arial"/>
          <w:sz w:val="24"/>
          <w:szCs w:val="24"/>
        </w:rPr>
        <w:t>(8), 1038–1049. https://doi.org/10.21273/HORTSCI.47.8.1038</w:t>
      </w:r>
    </w:p>
    <w:p w14:paraId="530D099B"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Boote, K. J., Rybak, M. R., Scholberg, J. M. S., &amp; Jones, J. W. (2012c). Improving the CROPGRO-Tomato Model for Predicting Growth and Yield Response to </w:t>
      </w:r>
      <w:r w:rsidRPr="000B3E1F">
        <w:rPr>
          <w:rFonts w:ascii="Arial" w:hAnsi="Arial" w:cs="Arial"/>
          <w:sz w:val="24"/>
          <w:szCs w:val="24"/>
        </w:rPr>
        <w:lastRenderedPageBreak/>
        <w:t xml:space="preserve">Temperature. </w:t>
      </w:r>
      <w:r w:rsidRPr="000B3E1F">
        <w:rPr>
          <w:rFonts w:ascii="Arial" w:hAnsi="Arial" w:cs="Arial"/>
          <w:i/>
          <w:iCs/>
          <w:sz w:val="24"/>
          <w:szCs w:val="24"/>
        </w:rPr>
        <w:t>HortScience</w:t>
      </w:r>
      <w:r w:rsidRPr="000B3E1F">
        <w:rPr>
          <w:rFonts w:ascii="Arial" w:hAnsi="Arial" w:cs="Arial"/>
          <w:sz w:val="24"/>
          <w:szCs w:val="24"/>
        </w:rPr>
        <w:t xml:space="preserve">, </w:t>
      </w:r>
      <w:r w:rsidRPr="000B3E1F">
        <w:rPr>
          <w:rFonts w:ascii="Arial" w:hAnsi="Arial" w:cs="Arial"/>
          <w:i/>
          <w:iCs/>
          <w:sz w:val="24"/>
          <w:szCs w:val="24"/>
        </w:rPr>
        <w:t>47</w:t>
      </w:r>
      <w:r w:rsidRPr="000B3E1F">
        <w:rPr>
          <w:rFonts w:ascii="Arial" w:hAnsi="Arial" w:cs="Arial"/>
          <w:sz w:val="24"/>
          <w:szCs w:val="24"/>
        </w:rPr>
        <w:t>(8), 1038–1049. https://doi.org/10.21273/HORTSCI.47.8.1038</w:t>
      </w:r>
    </w:p>
    <w:p w14:paraId="36366E0E"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Boote, K. J., Seepaul, R., Mulvaney, M. J., Hagan, A. K., Bashyal, M., George, S., Small, I., &amp; Wright, D. L. (2021). Adapting the CROPGRO model to simulate growth and production of </w:t>
      </w:r>
      <w:r w:rsidRPr="000B3E1F">
        <w:rPr>
          <w:rFonts w:ascii="Arial" w:hAnsi="Arial" w:cs="Arial"/>
          <w:i/>
          <w:iCs/>
          <w:sz w:val="24"/>
          <w:szCs w:val="24"/>
        </w:rPr>
        <w:t>Brassica carinata</w:t>
      </w:r>
      <w:r w:rsidRPr="000B3E1F">
        <w:rPr>
          <w:rFonts w:ascii="Arial" w:hAnsi="Arial" w:cs="Arial"/>
          <w:sz w:val="24"/>
          <w:szCs w:val="24"/>
        </w:rPr>
        <w:t xml:space="preserve"> , a bio</w:t>
      </w:r>
      <w:r w:rsidRPr="000B3E1F">
        <w:rPr>
          <w:rFonts w:ascii="Cambria Math" w:hAnsi="Cambria Math" w:cs="Cambria Math"/>
          <w:sz w:val="24"/>
          <w:szCs w:val="24"/>
        </w:rPr>
        <w:t>‐</w:t>
      </w:r>
      <w:r w:rsidRPr="000B3E1F">
        <w:rPr>
          <w:rFonts w:ascii="Arial" w:hAnsi="Arial" w:cs="Arial"/>
          <w:sz w:val="24"/>
          <w:szCs w:val="24"/>
        </w:rPr>
        <w:t xml:space="preserve">fuel crop. </w:t>
      </w:r>
      <w:r w:rsidRPr="000B3E1F">
        <w:rPr>
          <w:rFonts w:ascii="Arial" w:hAnsi="Arial" w:cs="Arial"/>
          <w:i/>
          <w:iCs/>
          <w:sz w:val="24"/>
          <w:szCs w:val="24"/>
          <w:lang w:val="es-ES"/>
        </w:rPr>
        <w:t>GCB Bioenergy</w:t>
      </w:r>
      <w:r w:rsidRPr="000B3E1F">
        <w:rPr>
          <w:rFonts w:ascii="Arial" w:hAnsi="Arial" w:cs="Arial"/>
          <w:sz w:val="24"/>
          <w:szCs w:val="24"/>
          <w:lang w:val="es-ES"/>
        </w:rPr>
        <w:t xml:space="preserve">, </w:t>
      </w:r>
      <w:r w:rsidRPr="000B3E1F">
        <w:rPr>
          <w:rFonts w:ascii="Arial" w:hAnsi="Arial" w:cs="Arial"/>
          <w:i/>
          <w:iCs/>
          <w:sz w:val="24"/>
          <w:szCs w:val="24"/>
          <w:lang w:val="es-ES"/>
        </w:rPr>
        <w:t>13</w:t>
      </w:r>
      <w:r w:rsidRPr="000B3E1F">
        <w:rPr>
          <w:rFonts w:ascii="Arial" w:hAnsi="Arial" w:cs="Arial"/>
          <w:sz w:val="24"/>
          <w:szCs w:val="24"/>
          <w:lang w:val="es-ES"/>
        </w:rPr>
        <w:t>(7), 1134–1148. https://doi.org/10.1111/gcbb.12838</w:t>
      </w:r>
    </w:p>
    <w:p w14:paraId="6128D465"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Cadahía, C., &amp; Hernando, V. (1965). </w:t>
      </w:r>
      <w:r w:rsidRPr="000B3E1F">
        <w:rPr>
          <w:rFonts w:ascii="Arial" w:hAnsi="Arial" w:cs="Arial"/>
          <w:i/>
          <w:iCs/>
          <w:sz w:val="24"/>
          <w:szCs w:val="24"/>
          <w:lang w:val="es-ES"/>
        </w:rPr>
        <w:t>Anales de Edafología y Agrobiología Tomo 24 Número 11-12 | DIGITAL.CSIC</w:t>
      </w:r>
      <w:r w:rsidRPr="000B3E1F">
        <w:rPr>
          <w:rFonts w:ascii="Arial" w:hAnsi="Arial" w:cs="Arial"/>
          <w:sz w:val="24"/>
          <w:szCs w:val="24"/>
          <w:lang w:val="es-ES"/>
        </w:rPr>
        <w:t>. https://digital.csic.es/handle/10261/215874</w:t>
      </w:r>
    </w:p>
    <w:p w14:paraId="7669013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Cammarano, D., Ronga, D., Di Mola, I., Mori, M., &amp; Parisi, M. (2020). </w:t>
      </w:r>
      <w:r w:rsidRPr="000B3E1F">
        <w:rPr>
          <w:rFonts w:ascii="Arial" w:hAnsi="Arial" w:cs="Arial"/>
          <w:sz w:val="24"/>
          <w:szCs w:val="24"/>
        </w:rPr>
        <w:t xml:space="preserve">Impact of climate change on water and nitrogen use efficiencies of processing tomato cultivated in Italy.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241</w:t>
      </w:r>
      <w:r w:rsidRPr="000B3E1F">
        <w:rPr>
          <w:rFonts w:ascii="Arial" w:hAnsi="Arial" w:cs="Arial"/>
          <w:sz w:val="24"/>
          <w:szCs w:val="24"/>
        </w:rPr>
        <w:t>, 106336. https://doi.org/10.1016/j.agwat.2020.106336</w:t>
      </w:r>
    </w:p>
    <w:p w14:paraId="356011E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Castillo, M. D., Anenberg, S. C., Chafe, Z. A., Huxley, R., Johnson, L. S., Kheirbek, I., Malik, M., Marshall, J. D., Naidoo, S., Nelson, M. L., Pendleton, N. V., Sun, Y., van den Broek d’Obrenan, H., &amp; Kinney, P. L. (2021). Quantifying the Health Benefits of Urban Climate Mitigation Actions: Current State of the Epidemiological Evidence and Application in Health Impact Assessments. </w:t>
      </w:r>
      <w:r w:rsidRPr="000B3E1F">
        <w:rPr>
          <w:rFonts w:ascii="Arial" w:hAnsi="Arial" w:cs="Arial"/>
          <w:i/>
          <w:iCs/>
          <w:sz w:val="24"/>
          <w:szCs w:val="24"/>
        </w:rPr>
        <w:t>Frontiers in Sustainable Cities</w:t>
      </w:r>
      <w:r w:rsidRPr="000B3E1F">
        <w:rPr>
          <w:rFonts w:ascii="Arial" w:hAnsi="Arial" w:cs="Arial"/>
          <w:sz w:val="24"/>
          <w:szCs w:val="24"/>
        </w:rPr>
        <w:t xml:space="preserve">, </w:t>
      </w:r>
      <w:r w:rsidRPr="000B3E1F">
        <w:rPr>
          <w:rFonts w:ascii="Arial" w:hAnsi="Arial" w:cs="Arial"/>
          <w:i/>
          <w:iCs/>
          <w:sz w:val="24"/>
          <w:szCs w:val="24"/>
        </w:rPr>
        <w:t>3</w:t>
      </w:r>
      <w:r w:rsidRPr="000B3E1F">
        <w:rPr>
          <w:rFonts w:ascii="Arial" w:hAnsi="Arial" w:cs="Arial"/>
          <w:sz w:val="24"/>
          <w:szCs w:val="24"/>
        </w:rPr>
        <w:t>. https://doi.org/10.3389/frsc.2021.768227</w:t>
      </w:r>
    </w:p>
    <w:p w14:paraId="419C18BF"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Cerdas, J. C., &amp; Moreira, M. A. (1990). [Analysis of the growth of the tomato (Lycopersicon esculentum mill) cv Catalina, in Alajuela [Costa Rica]]. </w:t>
      </w:r>
      <w:r w:rsidRPr="000B3E1F">
        <w:rPr>
          <w:rFonts w:ascii="Arial" w:hAnsi="Arial" w:cs="Arial"/>
          <w:i/>
          <w:iCs/>
          <w:sz w:val="24"/>
          <w:szCs w:val="24"/>
          <w:lang w:val="es-ES"/>
        </w:rPr>
        <w:t>Boletin Tecnico Estacion Experimental Fabio Baudrit M. (Costa Rica)</w:t>
      </w:r>
      <w:r w:rsidRPr="000B3E1F">
        <w:rPr>
          <w:rFonts w:ascii="Arial" w:hAnsi="Arial" w:cs="Arial"/>
          <w:sz w:val="24"/>
          <w:szCs w:val="24"/>
          <w:lang w:val="es-ES"/>
        </w:rPr>
        <w:t xml:space="preserve">, </w:t>
      </w:r>
      <w:r w:rsidRPr="000B3E1F">
        <w:rPr>
          <w:rFonts w:ascii="Arial" w:hAnsi="Arial" w:cs="Arial"/>
          <w:i/>
          <w:iCs/>
          <w:sz w:val="24"/>
          <w:szCs w:val="24"/>
          <w:lang w:val="es-ES"/>
        </w:rPr>
        <w:t>23</w:t>
      </w:r>
      <w:r w:rsidRPr="000B3E1F">
        <w:rPr>
          <w:rFonts w:ascii="Arial" w:hAnsi="Arial" w:cs="Arial"/>
          <w:sz w:val="24"/>
          <w:szCs w:val="24"/>
          <w:lang w:val="es-ES"/>
        </w:rPr>
        <w:t>(3). https://agris.fao.org/search/en/providers/122467/records/647756abf2e6fe92b3656136</w:t>
      </w:r>
    </w:p>
    <w:p w14:paraId="1C6E2FF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Chen, J., Li, Q., Zhang, X., Dong, J., Hou, X., Miao, H., Li, H., Zhang, Y., Shen, X., Si, Z., &amp; Shan, Z. (2025). Calibration and Validation of the CSM-CROPGRO-Peanut Model Under Mulched Drip Irrigation Conditions in Xinjiang. </w:t>
      </w:r>
      <w:r w:rsidRPr="000B3E1F">
        <w:rPr>
          <w:rFonts w:ascii="Arial" w:hAnsi="Arial" w:cs="Arial"/>
          <w:i/>
          <w:iCs/>
          <w:sz w:val="24"/>
          <w:szCs w:val="24"/>
        </w:rPr>
        <w:t>Plants</w:t>
      </w:r>
      <w:r w:rsidRPr="000B3E1F">
        <w:rPr>
          <w:rFonts w:ascii="Arial" w:hAnsi="Arial" w:cs="Arial"/>
          <w:sz w:val="24"/>
          <w:szCs w:val="24"/>
        </w:rPr>
        <w:t xml:space="preserve">, </w:t>
      </w:r>
      <w:r w:rsidRPr="000B3E1F">
        <w:rPr>
          <w:rFonts w:ascii="Arial" w:hAnsi="Arial" w:cs="Arial"/>
          <w:i/>
          <w:iCs/>
          <w:sz w:val="24"/>
          <w:szCs w:val="24"/>
        </w:rPr>
        <w:t>14</w:t>
      </w:r>
      <w:r w:rsidRPr="000B3E1F">
        <w:rPr>
          <w:rFonts w:ascii="Arial" w:hAnsi="Arial" w:cs="Arial"/>
          <w:sz w:val="24"/>
          <w:szCs w:val="24"/>
        </w:rPr>
        <w:t>(4), 614. https://doi.org/10.3390/plants14040614</w:t>
      </w:r>
    </w:p>
    <w:p w14:paraId="4A3271F1"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lastRenderedPageBreak/>
        <w:t xml:space="preserve">Cheng, M., Wang, H., Fan, J., Xiang, Y., Liu, X., Liao, Z., Abdelghany, A. E., Zhang, F., &amp; Li, Z. (2022). Evaluation of AquaCrop model for greenhouse cherry tomato with plastic film mulch under various water and nitrogen supplies.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274</w:t>
      </w:r>
      <w:r w:rsidRPr="000B3E1F">
        <w:rPr>
          <w:rFonts w:ascii="Arial" w:hAnsi="Arial" w:cs="Arial"/>
          <w:sz w:val="24"/>
          <w:szCs w:val="24"/>
        </w:rPr>
        <w:t>, 107949. https://doi.org/10.1016/j.agwat.2022.107949</w:t>
      </w:r>
    </w:p>
    <w:p w14:paraId="0C49FD4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Chenu, K., Porter, J. R., Martre, P., Basso, B., Chapman, S. C., Ewert, F., Bindi, M., &amp; Asseng, S. (2017). Contribution of crop models to adaptation in wheat. </w:t>
      </w:r>
      <w:r w:rsidRPr="000B3E1F">
        <w:rPr>
          <w:rFonts w:ascii="Arial" w:hAnsi="Arial" w:cs="Arial"/>
          <w:i/>
          <w:iCs/>
          <w:sz w:val="24"/>
          <w:szCs w:val="24"/>
        </w:rPr>
        <w:t>Trends in Plant Science</w:t>
      </w:r>
      <w:r w:rsidRPr="000B3E1F">
        <w:rPr>
          <w:rFonts w:ascii="Arial" w:hAnsi="Arial" w:cs="Arial"/>
          <w:sz w:val="24"/>
          <w:szCs w:val="24"/>
        </w:rPr>
        <w:t xml:space="preserve">, </w:t>
      </w:r>
      <w:r w:rsidRPr="000B3E1F">
        <w:rPr>
          <w:rFonts w:ascii="Arial" w:hAnsi="Arial" w:cs="Arial"/>
          <w:i/>
          <w:iCs/>
          <w:sz w:val="24"/>
          <w:szCs w:val="24"/>
        </w:rPr>
        <w:t>22</w:t>
      </w:r>
      <w:r w:rsidRPr="000B3E1F">
        <w:rPr>
          <w:rFonts w:ascii="Arial" w:hAnsi="Arial" w:cs="Arial"/>
          <w:sz w:val="24"/>
          <w:szCs w:val="24"/>
        </w:rPr>
        <w:t>(6), 472–490. https://www.cell.com/trends/plant-science/abstract/S1360-1385(17)30038-9</w:t>
      </w:r>
    </w:p>
    <w:p w14:paraId="0D862E4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Choudhury, A. K., Ishtiaque, S., Sen, R., Jahan, M., Akhter, S., Ahmed, F., Biswas, J. C., Manirruzaman, M., Hossain, M. B., &amp; Miah, M. M. (2016). </w:t>
      </w:r>
      <w:r w:rsidRPr="000B3E1F">
        <w:rPr>
          <w:rFonts w:ascii="Arial" w:hAnsi="Arial" w:cs="Arial"/>
          <w:i/>
          <w:iCs/>
          <w:sz w:val="24"/>
          <w:szCs w:val="24"/>
        </w:rPr>
        <w:t>Haya The Saudi Journal of Life Sciences</w:t>
      </w:r>
      <w:r w:rsidRPr="000B3E1F">
        <w:rPr>
          <w:rFonts w:ascii="Arial" w:hAnsi="Arial" w:cs="Arial"/>
          <w:sz w:val="24"/>
          <w:szCs w:val="24"/>
        </w:rPr>
        <w:t>. https://globalscholarindex.com/content/gsic-2415-6221</w:t>
      </w:r>
    </w:p>
    <w:p w14:paraId="6FAA87C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Choudhury, T. R., &amp; Paranjape, A. (2018). Photon number conservation and the large-scale 21 cm power spectrum in semi-numerical models of reionization. </w:t>
      </w:r>
      <w:r w:rsidRPr="000B3E1F">
        <w:rPr>
          <w:rFonts w:ascii="Arial" w:hAnsi="Arial" w:cs="Arial"/>
          <w:i/>
          <w:iCs/>
          <w:sz w:val="24"/>
          <w:szCs w:val="24"/>
        </w:rPr>
        <w:t>Monthly Notices of the Royal Astronomical Society</w:t>
      </w:r>
      <w:r w:rsidRPr="000B3E1F">
        <w:rPr>
          <w:rFonts w:ascii="Arial" w:hAnsi="Arial" w:cs="Arial"/>
          <w:sz w:val="24"/>
          <w:szCs w:val="24"/>
        </w:rPr>
        <w:t xml:space="preserve">, </w:t>
      </w:r>
      <w:r w:rsidRPr="000B3E1F">
        <w:rPr>
          <w:rFonts w:ascii="Arial" w:hAnsi="Arial" w:cs="Arial"/>
          <w:i/>
          <w:iCs/>
          <w:sz w:val="24"/>
          <w:szCs w:val="24"/>
        </w:rPr>
        <w:t>481</w:t>
      </w:r>
      <w:r w:rsidRPr="000B3E1F">
        <w:rPr>
          <w:rFonts w:ascii="Arial" w:hAnsi="Arial" w:cs="Arial"/>
          <w:sz w:val="24"/>
          <w:szCs w:val="24"/>
        </w:rPr>
        <w:t>(3), 3821–3837. https://doi.org/10.1093/mnras/sty2551</w:t>
      </w:r>
    </w:p>
    <w:p w14:paraId="7C27AE4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Corbari, C., Ben Charfi, I., &amp; Mancini, M. (2021). Optimizing Irrigation Water Use Efficiency for Tomato and Maize Fields across Italy Combining Remote Sensing Data and the AquaCrop Model. </w:t>
      </w:r>
      <w:r w:rsidRPr="000B3E1F">
        <w:rPr>
          <w:rFonts w:ascii="Arial" w:hAnsi="Arial" w:cs="Arial"/>
          <w:i/>
          <w:iCs/>
          <w:sz w:val="24"/>
          <w:szCs w:val="24"/>
        </w:rPr>
        <w:t>Hydrology</w:t>
      </w:r>
      <w:r w:rsidRPr="000B3E1F">
        <w:rPr>
          <w:rFonts w:ascii="Arial" w:hAnsi="Arial" w:cs="Arial"/>
          <w:sz w:val="24"/>
          <w:szCs w:val="24"/>
        </w:rPr>
        <w:t xml:space="preserve">, </w:t>
      </w:r>
      <w:r w:rsidRPr="000B3E1F">
        <w:rPr>
          <w:rFonts w:ascii="Arial" w:hAnsi="Arial" w:cs="Arial"/>
          <w:i/>
          <w:iCs/>
          <w:sz w:val="24"/>
          <w:szCs w:val="24"/>
        </w:rPr>
        <w:t>8</w:t>
      </w:r>
      <w:r w:rsidRPr="000B3E1F">
        <w:rPr>
          <w:rFonts w:ascii="Arial" w:hAnsi="Arial" w:cs="Arial"/>
          <w:sz w:val="24"/>
          <w:szCs w:val="24"/>
        </w:rPr>
        <w:t>(1), 39. https://doi.org/10.3390/hydrology8010039</w:t>
      </w:r>
    </w:p>
    <w:p w14:paraId="1956345D"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Corbeels, M., Chirat, G., Messad, S., &amp; Thierfelder, C. (2016). Performance and sensitivity of the DSSAT crop growth model in simulating maize yield under conservation agriculture. </w:t>
      </w:r>
      <w:r w:rsidRPr="000B3E1F">
        <w:rPr>
          <w:rFonts w:ascii="Arial" w:hAnsi="Arial" w:cs="Arial"/>
          <w:i/>
          <w:iCs/>
          <w:sz w:val="24"/>
          <w:szCs w:val="24"/>
        </w:rPr>
        <w:t>European Journal of Agronomy</w:t>
      </w:r>
      <w:r w:rsidRPr="000B3E1F">
        <w:rPr>
          <w:rFonts w:ascii="Arial" w:hAnsi="Arial" w:cs="Arial"/>
          <w:sz w:val="24"/>
          <w:szCs w:val="24"/>
        </w:rPr>
        <w:t xml:space="preserve">, </w:t>
      </w:r>
      <w:r w:rsidRPr="000B3E1F">
        <w:rPr>
          <w:rFonts w:ascii="Arial" w:hAnsi="Arial" w:cs="Arial"/>
          <w:i/>
          <w:iCs/>
          <w:sz w:val="24"/>
          <w:szCs w:val="24"/>
        </w:rPr>
        <w:t>76</w:t>
      </w:r>
      <w:r w:rsidRPr="000B3E1F">
        <w:rPr>
          <w:rFonts w:ascii="Arial" w:hAnsi="Arial" w:cs="Arial"/>
          <w:sz w:val="24"/>
          <w:szCs w:val="24"/>
        </w:rPr>
        <w:t>, 41–53. https://doi.org/10.1016/j.eja.2016.02.001</w:t>
      </w:r>
    </w:p>
    <w:p w14:paraId="1B23816B"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Cova, W. J. D. (2016). </w:t>
      </w:r>
      <w:r w:rsidRPr="000B3E1F">
        <w:rPr>
          <w:rFonts w:ascii="Arial" w:hAnsi="Arial" w:cs="Arial"/>
          <w:i/>
          <w:iCs/>
          <w:sz w:val="24"/>
          <w:szCs w:val="24"/>
          <w:lang w:val="es-ES"/>
        </w:rPr>
        <w:t>Sistemas, modelos, simulación y un toque de epistemología.</w:t>
      </w:r>
      <w:r w:rsidRPr="000B3E1F">
        <w:rPr>
          <w:rFonts w:ascii="Arial" w:hAnsi="Arial" w:cs="Arial"/>
          <w:sz w:val="24"/>
          <w:szCs w:val="24"/>
          <w:lang w:val="es-ES"/>
        </w:rPr>
        <w:t xml:space="preserve"> http://ria.utn.edu.ar/xmlui/handle/20.500.12272/2827</w:t>
      </w:r>
    </w:p>
    <w:p w14:paraId="3C28B11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Dar, J., Nabi, S., Dar, A. Q., &amp; Ahanger, M. A. (2021). </w:t>
      </w:r>
      <w:r w:rsidRPr="000B3E1F">
        <w:rPr>
          <w:rFonts w:ascii="Arial" w:hAnsi="Arial" w:cs="Arial"/>
          <w:sz w:val="24"/>
          <w:szCs w:val="24"/>
        </w:rPr>
        <w:t xml:space="preserve">The anatomy of extreme precipitation events over Srinagar, Kashmir, India, over the past 50 years. </w:t>
      </w:r>
      <w:r w:rsidRPr="000B3E1F">
        <w:rPr>
          <w:rFonts w:ascii="Arial" w:hAnsi="Arial" w:cs="Arial"/>
          <w:i/>
          <w:iCs/>
          <w:sz w:val="24"/>
          <w:szCs w:val="24"/>
        </w:rPr>
        <w:t>Arabian Journal of Geosciences</w:t>
      </w:r>
      <w:r w:rsidRPr="000B3E1F">
        <w:rPr>
          <w:rFonts w:ascii="Arial" w:hAnsi="Arial" w:cs="Arial"/>
          <w:sz w:val="24"/>
          <w:szCs w:val="24"/>
        </w:rPr>
        <w:t xml:space="preserve">, </w:t>
      </w:r>
      <w:r w:rsidRPr="000B3E1F">
        <w:rPr>
          <w:rFonts w:ascii="Arial" w:hAnsi="Arial" w:cs="Arial"/>
          <w:i/>
          <w:iCs/>
          <w:sz w:val="24"/>
          <w:szCs w:val="24"/>
        </w:rPr>
        <w:t>14</w:t>
      </w:r>
      <w:r w:rsidRPr="000B3E1F">
        <w:rPr>
          <w:rFonts w:ascii="Arial" w:hAnsi="Arial" w:cs="Arial"/>
          <w:sz w:val="24"/>
          <w:szCs w:val="24"/>
        </w:rPr>
        <w:t>(14), 1412. https://doi.org/10.1007/s12517-021-07820-x</w:t>
      </w:r>
    </w:p>
    <w:p w14:paraId="001EF403"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lastRenderedPageBreak/>
        <w:t xml:space="preserve">Das, S., &amp; Sharma, A. (2020). Crop modelling in fruit crops: A review. </w:t>
      </w:r>
      <w:r w:rsidRPr="000B3E1F">
        <w:rPr>
          <w:rFonts w:ascii="Arial" w:hAnsi="Arial" w:cs="Arial"/>
          <w:i/>
          <w:iCs/>
          <w:sz w:val="24"/>
          <w:szCs w:val="24"/>
        </w:rPr>
        <w:t>The Pharma Innovation Journal</w:t>
      </w:r>
      <w:r w:rsidRPr="000B3E1F">
        <w:rPr>
          <w:rFonts w:ascii="Arial" w:hAnsi="Arial" w:cs="Arial"/>
          <w:sz w:val="24"/>
          <w:szCs w:val="24"/>
        </w:rPr>
        <w:t xml:space="preserve">, </w:t>
      </w:r>
      <w:r w:rsidRPr="000B3E1F">
        <w:rPr>
          <w:rFonts w:ascii="Arial" w:hAnsi="Arial" w:cs="Arial"/>
          <w:i/>
          <w:iCs/>
          <w:sz w:val="24"/>
          <w:szCs w:val="24"/>
        </w:rPr>
        <w:t>9</w:t>
      </w:r>
      <w:r w:rsidRPr="000B3E1F">
        <w:rPr>
          <w:rFonts w:ascii="Arial" w:hAnsi="Arial" w:cs="Arial"/>
          <w:sz w:val="24"/>
          <w:szCs w:val="24"/>
        </w:rPr>
        <w:t>(11), 60–65. https://www.thepharmajournal.com/archives/?year=2020&amp;vol=9&amp;issue=11&amp;ArticleId=5306</w:t>
      </w:r>
    </w:p>
    <w:p w14:paraId="3E83C818"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Di Bene, C., Diacono, M., Montemurro, F., Testani, E., &amp; Farina, R. (2022). </w:t>
      </w:r>
      <w:r w:rsidRPr="000B3E1F">
        <w:rPr>
          <w:rFonts w:ascii="Arial" w:hAnsi="Arial" w:cs="Arial"/>
          <w:sz w:val="24"/>
          <w:szCs w:val="24"/>
        </w:rPr>
        <w:t xml:space="preserve">EPIC model simulation to assess effective agro-ecological practices for climate change mitigation and adaptation in organic vegetable system. </w:t>
      </w:r>
      <w:r w:rsidRPr="000B3E1F">
        <w:rPr>
          <w:rFonts w:ascii="Arial" w:hAnsi="Arial" w:cs="Arial"/>
          <w:i/>
          <w:iCs/>
          <w:sz w:val="24"/>
          <w:szCs w:val="24"/>
          <w:lang w:val="es-ES"/>
        </w:rPr>
        <w:t>Agronomy for Sustainable Development</w:t>
      </w:r>
      <w:r w:rsidRPr="000B3E1F">
        <w:rPr>
          <w:rFonts w:ascii="Arial" w:hAnsi="Arial" w:cs="Arial"/>
          <w:sz w:val="24"/>
          <w:szCs w:val="24"/>
          <w:lang w:val="es-ES"/>
        </w:rPr>
        <w:t xml:space="preserve">, </w:t>
      </w:r>
      <w:r w:rsidRPr="000B3E1F">
        <w:rPr>
          <w:rFonts w:ascii="Arial" w:hAnsi="Arial" w:cs="Arial"/>
          <w:i/>
          <w:iCs/>
          <w:sz w:val="24"/>
          <w:szCs w:val="24"/>
          <w:lang w:val="es-ES"/>
        </w:rPr>
        <w:t>42</w:t>
      </w:r>
      <w:r w:rsidRPr="000B3E1F">
        <w:rPr>
          <w:rFonts w:ascii="Arial" w:hAnsi="Arial" w:cs="Arial"/>
          <w:sz w:val="24"/>
          <w:szCs w:val="24"/>
          <w:lang w:val="es-ES"/>
        </w:rPr>
        <w:t>(1), 7. https://doi.org/10.1007/s13593-021-00745-5</w:t>
      </w:r>
    </w:p>
    <w:p w14:paraId="60A0129D"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Di Bene, C., Dolores Gómez-López, M., Francaviglia, R., Farina, R., Blasi, E., Martínez-Granados, D., &amp; Calatrava, J. (2022). </w:t>
      </w:r>
      <w:r w:rsidRPr="000B3E1F">
        <w:rPr>
          <w:rFonts w:ascii="Arial" w:hAnsi="Arial" w:cs="Arial"/>
          <w:sz w:val="24"/>
          <w:szCs w:val="24"/>
        </w:rPr>
        <w:t xml:space="preserve">Barriers and Opportunities for Sustainable Farming Practices and Crop Diversification Strategies in Mediterranean Cereal-Based Systems. </w:t>
      </w:r>
      <w:r w:rsidRPr="000B3E1F">
        <w:rPr>
          <w:rFonts w:ascii="Arial" w:hAnsi="Arial" w:cs="Arial"/>
          <w:i/>
          <w:iCs/>
          <w:sz w:val="24"/>
          <w:szCs w:val="24"/>
        </w:rPr>
        <w:t>Frontiers in Environmental Science</w:t>
      </w:r>
      <w:r w:rsidRPr="000B3E1F">
        <w:rPr>
          <w:rFonts w:ascii="Arial" w:hAnsi="Arial" w:cs="Arial"/>
          <w:sz w:val="24"/>
          <w:szCs w:val="24"/>
        </w:rPr>
        <w:t xml:space="preserve">, </w:t>
      </w:r>
      <w:r w:rsidRPr="000B3E1F">
        <w:rPr>
          <w:rFonts w:ascii="Arial" w:hAnsi="Arial" w:cs="Arial"/>
          <w:i/>
          <w:iCs/>
          <w:sz w:val="24"/>
          <w:szCs w:val="24"/>
        </w:rPr>
        <w:t>10</w:t>
      </w:r>
      <w:r w:rsidRPr="000B3E1F">
        <w:rPr>
          <w:rFonts w:ascii="Arial" w:hAnsi="Arial" w:cs="Arial"/>
          <w:sz w:val="24"/>
          <w:szCs w:val="24"/>
        </w:rPr>
        <w:t>, 861225. https://doi.org/10.3389/fenvs.2022.861225</w:t>
      </w:r>
    </w:p>
    <w:p w14:paraId="77F70DB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Ditmars, J. D., Adams, E. E., Bedford, K. W., &amp; Ford, D. E. (1987). Performance Evaluation of Surface Water Transport and Dispersion Models. </w:t>
      </w:r>
      <w:r w:rsidRPr="000B3E1F">
        <w:rPr>
          <w:rFonts w:ascii="Arial" w:hAnsi="Arial" w:cs="Arial"/>
          <w:i/>
          <w:iCs/>
          <w:sz w:val="24"/>
          <w:szCs w:val="24"/>
        </w:rPr>
        <w:t>Journal of Hydraulic Engineering</w:t>
      </w:r>
      <w:r w:rsidRPr="000B3E1F">
        <w:rPr>
          <w:rFonts w:ascii="Arial" w:hAnsi="Arial" w:cs="Arial"/>
          <w:sz w:val="24"/>
          <w:szCs w:val="24"/>
        </w:rPr>
        <w:t xml:space="preserve">, </w:t>
      </w:r>
      <w:r w:rsidRPr="000B3E1F">
        <w:rPr>
          <w:rFonts w:ascii="Arial" w:hAnsi="Arial" w:cs="Arial"/>
          <w:i/>
          <w:iCs/>
          <w:sz w:val="24"/>
          <w:szCs w:val="24"/>
        </w:rPr>
        <w:t>113</w:t>
      </w:r>
      <w:r w:rsidRPr="000B3E1F">
        <w:rPr>
          <w:rFonts w:ascii="Arial" w:hAnsi="Arial" w:cs="Arial"/>
          <w:sz w:val="24"/>
          <w:szCs w:val="24"/>
        </w:rPr>
        <w:t>(8), Article 8. https://doi.org/10.1061/(ASCE)0733-9429(1987)113:8(961)</w:t>
      </w:r>
    </w:p>
    <w:p w14:paraId="5BD608E9"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Dokoohaki, H., Kivi, M. S., Martinez-Feria, R., Miguez, F. E., &amp; Hoogenboom, G. (2021). A comprehensive uncertainty quantification of large-scale process-based crop modeling frameworks. </w:t>
      </w:r>
      <w:r w:rsidRPr="000B3E1F">
        <w:rPr>
          <w:rFonts w:ascii="Arial" w:hAnsi="Arial" w:cs="Arial"/>
          <w:i/>
          <w:iCs/>
          <w:sz w:val="24"/>
          <w:szCs w:val="24"/>
          <w:lang w:val="es-ES"/>
        </w:rPr>
        <w:t>Environmental Research Letters</w:t>
      </w:r>
      <w:r w:rsidRPr="000B3E1F">
        <w:rPr>
          <w:rFonts w:ascii="Arial" w:hAnsi="Arial" w:cs="Arial"/>
          <w:sz w:val="24"/>
          <w:szCs w:val="24"/>
          <w:lang w:val="es-ES"/>
        </w:rPr>
        <w:t xml:space="preserve">, </w:t>
      </w:r>
      <w:r w:rsidRPr="000B3E1F">
        <w:rPr>
          <w:rFonts w:ascii="Arial" w:hAnsi="Arial" w:cs="Arial"/>
          <w:i/>
          <w:iCs/>
          <w:sz w:val="24"/>
          <w:szCs w:val="24"/>
          <w:lang w:val="es-ES"/>
        </w:rPr>
        <w:t>16</w:t>
      </w:r>
      <w:r w:rsidRPr="000B3E1F">
        <w:rPr>
          <w:rFonts w:ascii="Arial" w:hAnsi="Arial" w:cs="Arial"/>
          <w:sz w:val="24"/>
          <w:szCs w:val="24"/>
          <w:lang w:val="es-ES"/>
        </w:rPr>
        <w:t>(8), 084010. https://doi.org/10.1088/1748-9326/ac0f26</w:t>
      </w:r>
    </w:p>
    <w:p w14:paraId="3D20ADFC"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Dorado, C. (2007). </w:t>
      </w:r>
      <w:r w:rsidRPr="000B3E1F">
        <w:rPr>
          <w:rFonts w:ascii="Arial" w:hAnsi="Arial" w:cs="Arial"/>
          <w:i/>
          <w:iCs/>
          <w:sz w:val="24"/>
          <w:szCs w:val="24"/>
          <w:lang w:val="es-ES"/>
        </w:rPr>
        <w:t>Simulación de sistemas.</w:t>
      </w:r>
      <w:r w:rsidRPr="000B3E1F">
        <w:rPr>
          <w:rFonts w:ascii="Arial" w:hAnsi="Arial" w:cs="Arial"/>
          <w:sz w:val="24"/>
          <w:szCs w:val="24"/>
          <w:lang w:val="es-ES"/>
        </w:rPr>
        <w:t xml:space="preserve"> &lt;http://www.monografias.com/trabajos20/simulacion-sistemas/simulacion-sistemas.shtml&gt;</w:t>
      </w:r>
    </w:p>
    <w:p w14:paraId="29BF602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i/>
          <w:iCs/>
          <w:sz w:val="24"/>
          <w:szCs w:val="24"/>
        </w:rPr>
        <w:t>DSSAT.net—Official Home of the DSSAT Cropping Systems Model</w:t>
      </w:r>
      <w:r w:rsidRPr="000B3E1F">
        <w:rPr>
          <w:rFonts w:ascii="Arial" w:hAnsi="Arial" w:cs="Arial"/>
          <w:sz w:val="24"/>
          <w:szCs w:val="24"/>
        </w:rPr>
        <w:t>. (2023). DSSAT.Net. https://dssat.net/</w:t>
      </w:r>
    </w:p>
    <w:p w14:paraId="2DD7CC0C"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Ebrahimipak, N., Egdarnejad, A., Tafteh, A., &amp; Ansari, M. A. (2022). The Effect of Irrigation Water Management and Fertilizer Amount on AquaCrop Accuracy and </w:t>
      </w:r>
      <w:r w:rsidRPr="000B3E1F">
        <w:rPr>
          <w:rFonts w:ascii="Arial" w:hAnsi="Arial" w:cs="Arial"/>
          <w:sz w:val="24"/>
          <w:szCs w:val="24"/>
        </w:rPr>
        <w:lastRenderedPageBreak/>
        <w:t xml:space="preserve">Efficiency for Tomato Yield and Water Use Efficiency Simulation. </w:t>
      </w:r>
      <w:r w:rsidRPr="000B3E1F">
        <w:rPr>
          <w:rFonts w:ascii="Arial" w:hAnsi="Arial" w:cs="Arial"/>
          <w:i/>
          <w:iCs/>
          <w:sz w:val="24"/>
          <w:szCs w:val="24"/>
        </w:rPr>
        <w:t>Irrigation and Water Engineering</w:t>
      </w:r>
      <w:r w:rsidRPr="000B3E1F">
        <w:rPr>
          <w:rFonts w:ascii="Arial" w:hAnsi="Arial" w:cs="Arial"/>
          <w:sz w:val="24"/>
          <w:szCs w:val="24"/>
        </w:rPr>
        <w:t xml:space="preserve">, </w:t>
      </w:r>
      <w:r w:rsidRPr="000B3E1F">
        <w:rPr>
          <w:rFonts w:ascii="Arial" w:hAnsi="Arial" w:cs="Arial"/>
          <w:i/>
          <w:iCs/>
          <w:sz w:val="24"/>
          <w:szCs w:val="24"/>
        </w:rPr>
        <w:t>12</w:t>
      </w:r>
      <w:r w:rsidRPr="000B3E1F">
        <w:rPr>
          <w:rFonts w:ascii="Arial" w:hAnsi="Arial" w:cs="Arial"/>
          <w:sz w:val="24"/>
          <w:szCs w:val="24"/>
        </w:rPr>
        <w:t>(3), 121–136. https://doi.org/10.22125/iwe.2022.146391</w:t>
      </w:r>
    </w:p>
    <w:p w14:paraId="4ABBBE1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Elsayed, M., Medany, M., Hoogenboom, G., Rinaldi, M., Bona, S., &amp; Sambo, P. (2017). Assessment of transplanting date influence on processing tomato (Lycopersicon esculentum Mill.) production using the Cropping System Model (CSM)-CROPGRO-Tomato simulation model A case study for northeastern Italy. </w:t>
      </w:r>
      <w:r w:rsidRPr="000B3E1F">
        <w:rPr>
          <w:rFonts w:ascii="Arial" w:hAnsi="Arial" w:cs="Arial"/>
          <w:i/>
          <w:iCs/>
          <w:sz w:val="24"/>
          <w:szCs w:val="24"/>
        </w:rPr>
        <w:t>Egyptian Journal of Soil Science</w:t>
      </w:r>
      <w:r w:rsidRPr="000B3E1F">
        <w:rPr>
          <w:rFonts w:ascii="Arial" w:hAnsi="Arial" w:cs="Arial"/>
          <w:sz w:val="24"/>
          <w:szCs w:val="24"/>
        </w:rPr>
        <w:t xml:space="preserve">, </w:t>
      </w:r>
      <w:r w:rsidRPr="000B3E1F">
        <w:rPr>
          <w:rFonts w:ascii="Arial" w:hAnsi="Arial" w:cs="Arial"/>
          <w:i/>
          <w:iCs/>
          <w:sz w:val="24"/>
          <w:szCs w:val="24"/>
        </w:rPr>
        <w:t>57</w:t>
      </w:r>
      <w:r w:rsidRPr="000B3E1F">
        <w:rPr>
          <w:rFonts w:ascii="Arial" w:hAnsi="Arial" w:cs="Arial"/>
          <w:sz w:val="24"/>
          <w:szCs w:val="24"/>
        </w:rPr>
        <w:t>(4), 429–442. https://doi.org/10.21608/ejss.2017.504.1067</w:t>
      </w:r>
    </w:p>
    <w:p w14:paraId="1F77D750"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i/>
          <w:iCs/>
          <w:sz w:val="24"/>
          <w:szCs w:val="24"/>
        </w:rPr>
        <w:t>FAO</w:t>
      </w:r>
      <w:r w:rsidRPr="000B3E1F">
        <w:rPr>
          <w:rFonts w:ascii="Arial" w:hAnsi="Arial" w:cs="Arial"/>
          <w:sz w:val="24"/>
          <w:szCs w:val="24"/>
        </w:rPr>
        <w:t>. (2025). https://www.fao.org/family-farming/detail/en/c/1724682/</w:t>
      </w:r>
    </w:p>
    <w:p w14:paraId="538BEDE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FAOSTAT. (2020). </w:t>
      </w:r>
      <w:r w:rsidRPr="000B3E1F">
        <w:rPr>
          <w:rFonts w:ascii="Arial" w:hAnsi="Arial" w:cs="Arial"/>
          <w:i/>
          <w:iCs/>
          <w:sz w:val="24"/>
          <w:szCs w:val="24"/>
        </w:rPr>
        <w:t>Statistics | FAO | Food and Agriculture Organization of the United Nations</w:t>
      </w:r>
      <w:r w:rsidRPr="000B3E1F">
        <w:rPr>
          <w:rFonts w:ascii="Arial" w:hAnsi="Arial" w:cs="Arial"/>
          <w:sz w:val="24"/>
          <w:szCs w:val="24"/>
        </w:rPr>
        <w:t>. Statistics. http://www.fao.org/statistics/en</w:t>
      </w:r>
    </w:p>
    <w:p w14:paraId="3A33A37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Fink, M., Daniels, A., Qian, C., Velásquez, V. M., Salotra, S., &amp; Wollherr, D. (2023). </w:t>
      </w:r>
      <w:r w:rsidRPr="000B3E1F">
        <w:rPr>
          <w:rFonts w:ascii="Arial" w:hAnsi="Arial" w:cs="Arial"/>
          <w:i/>
          <w:iCs/>
          <w:sz w:val="24"/>
          <w:szCs w:val="24"/>
        </w:rPr>
        <w:t>Comparison of Dynamic Tomato Growth Models for Optimal Control in Greenhouses</w:t>
      </w:r>
      <w:r w:rsidRPr="000B3E1F">
        <w:rPr>
          <w:rFonts w:ascii="Arial" w:hAnsi="Arial" w:cs="Arial"/>
          <w:sz w:val="24"/>
          <w:szCs w:val="24"/>
        </w:rPr>
        <w:t xml:space="preserve"> (No. arXiv:2308.06031). arXiv. https://doi.org/10.48550/arXiv.2308.06031</w:t>
      </w:r>
    </w:p>
    <w:p w14:paraId="6A121A0A"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Flores, J., Aguilar, C. E., Rojano, F., Ojeda, W., Iñiguez, M., Aguilar, C. E., Flores, J., Rojano, F., Ojeda, W., &amp; Iñiguez, M. (2020). Estimación del ciclo de cultivo de tomate (Solanum lycopersicum L.) en invernadero, con base en grados días calor (GDC) simulados con CFD. </w:t>
      </w:r>
      <w:r w:rsidRPr="000B3E1F">
        <w:rPr>
          <w:rFonts w:ascii="Arial" w:hAnsi="Arial" w:cs="Arial"/>
          <w:i/>
          <w:iCs/>
          <w:sz w:val="24"/>
          <w:szCs w:val="24"/>
          <w:lang w:val="es-ES"/>
        </w:rPr>
        <w:t>Tecnología y ciencias del agua</w:t>
      </w:r>
      <w:r w:rsidRPr="000B3E1F">
        <w:rPr>
          <w:rFonts w:ascii="Arial" w:hAnsi="Arial" w:cs="Arial"/>
          <w:sz w:val="24"/>
          <w:szCs w:val="24"/>
          <w:lang w:val="es-ES"/>
        </w:rPr>
        <w:t xml:space="preserve">, </w:t>
      </w:r>
      <w:r w:rsidRPr="000B3E1F">
        <w:rPr>
          <w:rFonts w:ascii="Arial" w:hAnsi="Arial" w:cs="Arial"/>
          <w:i/>
          <w:iCs/>
          <w:sz w:val="24"/>
          <w:szCs w:val="24"/>
          <w:lang w:val="es-ES"/>
        </w:rPr>
        <w:t>11</w:t>
      </w:r>
      <w:r w:rsidRPr="000B3E1F">
        <w:rPr>
          <w:rFonts w:ascii="Arial" w:hAnsi="Arial" w:cs="Arial"/>
          <w:sz w:val="24"/>
          <w:szCs w:val="24"/>
          <w:lang w:val="es-ES"/>
        </w:rPr>
        <w:t>(4), 27–57. https://doi.org/10.24850/j-tyca-2020-04-02</w:t>
      </w:r>
    </w:p>
    <w:p w14:paraId="537DD25D"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Florido, M., &amp; Álvarez, M. (2015). Aspectos relacionados con el estrés de calor en tomate (Solanum lycopersicum L.). </w:t>
      </w:r>
      <w:r w:rsidRPr="000B3E1F">
        <w:rPr>
          <w:rFonts w:ascii="Arial" w:hAnsi="Arial" w:cs="Arial"/>
          <w:i/>
          <w:iCs/>
          <w:sz w:val="24"/>
          <w:szCs w:val="24"/>
          <w:lang w:val="es-ES"/>
        </w:rPr>
        <w:t>Cultivos Tropicales</w:t>
      </w:r>
      <w:r w:rsidRPr="000B3E1F">
        <w:rPr>
          <w:rFonts w:ascii="Arial" w:hAnsi="Arial" w:cs="Arial"/>
          <w:sz w:val="24"/>
          <w:szCs w:val="24"/>
          <w:lang w:val="es-ES"/>
        </w:rPr>
        <w:t xml:space="preserve">, </w:t>
      </w:r>
      <w:r w:rsidRPr="000B3E1F">
        <w:rPr>
          <w:rFonts w:ascii="Arial" w:hAnsi="Arial" w:cs="Arial"/>
          <w:i/>
          <w:iCs/>
          <w:sz w:val="24"/>
          <w:szCs w:val="24"/>
          <w:lang w:val="es-ES"/>
        </w:rPr>
        <w:t>36</w:t>
      </w:r>
      <w:r w:rsidRPr="000B3E1F">
        <w:rPr>
          <w:rFonts w:ascii="Arial" w:hAnsi="Arial" w:cs="Arial"/>
          <w:sz w:val="24"/>
          <w:szCs w:val="24"/>
          <w:lang w:val="es-ES"/>
        </w:rPr>
        <w:t>, 77–95. http://scielo.sld.cu/scielo.php?script=sci_abstract&amp;pid=S0258-59362015000500008&amp;lng=es&amp;nrm=iso&amp;tlng=en</w:t>
      </w:r>
    </w:p>
    <w:p w14:paraId="1CFC26BC"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Florido, M., Plana, D., Álvarez, M., Moya, C., Lara, R. M., Caballero, A., Florido, R., &amp; Shagarodsky. (2008). Análisis de la variabilidad morfoagronómica en la colección de tomate (Solanum L. sección Lycopersicon subsección Lycopersicon) conservada Ex Situ en Cuba. </w:t>
      </w:r>
      <w:r w:rsidRPr="000B3E1F">
        <w:rPr>
          <w:rFonts w:ascii="Arial" w:hAnsi="Arial" w:cs="Arial"/>
          <w:i/>
          <w:iCs/>
          <w:sz w:val="24"/>
          <w:szCs w:val="24"/>
          <w:lang w:val="es-ES"/>
        </w:rPr>
        <w:t>Cultivos Tropicales</w:t>
      </w:r>
      <w:r w:rsidRPr="000B3E1F">
        <w:rPr>
          <w:rFonts w:ascii="Arial" w:hAnsi="Arial" w:cs="Arial"/>
          <w:sz w:val="24"/>
          <w:szCs w:val="24"/>
          <w:lang w:val="es-ES"/>
        </w:rPr>
        <w:t xml:space="preserve">, </w:t>
      </w:r>
      <w:r w:rsidRPr="000B3E1F">
        <w:rPr>
          <w:rFonts w:ascii="Arial" w:hAnsi="Arial" w:cs="Arial"/>
          <w:i/>
          <w:iCs/>
          <w:sz w:val="24"/>
          <w:szCs w:val="24"/>
          <w:lang w:val="es-ES"/>
        </w:rPr>
        <w:t>29</w:t>
      </w:r>
      <w:r w:rsidRPr="000B3E1F">
        <w:rPr>
          <w:rFonts w:ascii="Arial" w:hAnsi="Arial" w:cs="Arial"/>
          <w:sz w:val="24"/>
          <w:szCs w:val="24"/>
          <w:lang w:val="es-ES"/>
        </w:rPr>
        <w:t xml:space="preserve">(2), 43–48. </w:t>
      </w:r>
      <w:r w:rsidRPr="000B3E1F">
        <w:rPr>
          <w:rFonts w:ascii="Arial" w:hAnsi="Arial" w:cs="Arial"/>
          <w:sz w:val="24"/>
          <w:szCs w:val="24"/>
          <w:lang w:val="es-ES"/>
        </w:rPr>
        <w:lastRenderedPageBreak/>
        <w:t>http://scielo.sld.cu/scielo.php?script=sci_abstract&amp;pid=S0258-59362008000200007&amp;lng=es&amp;nrm=iso&amp;tlng=es</w:t>
      </w:r>
    </w:p>
    <w:p w14:paraId="1066B1D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Foolad, M. R. (2007). Genome Mapping and Molecular Breeding of Tomato. </w:t>
      </w:r>
      <w:r w:rsidRPr="000B3E1F">
        <w:rPr>
          <w:rFonts w:ascii="Arial" w:hAnsi="Arial" w:cs="Arial"/>
          <w:i/>
          <w:iCs/>
          <w:sz w:val="24"/>
          <w:szCs w:val="24"/>
        </w:rPr>
        <w:t>International Journal of Plant Genomics</w:t>
      </w:r>
      <w:r w:rsidRPr="000B3E1F">
        <w:rPr>
          <w:rFonts w:ascii="Arial" w:hAnsi="Arial" w:cs="Arial"/>
          <w:sz w:val="24"/>
          <w:szCs w:val="24"/>
        </w:rPr>
        <w:t xml:space="preserve">, </w:t>
      </w:r>
      <w:r w:rsidRPr="000B3E1F">
        <w:rPr>
          <w:rFonts w:ascii="Arial" w:hAnsi="Arial" w:cs="Arial"/>
          <w:i/>
          <w:iCs/>
          <w:sz w:val="24"/>
          <w:szCs w:val="24"/>
        </w:rPr>
        <w:t>2007</w:t>
      </w:r>
      <w:r w:rsidRPr="000B3E1F">
        <w:rPr>
          <w:rFonts w:ascii="Arial" w:hAnsi="Arial" w:cs="Arial"/>
          <w:sz w:val="24"/>
          <w:szCs w:val="24"/>
        </w:rPr>
        <w:t>(1), 064358. https://doi.org/10.1155/2007/64358</w:t>
      </w:r>
    </w:p>
    <w:p w14:paraId="4EC08F9E"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Gálvez, G., &amp; Sigarroa, A. (2010). </w:t>
      </w:r>
      <w:r w:rsidRPr="000B3E1F">
        <w:rPr>
          <w:rFonts w:ascii="Arial" w:hAnsi="Arial" w:cs="Arial"/>
          <w:i/>
          <w:iCs/>
          <w:sz w:val="24"/>
          <w:szCs w:val="24"/>
          <w:lang w:val="es-ES"/>
        </w:rPr>
        <w:t>MODELACIÓN DE CULTIVOS AGRÍCOLAS. ALGUNOS EJEMPLOS</w:t>
      </w:r>
      <w:r w:rsidRPr="000B3E1F">
        <w:rPr>
          <w:rFonts w:ascii="Arial" w:hAnsi="Arial" w:cs="Arial"/>
          <w:sz w:val="24"/>
          <w:szCs w:val="24"/>
          <w:lang w:val="es-ES"/>
        </w:rPr>
        <w:t>. 7.</w:t>
      </w:r>
    </w:p>
    <w:p w14:paraId="4C52816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Gary, C. C., Baille, A., Navarrete, M., &amp; Espanet, R. (1996, March 12). </w:t>
      </w:r>
      <w:r w:rsidRPr="000B3E1F">
        <w:rPr>
          <w:rFonts w:ascii="Arial" w:hAnsi="Arial" w:cs="Arial"/>
          <w:i/>
          <w:iCs/>
          <w:sz w:val="24"/>
          <w:szCs w:val="24"/>
          <w:lang w:val="es-ES"/>
        </w:rPr>
        <w:t>TOMPOUSSE, un modèle simplifié de prévision du rendement et du calibre de la tomate</w:t>
      </w:r>
      <w:r w:rsidRPr="000B3E1F">
        <w:rPr>
          <w:rFonts w:ascii="Arial" w:hAnsi="Arial" w:cs="Arial"/>
          <w:sz w:val="24"/>
          <w:szCs w:val="24"/>
          <w:lang w:val="es-ES"/>
        </w:rPr>
        <w:t xml:space="preserve">. </w:t>
      </w:r>
      <w:r w:rsidRPr="000B3E1F">
        <w:rPr>
          <w:rFonts w:ascii="Arial" w:hAnsi="Arial" w:cs="Arial"/>
          <w:sz w:val="24"/>
          <w:szCs w:val="24"/>
        </w:rPr>
        <w:t>Séminaire. https://hal.inrae.fr/hal-02769257</w:t>
      </w:r>
    </w:p>
    <w:p w14:paraId="143C3B6B"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Gavasso, Y. L., Papalexiou, S. M., Li, Y., Elshorbagy, A., Li, Z., &amp; Schuster</w:t>
      </w:r>
      <w:r w:rsidRPr="000B3E1F">
        <w:rPr>
          <w:rFonts w:ascii="Cambria Math" w:hAnsi="Cambria Math" w:cs="Cambria Math"/>
          <w:sz w:val="24"/>
          <w:szCs w:val="24"/>
        </w:rPr>
        <w:t>‐</w:t>
      </w:r>
      <w:r w:rsidRPr="000B3E1F">
        <w:rPr>
          <w:rFonts w:ascii="Arial" w:hAnsi="Arial" w:cs="Arial"/>
          <w:sz w:val="24"/>
          <w:szCs w:val="24"/>
        </w:rPr>
        <w:t xml:space="preserve">Wallace, C. (2024). Crop models and their use in assessing crop production and food security: A review. </w:t>
      </w:r>
      <w:r w:rsidRPr="000B3E1F">
        <w:rPr>
          <w:rFonts w:ascii="Arial" w:hAnsi="Arial" w:cs="Arial"/>
          <w:i/>
          <w:iCs/>
          <w:sz w:val="24"/>
          <w:szCs w:val="24"/>
        </w:rPr>
        <w:t>Food and Energy Security</w:t>
      </w:r>
      <w:r w:rsidRPr="000B3E1F">
        <w:rPr>
          <w:rFonts w:ascii="Arial" w:hAnsi="Arial" w:cs="Arial"/>
          <w:sz w:val="24"/>
          <w:szCs w:val="24"/>
        </w:rPr>
        <w:t xml:space="preserve">, </w:t>
      </w:r>
      <w:r w:rsidRPr="000B3E1F">
        <w:rPr>
          <w:rFonts w:ascii="Arial" w:hAnsi="Arial" w:cs="Arial"/>
          <w:i/>
          <w:iCs/>
          <w:sz w:val="24"/>
          <w:szCs w:val="24"/>
        </w:rPr>
        <w:t>13</w:t>
      </w:r>
      <w:r w:rsidRPr="000B3E1F">
        <w:rPr>
          <w:rFonts w:ascii="Arial" w:hAnsi="Arial" w:cs="Arial"/>
          <w:sz w:val="24"/>
          <w:szCs w:val="24"/>
        </w:rPr>
        <w:t>(1), e503. https://doi.org/10.1002/fes3.503</w:t>
      </w:r>
    </w:p>
    <w:p w14:paraId="65C04545"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Ge, J., Yu, Z., Gong, X., Ping, Y., Luo, J., &amp; Li, Y. (2023). Evaluation of Irrigation Modes for Greenhouse Drip Irrigation Tomatoes Based on AquaCrop and DSSAT Models. </w:t>
      </w:r>
      <w:r w:rsidRPr="000B3E1F">
        <w:rPr>
          <w:rFonts w:ascii="Arial" w:hAnsi="Arial" w:cs="Arial"/>
          <w:i/>
          <w:iCs/>
          <w:sz w:val="24"/>
          <w:szCs w:val="24"/>
        </w:rPr>
        <w:t>Plants</w:t>
      </w:r>
      <w:r w:rsidRPr="000B3E1F">
        <w:rPr>
          <w:rFonts w:ascii="Arial" w:hAnsi="Arial" w:cs="Arial"/>
          <w:sz w:val="24"/>
          <w:szCs w:val="24"/>
        </w:rPr>
        <w:t xml:space="preserve">, </w:t>
      </w:r>
      <w:r w:rsidRPr="000B3E1F">
        <w:rPr>
          <w:rFonts w:ascii="Arial" w:hAnsi="Arial" w:cs="Arial"/>
          <w:i/>
          <w:iCs/>
          <w:sz w:val="24"/>
          <w:szCs w:val="24"/>
        </w:rPr>
        <w:t>12</w:t>
      </w:r>
      <w:r w:rsidRPr="000B3E1F">
        <w:rPr>
          <w:rFonts w:ascii="Arial" w:hAnsi="Arial" w:cs="Arial"/>
          <w:sz w:val="24"/>
          <w:szCs w:val="24"/>
        </w:rPr>
        <w:t>(22), 3863. https://doi.org/10.3390/plants12223863</w:t>
      </w:r>
    </w:p>
    <w:p w14:paraId="1C2E5A4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Gerlin, L., Cottret, L., Escourrou, A., Genin, S., &amp; Baroukh, C. (2021). </w:t>
      </w:r>
      <w:r w:rsidRPr="000B3E1F">
        <w:rPr>
          <w:rFonts w:ascii="Arial" w:hAnsi="Arial" w:cs="Arial"/>
          <w:i/>
          <w:iCs/>
          <w:sz w:val="24"/>
          <w:szCs w:val="24"/>
        </w:rPr>
        <w:t>A multi-organ metabolic model of tomato predicts plant responses to nutritional and genetic perturbations</w:t>
      </w:r>
      <w:r w:rsidRPr="000B3E1F">
        <w:rPr>
          <w:rFonts w:ascii="Arial" w:hAnsi="Arial" w:cs="Arial"/>
          <w:sz w:val="24"/>
          <w:szCs w:val="24"/>
        </w:rPr>
        <w:t xml:space="preserve"> (p. 2021.09.30.462630). bioRxiv. https://doi.org/10.1101/2021.09.30.462630</w:t>
      </w:r>
    </w:p>
    <w:p w14:paraId="394968EC"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Giuliani, M. M., Gatta, G., Cappelli, G., Gagliardi, A., Donatelli, M., Fanchini, D., De Nart, D., Mongiano, G., &amp; Bregaglio, S. (2019). Identifying the most promising agronomic adaptation strategies for the tomato growing systems in Southern Italy via simulation modeling. </w:t>
      </w:r>
      <w:r w:rsidRPr="000B3E1F">
        <w:rPr>
          <w:rFonts w:ascii="Arial" w:hAnsi="Arial" w:cs="Arial"/>
          <w:i/>
          <w:iCs/>
          <w:sz w:val="24"/>
          <w:szCs w:val="24"/>
        </w:rPr>
        <w:t>European Journal of Agronomy</w:t>
      </w:r>
      <w:r w:rsidRPr="000B3E1F">
        <w:rPr>
          <w:rFonts w:ascii="Arial" w:hAnsi="Arial" w:cs="Arial"/>
          <w:sz w:val="24"/>
          <w:szCs w:val="24"/>
        </w:rPr>
        <w:t xml:space="preserve">, </w:t>
      </w:r>
      <w:r w:rsidRPr="000B3E1F">
        <w:rPr>
          <w:rFonts w:ascii="Arial" w:hAnsi="Arial" w:cs="Arial"/>
          <w:i/>
          <w:iCs/>
          <w:sz w:val="24"/>
          <w:szCs w:val="24"/>
        </w:rPr>
        <w:t>111</w:t>
      </w:r>
      <w:r w:rsidRPr="000B3E1F">
        <w:rPr>
          <w:rFonts w:ascii="Arial" w:hAnsi="Arial" w:cs="Arial"/>
          <w:sz w:val="24"/>
          <w:szCs w:val="24"/>
        </w:rPr>
        <w:t>, 125937. https://doi.org/10.1016/j.eja.2019.125937</w:t>
      </w:r>
    </w:p>
    <w:p w14:paraId="504B027F"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Gong, L., Yu, M., Jiang, S., Cutsuridis, V., Kollias, S., &amp; Pearson, S. (2021). Studies of evolutionary algorithms for the reduced Tomgro model calibration for modelling </w:t>
      </w:r>
      <w:r w:rsidRPr="000B3E1F">
        <w:rPr>
          <w:rFonts w:ascii="Arial" w:hAnsi="Arial" w:cs="Arial"/>
          <w:sz w:val="24"/>
          <w:szCs w:val="24"/>
        </w:rPr>
        <w:lastRenderedPageBreak/>
        <w:t xml:space="preserve">tomato yields. </w:t>
      </w:r>
      <w:r w:rsidRPr="000B3E1F">
        <w:rPr>
          <w:rFonts w:ascii="Arial" w:hAnsi="Arial" w:cs="Arial"/>
          <w:i/>
          <w:iCs/>
          <w:sz w:val="24"/>
          <w:szCs w:val="24"/>
        </w:rPr>
        <w:t>Smart Agricultural Technology</w:t>
      </w:r>
      <w:r w:rsidRPr="000B3E1F">
        <w:rPr>
          <w:rFonts w:ascii="Arial" w:hAnsi="Arial" w:cs="Arial"/>
          <w:sz w:val="24"/>
          <w:szCs w:val="24"/>
        </w:rPr>
        <w:t xml:space="preserve">, </w:t>
      </w:r>
      <w:r w:rsidRPr="000B3E1F">
        <w:rPr>
          <w:rFonts w:ascii="Arial" w:hAnsi="Arial" w:cs="Arial"/>
          <w:i/>
          <w:iCs/>
          <w:sz w:val="24"/>
          <w:szCs w:val="24"/>
        </w:rPr>
        <w:t>1</w:t>
      </w:r>
      <w:r w:rsidRPr="000B3E1F">
        <w:rPr>
          <w:rFonts w:ascii="Arial" w:hAnsi="Arial" w:cs="Arial"/>
          <w:sz w:val="24"/>
          <w:szCs w:val="24"/>
        </w:rPr>
        <w:t>, 100011. https://doi.org/10.1016/j.atech.2021.100011</w:t>
      </w:r>
    </w:p>
    <w:p w14:paraId="68AB9707"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Gongolee, G. a. K., Akromah, R., &amp; Osei, M. K. (2016). Assessment of genetic variation among some introduced tomato (Solanum lycopersicum L.) varieties using SSR markers. </w:t>
      </w:r>
      <w:r w:rsidRPr="000B3E1F">
        <w:rPr>
          <w:rFonts w:ascii="Arial" w:hAnsi="Arial" w:cs="Arial"/>
          <w:i/>
          <w:iCs/>
          <w:sz w:val="24"/>
          <w:szCs w:val="24"/>
        </w:rPr>
        <w:t>Agricultural and Food Science Journal of Ghana</w:t>
      </w:r>
      <w:r w:rsidRPr="000B3E1F">
        <w:rPr>
          <w:rFonts w:ascii="Arial" w:hAnsi="Arial" w:cs="Arial"/>
          <w:sz w:val="24"/>
          <w:szCs w:val="24"/>
        </w:rPr>
        <w:t xml:space="preserve">, </w:t>
      </w:r>
      <w:r w:rsidRPr="000B3E1F">
        <w:rPr>
          <w:rFonts w:ascii="Arial" w:hAnsi="Arial" w:cs="Arial"/>
          <w:i/>
          <w:iCs/>
          <w:sz w:val="24"/>
          <w:szCs w:val="24"/>
        </w:rPr>
        <w:t>9</w:t>
      </w:r>
      <w:r w:rsidRPr="000B3E1F">
        <w:rPr>
          <w:rFonts w:ascii="Arial" w:hAnsi="Arial" w:cs="Arial"/>
          <w:sz w:val="24"/>
          <w:szCs w:val="24"/>
        </w:rPr>
        <w:t>, 686–695. https://www.ajol.info/index.php/afsjg/article/view/146725</w:t>
      </w:r>
    </w:p>
    <w:p w14:paraId="19CDE008"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Grancharova, E., Elenov, B., &amp; Janevska, E. (2022). </w:t>
      </w:r>
      <w:r w:rsidRPr="000B3E1F">
        <w:rPr>
          <w:rFonts w:ascii="Arial" w:hAnsi="Arial" w:cs="Arial"/>
          <w:i/>
          <w:iCs/>
          <w:sz w:val="24"/>
          <w:szCs w:val="24"/>
        </w:rPr>
        <w:t>QUANTITATIVE PREDICTION OF TOMATO IRRIGATION NEEDS USING CROPWAT MODEL</w:t>
      </w:r>
      <w:r w:rsidRPr="000B3E1F">
        <w:rPr>
          <w:rFonts w:ascii="Arial" w:hAnsi="Arial" w:cs="Arial"/>
          <w:sz w:val="24"/>
          <w:szCs w:val="24"/>
        </w:rPr>
        <w:t xml:space="preserve">. </w:t>
      </w:r>
      <w:r w:rsidRPr="000B3E1F">
        <w:rPr>
          <w:rFonts w:ascii="Arial" w:hAnsi="Arial" w:cs="Arial"/>
          <w:i/>
          <w:iCs/>
          <w:sz w:val="24"/>
          <w:szCs w:val="24"/>
        </w:rPr>
        <w:t>76</w:t>
      </w:r>
      <w:r w:rsidRPr="000B3E1F">
        <w:rPr>
          <w:rFonts w:ascii="Arial" w:hAnsi="Arial" w:cs="Arial"/>
          <w:sz w:val="24"/>
          <w:szCs w:val="24"/>
        </w:rPr>
        <w:t>(7).</w:t>
      </w:r>
    </w:p>
    <w:p w14:paraId="0A18496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Grassini, P., van Bussel, L. G. J., Van Wart, J., Wolf, J., Claessens, L., Yang, H., Boogaard, H., de Groot, H., van Ittersum, M. K., &amp; Cassman, K. G. (2015). How good is good enough? Data requirements for reliable crop yield simulations and yield-gap analysis. </w:t>
      </w:r>
      <w:r w:rsidRPr="000B3E1F">
        <w:rPr>
          <w:rFonts w:ascii="Arial" w:hAnsi="Arial" w:cs="Arial"/>
          <w:i/>
          <w:iCs/>
          <w:sz w:val="24"/>
          <w:szCs w:val="24"/>
        </w:rPr>
        <w:t>Field Crops Research</w:t>
      </w:r>
      <w:r w:rsidRPr="000B3E1F">
        <w:rPr>
          <w:rFonts w:ascii="Arial" w:hAnsi="Arial" w:cs="Arial"/>
          <w:sz w:val="24"/>
          <w:szCs w:val="24"/>
        </w:rPr>
        <w:t xml:space="preserve">, </w:t>
      </w:r>
      <w:r w:rsidRPr="000B3E1F">
        <w:rPr>
          <w:rFonts w:ascii="Arial" w:hAnsi="Arial" w:cs="Arial"/>
          <w:i/>
          <w:iCs/>
          <w:sz w:val="24"/>
          <w:szCs w:val="24"/>
        </w:rPr>
        <w:t>177</w:t>
      </w:r>
      <w:r w:rsidRPr="000B3E1F">
        <w:rPr>
          <w:rFonts w:ascii="Arial" w:hAnsi="Arial" w:cs="Arial"/>
          <w:sz w:val="24"/>
          <w:szCs w:val="24"/>
        </w:rPr>
        <w:t>, 49–63. https://doi.org/10.1016/j.fcr.2015.03.004</w:t>
      </w:r>
    </w:p>
    <w:p w14:paraId="60C3EA19"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Greaves, G. E., &amp; Wang, Y.-M. (2016). Assessment of FAO AquaCrop Model for Simulating Maize Growth and Productivity under Deficit Irrigation in a Tropical Environment. </w:t>
      </w:r>
      <w:r w:rsidRPr="000B3E1F">
        <w:rPr>
          <w:rFonts w:ascii="Arial" w:hAnsi="Arial" w:cs="Arial"/>
          <w:i/>
          <w:iCs/>
          <w:sz w:val="24"/>
          <w:szCs w:val="24"/>
        </w:rPr>
        <w:t>Water</w:t>
      </w:r>
      <w:r w:rsidRPr="000B3E1F">
        <w:rPr>
          <w:rFonts w:ascii="Arial" w:hAnsi="Arial" w:cs="Arial"/>
          <w:sz w:val="24"/>
          <w:szCs w:val="24"/>
        </w:rPr>
        <w:t xml:space="preserve">, </w:t>
      </w:r>
      <w:r w:rsidRPr="000B3E1F">
        <w:rPr>
          <w:rFonts w:ascii="Arial" w:hAnsi="Arial" w:cs="Arial"/>
          <w:i/>
          <w:iCs/>
          <w:sz w:val="24"/>
          <w:szCs w:val="24"/>
        </w:rPr>
        <w:t>8</w:t>
      </w:r>
      <w:r w:rsidRPr="000B3E1F">
        <w:rPr>
          <w:rFonts w:ascii="Arial" w:hAnsi="Arial" w:cs="Arial"/>
          <w:sz w:val="24"/>
          <w:szCs w:val="24"/>
        </w:rPr>
        <w:t>(12), Article 12. https://doi.org/10.3390/w8120557</w:t>
      </w:r>
    </w:p>
    <w:p w14:paraId="56F8B57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Halimi, A. H., &amp; Tefera, A. H. (2019). Application of Cropwat Model for Estimation of Irrigation Scheduling of Tomato in Changing Climate of Eastern Europe: The Case Study of Godollo, Hungary. </w:t>
      </w:r>
      <w:r w:rsidRPr="000B3E1F">
        <w:rPr>
          <w:rFonts w:ascii="Arial" w:hAnsi="Arial" w:cs="Arial"/>
          <w:i/>
          <w:iCs/>
          <w:sz w:val="24"/>
          <w:szCs w:val="24"/>
        </w:rPr>
        <w:t>International Journal of Agriculture &amp; Environmental Science</w:t>
      </w:r>
      <w:r w:rsidRPr="000B3E1F">
        <w:rPr>
          <w:rFonts w:ascii="Arial" w:hAnsi="Arial" w:cs="Arial"/>
          <w:sz w:val="24"/>
          <w:szCs w:val="24"/>
        </w:rPr>
        <w:t xml:space="preserve">, </w:t>
      </w:r>
      <w:r w:rsidRPr="000B3E1F">
        <w:rPr>
          <w:rFonts w:ascii="Arial" w:hAnsi="Arial" w:cs="Arial"/>
          <w:i/>
          <w:iCs/>
          <w:sz w:val="24"/>
          <w:szCs w:val="24"/>
        </w:rPr>
        <w:t>6</w:t>
      </w:r>
      <w:r w:rsidRPr="000B3E1F">
        <w:rPr>
          <w:rFonts w:ascii="Arial" w:hAnsi="Arial" w:cs="Arial"/>
          <w:sz w:val="24"/>
          <w:szCs w:val="24"/>
        </w:rPr>
        <w:t>(1), 1–11. https://doi.org/10.14445/23942568/IJAES-V6I1P101</w:t>
      </w:r>
    </w:p>
    <w:p w14:paraId="1E55B3A1"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Henareh, M., Dursun, A., &amp; Mandoulakani, B. A. (2015). GENETIC DIVERSITY IN TOMATO LANDRACES COLLECTED FROM TURKEY AND IRAN REVEALED BY MORPHOLOGICAL CHARACTERS. </w:t>
      </w:r>
      <w:r w:rsidRPr="000B3E1F">
        <w:rPr>
          <w:rFonts w:ascii="Arial" w:hAnsi="Arial" w:cs="Arial"/>
          <w:i/>
          <w:iCs/>
          <w:sz w:val="24"/>
          <w:szCs w:val="24"/>
          <w:lang w:val="es-ES"/>
        </w:rPr>
        <w:t>Acta Scientiarum Polonorum Hortorum Cultus</w:t>
      </w:r>
      <w:r w:rsidRPr="000B3E1F">
        <w:rPr>
          <w:rFonts w:ascii="Arial" w:hAnsi="Arial" w:cs="Arial"/>
          <w:sz w:val="24"/>
          <w:szCs w:val="24"/>
          <w:lang w:val="es-ES"/>
        </w:rPr>
        <w:t xml:space="preserve">, </w:t>
      </w:r>
      <w:r w:rsidRPr="000B3E1F">
        <w:rPr>
          <w:rFonts w:ascii="Arial" w:hAnsi="Arial" w:cs="Arial"/>
          <w:i/>
          <w:iCs/>
          <w:sz w:val="24"/>
          <w:szCs w:val="24"/>
          <w:lang w:val="es-ES"/>
        </w:rPr>
        <w:t>14</w:t>
      </w:r>
      <w:r w:rsidRPr="000B3E1F">
        <w:rPr>
          <w:rFonts w:ascii="Arial" w:hAnsi="Arial" w:cs="Arial"/>
          <w:sz w:val="24"/>
          <w:szCs w:val="24"/>
          <w:lang w:val="es-ES"/>
        </w:rPr>
        <w:t>(2), Article 2. https://czasopisma.up.lublin.pl/asphc/article/view/2560</w:t>
      </w:r>
    </w:p>
    <w:p w14:paraId="58D8D977"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Hernández Jiménez, A., Pérez Jiménez, J. M., &amp; Bosch Infante, D. (2015). </w:t>
      </w:r>
      <w:r w:rsidRPr="000B3E1F">
        <w:rPr>
          <w:rFonts w:ascii="Arial" w:hAnsi="Arial" w:cs="Arial"/>
          <w:i/>
          <w:iCs/>
          <w:sz w:val="24"/>
          <w:szCs w:val="24"/>
          <w:lang w:val="es-ES"/>
        </w:rPr>
        <w:t>Clasificación de los suelos de Cuba.</w:t>
      </w:r>
      <w:r w:rsidRPr="000B3E1F">
        <w:rPr>
          <w:rFonts w:ascii="Arial" w:hAnsi="Arial" w:cs="Arial"/>
          <w:sz w:val="24"/>
          <w:szCs w:val="24"/>
          <w:lang w:val="es-ES"/>
        </w:rPr>
        <w:t xml:space="preserve"> D - Instituto Nacional de Ciencias Agrícolas. https://public.ebookcentral.proquest.com/choice/publicfullrecord.aspx?p=5349549</w:t>
      </w:r>
    </w:p>
    <w:p w14:paraId="121B89FE"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lastRenderedPageBreak/>
        <w:t xml:space="preserve">Hernando, V., Jimeno, L., &amp; Cadahía, C. (1964). </w:t>
      </w:r>
      <w:r w:rsidRPr="000B3E1F">
        <w:rPr>
          <w:rFonts w:ascii="Arial" w:hAnsi="Arial" w:cs="Arial"/>
          <w:i/>
          <w:iCs/>
          <w:sz w:val="24"/>
          <w:szCs w:val="24"/>
          <w:lang w:val="es-ES"/>
        </w:rPr>
        <w:t>Anales de Edafología y Agrobiología Tomo 23 | DIGITAL.CSIC</w:t>
      </w:r>
      <w:r w:rsidRPr="000B3E1F">
        <w:rPr>
          <w:rFonts w:ascii="Arial" w:hAnsi="Arial" w:cs="Arial"/>
          <w:sz w:val="24"/>
          <w:szCs w:val="24"/>
          <w:lang w:val="es-ES"/>
        </w:rPr>
        <w:t>. https://digital.csic.es/handle/10261/215829</w:t>
      </w:r>
    </w:p>
    <w:p w14:paraId="45898DFF"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Heuvelink, E., Bakker, M. J., Elings, A., Kaarsemaker, R. C., &amp; Marcelis, L. F. M. (2005). EFFECT OF LEAF AREA ON TOMATO YIELD. </w:t>
      </w:r>
      <w:r w:rsidRPr="000B3E1F">
        <w:rPr>
          <w:rFonts w:ascii="Arial" w:hAnsi="Arial" w:cs="Arial"/>
          <w:i/>
          <w:iCs/>
          <w:sz w:val="24"/>
          <w:szCs w:val="24"/>
        </w:rPr>
        <w:t>Acta Horticulturae</w:t>
      </w:r>
      <w:r w:rsidRPr="000B3E1F">
        <w:rPr>
          <w:rFonts w:ascii="Arial" w:hAnsi="Arial" w:cs="Arial"/>
          <w:sz w:val="24"/>
          <w:szCs w:val="24"/>
        </w:rPr>
        <w:t xml:space="preserve">, </w:t>
      </w:r>
      <w:r w:rsidRPr="000B3E1F">
        <w:rPr>
          <w:rFonts w:ascii="Arial" w:hAnsi="Arial" w:cs="Arial"/>
          <w:i/>
          <w:iCs/>
          <w:sz w:val="24"/>
          <w:szCs w:val="24"/>
        </w:rPr>
        <w:t>691</w:t>
      </w:r>
      <w:r w:rsidRPr="000B3E1F">
        <w:rPr>
          <w:rFonts w:ascii="Arial" w:hAnsi="Arial" w:cs="Arial"/>
          <w:sz w:val="24"/>
          <w:szCs w:val="24"/>
        </w:rPr>
        <w:t>, 43–50. https://doi.org/10.17660/ActaHortic.2005.691.2</w:t>
      </w:r>
    </w:p>
    <w:p w14:paraId="4919365E"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Holmann, F. J. (2000). </w:t>
      </w:r>
      <w:r w:rsidRPr="000B3E1F">
        <w:rPr>
          <w:rFonts w:ascii="Arial" w:hAnsi="Arial" w:cs="Arial"/>
          <w:i/>
          <w:iCs/>
          <w:sz w:val="24"/>
          <w:szCs w:val="24"/>
          <w:lang w:val="es-ES"/>
        </w:rPr>
        <w:t>El Uso de modelos de simulación como herramienta para la toma de decisiones en la promoción de nuevas alternativas forrajeras: El caso de Costa Rica y Perú</w:t>
      </w:r>
      <w:r w:rsidRPr="000B3E1F">
        <w:rPr>
          <w:rFonts w:ascii="Arial" w:hAnsi="Arial" w:cs="Arial"/>
          <w:sz w:val="24"/>
          <w:szCs w:val="24"/>
          <w:lang w:val="es-ES"/>
        </w:rPr>
        <w:t>. https://cgspace.cgiar.org/handle/10568/1452</w:t>
      </w:r>
    </w:p>
    <w:p w14:paraId="67479FF8"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Hoogenboom, G., Porter, C. H., Boote, K. J., Shelia, V., Wilkens, P. W., Singh, U., White, J. W., Asseng, S., Lizaso, J. I., &amp; Moreno, L. P. (2019). The DSSAT crop modeling ecosystem. In </w:t>
      </w:r>
      <w:r w:rsidRPr="000B3E1F">
        <w:rPr>
          <w:rFonts w:ascii="Arial" w:hAnsi="Arial" w:cs="Arial"/>
          <w:i/>
          <w:iCs/>
          <w:sz w:val="24"/>
          <w:szCs w:val="24"/>
        </w:rPr>
        <w:t>Advances in crop modelling for a sustainable agriculture</w:t>
      </w:r>
      <w:r w:rsidRPr="000B3E1F">
        <w:rPr>
          <w:rFonts w:ascii="Arial" w:hAnsi="Arial" w:cs="Arial"/>
          <w:sz w:val="24"/>
          <w:szCs w:val="24"/>
        </w:rPr>
        <w:t xml:space="preserve"> (pp. 173–216). Burleigh Dodds Science Publishing. https://www.taylorfrancis.com/chapters/edit/10.1201/9780429266591-7/dssat-crop-modeling-ecosystem-gerrit-hoogenboom-cheryl-porter-kenneth-boote-vakhtang-shelia-paul-wilkens-upendra-singh-jeffrey-white-senthold-asseng-jon-lizaso-patricia-moreno-willingthon-pavan-richard-ogoshi-anthony-hunt-gordon-tsuji-james-jones</w:t>
      </w:r>
    </w:p>
    <w:p w14:paraId="41D0D58B"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Hoogenboom, G., Porter, C. H., Sheila, V., Boote, K. J., Singh, U., Pavan, W., Oliveira, F. A. A., &amp; Jones, J. W. (2023). </w:t>
      </w:r>
      <w:r w:rsidRPr="000B3E1F">
        <w:rPr>
          <w:rFonts w:ascii="Arial" w:hAnsi="Arial" w:cs="Arial"/>
          <w:i/>
          <w:iCs/>
          <w:sz w:val="24"/>
          <w:szCs w:val="24"/>
        </w:rPr>
        <w:t>DSSAT.net—Official Home of the DSSAT Cropping Systems Model</w:t>
      </w:r>
      <w:r w:rsidRPr="000B3E1F">
        <w:rPr>
          <w:rFonts w:ascii="Arial" w:hAnsi="Arial" w:cs="Arial"/>
          <w:sz w:val="24"/>
          <w:szCs w:val="24"/>
        </w:rPr>
        <w:t>. DSSAT.Net. https://dssat.net/</w:t>
      </w:r>
    </w:p>
    <w:p w14:paraId="039D1748"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Hoshikawa, K., Pham, D., Ezura, H., Schafleitner, R., &amp; Nakashima, K. (2021). Genetic and Molecular Mechanisms Conferring Heat Stress Tolerance in Tomato Plants. </w:t>
      </w:r>
      <w:r w:rsidRPr="000B3E1F">
        <w:rPr>
          <w:rFonts w:ascii="Arial" w:hAnsi="Arial" w:cs="Arial"/>
          <w:i/>
          <w:iCs/>
          <w:sz w:val="24"/>
          <w:szCs w:val="24"/>
          <w:lang w:val="es-ES"/>
        </w:rPr>
        <w:t>Frontiers in Plant Science</w:t>
      </w:r>
      <w:r w:rsidRPr="000B3E1F">
        <w:rPr>
          <w:rFonts w:ascii="Arial" w:hAnsi="Arial" w:cs="Arial"/>
          <w:sz w:val="24"/>
          <w:szCs w:val="24"/>
          <w:lang w:val="es-ES"/>
        </w:rPr>
        <w:t xml:space="preserve">, </w:t>
      </w:r>
      <w:r w:rsidRPr="000B3E1F">
        <w:rPr>
          <w:rFonts w:ascii="Arial" w:hAnsi="Arial" w:cs="Arial"/>
          <w:i/>
          <w:iCs/>
          <w:sz w:val="24"/>
          <w:szCs w:val="24"/>
          <w:lang w:val="es-ES"/>
        </w:rPr>
        <w:t>12</w:t>
      </w:r>
      <w:r w:rsidRPr="000B3E1F">
        <w:rPr>
          <w:rFonts w:ascii="Arial" w:hAnsi="Arial" w:cs="Arial"/>
          <w:sz w:val="24"/>
          <w:szCs w:val="24"/>
          <w:lang w:val="es-ES"/>
        </w:rPr>
        <w:t>. https://doi.org/10.3389/fpls.2021.786688</w:t>
      </w:r>
    </w:p>
    <w:p w14:paraId="3C92DA35"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Intagri. (2017). </w:t>
      </w:r>
      <w:r w:rsidRPr="000B3E1F">
        <w:rPr>
          <w:rFonts w:ascii="Arial" w:hAnsi="Arial" w:cs="Arial"/>
          <w:i/>
          <w:iCs/>
          <w:sz w:val="24"/>
          <w:szCs w:val="24"/>
          <w:lang w:val="es-ES"/>
        </w:rPr>
        <w:t>El Índice de Área Foliar (IAF) y su Relación con el Rendimiento del Cultivo de Maíz | Intagri S.C.</w:t>
      </w:r>
      <w:r w:rsidRPr="000B3E1F">
        <w:rPr>
          <w:rFonts w:ascii="Arial" w:hAnsi="Arial" w:cs="Arial"/>
          <w:sz w:val="24"/>
          <w:szCs w:val="24"/>
          <w:lang w:val="es-ES"/>
        </w:rPr>
        <w:t xml:space="preserve"> https://www.intagri.com/articulos/cereales/el-indice-de-area-foliar-iaf</w:t>
      </w:r>
    </w:p>
    <w:p w14:paraId="68C9EDC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lastRenderedPageBreak/>
        <w:t xml:space="preserve">Jaramillo, J. E., Rodríguez, V. P., &amp; Aguilar, P. A. (2012). </w:t>
      </w:r>
      <w:r w:rsidRPr="000B3E1F">
        <w:rPr>
          <w:rFonts w:ascii="Arial" w:hAnsi="Arial" w:cs="Arial"/>
          <w:i/>
          <w:iCs/>
          <w:sz w:val="24"/>
          <w:szCs w:val="24"/>
          <w:lang w:val="es-ES"/>
        </w:rPr>
        <w:t>Factores climáticos y su influencia en la producción de tomate</w:t>
      </w:r>
      <w:r w:rsidRPr="000B3E1F">
        <w:rPr>
          <w:rFonts w:ascii="Arial" w:hAnsi="Arial" w:cs="Arial"/>
          <w:sz w:val="24"/>
          <w:szCs w:val="24"/>
          <w:lang w:val="es-ES"/>
        </w:rPr>
        <w:t xml:space="preserve">. </w:t>
      </w:r>
      <w:r w:rsidRPr="000B3E1F">
        <w:rPr>
          <w:rFonts w:ascii="Arial" w:hAnsi="Arial" w:cs="Arial"/>
          <w:sz w:val="24"/>
          <w:szCs w:val="24"/>
        </w:rPr>
        <w:t>140–164. https://repository.agrosavia.co/handle/20.500.12324/1381</w:t>
      </w:r>
    </w:p>
    <w:p w14:paraId="25B4EDC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Javansalehi, M., &amp; Shourian, M. (2024). Assessing the impacts of climate change on agriculture and water systems via coupled human-hydrological modeling.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300</w:t>
      </w:r>
      <w:r w:rsidRPr="000B3E1F">
        <w:rPr>
          <w:rFonts w:ascii="Arial" w:hAnsi="Arial" w:cs="Arial"/>
          <w:sz w:val="24"/>
          <w:szCs w:val="24"/>
        </w:rPr>
        <w:t>, 108919. https://doi.org/10.1016/j.agwat.2024.108919</w:t>
      </w:r>
    </w:p>
    <w:p w14:paraId="29129B0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Jiang, X., Zhao, Y., Tong, L., Wang, R., &amp; Zhao, S. (2019). Quantitative analysis of tomato yield and comprehensive fruit quality in response to deficit irrigation at different growth stages. </w:t>
      </w:r>
      <w:r w:rsidRPr="000B3E1F">
        <w:rPr>
          <w:rFonts w:ascii="Arial" w:hAnsi="Arial" w:cs="Arial"/>
          <w:i/>
          <w:iCs/>
          <w:sz w:val="24"/>
          <w:szCs w:val="24"/>
        </w:rPr>
        <w:t>HortScience</w:t>
      </w:r>
      <w:r w:rsidRPr="000B3E1F">
        <w:rPr>
          <w:rFonts w:ascii="Arial" w:hAnsi="Arial" w:cs="Arial"/>
          <w:sz w:val="24"/>
          <w:szCs w:val="24"/>
        </w:rPr>
        <w:t xml:space="preserve">, </w:t>
      </w:r>
      <w:r w:rsidRPr="000B3E1F">
        <w:rPr>
          <w:rFonts w:ascii="Arial" w:hAnsi="Arial" w:cs="Arial"/>
          <w:i/>
          <w:iCs/>
          <w:sz w:val="24"/>
          <w:szCs w:val="24"/>
        </w:rPr>
        <w:t>54</w:t>
      </w:r>
      <w:r w:rsidRPr="000B3E1F">
        <w:rPr>
          <w:rFonts w:ascii="Arial" w:hAnsi="Arial" w:cs="Arial"/>
          <w:sz w:val="24"/>
          <w:szCs w:val="24"/>
        </w:rPr>
        <w:t>(8), 1409–1417. https://journals.ashs.org/hortsci/view/journals/hortsci/54/8/article-p1409.xml</w:t>
      </w:r>
    </w:p>
    <w:p w14:paraId="49D203B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Jin, N., Zhang, D., Jin, L., Wang, S., Yang, X., Lei, Y., Meng, X., Xu, Z., Sun, J., &amp; Lyu, J. (2023). Controlling water deficiency as an abiotic stress factor to improve tomato nutritional and flavour quality. </w:t>
      </w:r>
      <w:r w:rsidRPr="000B3E1F">
        <w:rPr>
          <w:rFonts w:ascii="Arial" w:hAnsi="Arial" w:cs="Arial"/>
          <w:i/>
          <w:iCs/>
          <w:sz w:val="24"/>
          <w:szCs w:val="24"/>
        </w:rPr>
        <w:t>Food Chemistry: X</w:t>
      </w:r>
      <w:r w:rsidRPr="000B3E1F">
        <w:rPr>
          <w:rFonts w:ascii="Arial" w:hAnsi="Arial" w:cs="Arial"/>
          <w:sz w:val="24"/>
          <w:szCs w:val="24"/>
        </w:rPr>
        <w:t xml:space="preserve">, </w:t>
      </w:r>
      <w:r w:rsidRPr="000B3E1F">
        <w:rPr>
          <w:rFonts w:ascii="Arial" w:hAnsi="Arial" w:cs="Arial"/>
          <w:i/>
          <w:iCs/>
          <w:sz w:val="24"/>
          <w:szCs w:val="24"/>
        </w:rPr>
        <w:t>19</w:t>
      </w:r>
      <w:r w:rsidRPr="000B3E1F">
        <w:rPr>
          <w:rFonts w:ascii="Arial" w:hAnsi="Arial" w:cs="Arial"/>
          <w:sz w:val="24"/>
          <w:szCs w:val="24"/>
        </w:rPr>
        <w:t>, 100756. https://www.sciencedirect.com/science/article/pii/S2590157523001992</w:t>
      </w:r>
    </w:p>
    <w:p w14:paraId="18E4F805"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Jones, J. W., Hoogenboom, G., Porter, C. H., Boote, K. J., Batchelor, W. D., Hunt, L. A., Wilkens, P. W., Singh, U., Gijsman, A. J., &amp; Ritchie, J. T. (2003a). The DSSAT cropping system model. </w:t>
      </w:r>
      <w:r w:rsidRPr="000B3E1F">
        <w:rPr>
          <w:rFonts w:ascii="Arial" w:hAnsi="Arial" w:cs="Arial"/>
          <w:i/>
          <w:iCs/>
          <w:sz w:val="24"/>
          <w:szCs w:val="24"/>
        </w:rPr>
        <w:t>European Journal of Agronomy</w:t>
      </w:r>
      <w:r w:rsidRPr="000B3E1F">
        <w:rPr>
          <w:rFonts w:ascii="Arial" w:hAnsi="Arial" w:cs="Arial"/>
          <w:sz w:val="24"/>
          <w:szCs w:val="24"/>
        </w:rPr>
        <w:t xml:space="preserve">, </w:t>
      </w:r>
      <w:r w:rsidRPr="000B3E1F">
        <w:rPr>
          <w:rFonts w:ascii="Arial" w:hAnsi="Arial" w:cs="Arial"/>
          <w:i/>
          <w:iCs/>
          <w:sz w:val="24"/>
          <w:szCs w:val="24"/>
        </w:rPr>
        <w:t>18</w:t>
      </w:r>
      <w:r w:rsidRPr="000B3E1F">
        <w:rPr>
          <w:rFonts w:ascii="Arial" w:hAnsi="Arial" w:cs="Arial"/>
          <w:sz w:val="24"/>
          <w:szCs w:val="24"/>
        </w:rPr>
        <w:t>(3), 235–265. https://doi.org/10.1016/S1161-0301(02)00107-7</w:t>
      </w:r>
    </w:p>
    <w:p w14:paraId="230B9350"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Jones, J. W., Hoogenboom, G., Porter, C. H., Boote, K. J., Batchelor, W. D., Hunt, L. A., Wilkens, P. W., Singh, U., Gijsman, A. J., &amp; Ritchie, J. T. (2003b). The DSSAT cropping system model. </w:t>
      </w:r>
      <w:r w:rsidRPr="000B3E1F">
        <w:rPr>
          <w:rFonts w:ascii="Arial" w:hAnsi="Arial" w:cs="Arial"/>
          <w:i/>
          <w:iCs/>
          <w:sz w:val="24"/>
          <w:szCs w:val="24"/>
        </w:rPr>
        <w:t>European Journal of Agronomy</w:t>
      </w:r>
      <w:r w:rsidRPr="000B3E1F">
        <w:rPr>
          <w:rFonts w:ascii="Arial" w:hAnsi="Arial" w:cs="Arial"/>
          <w:sz w:val="24"/>
          <w:szCs w:val="24"/>
        </w:rPr>
        <w:t xml:space="preserve">, </w:t>
      </w:r>
      <w:r w:rsidRPr="000B3E1F">
        <w:rPr>
          <w:rFonts w:ascii="Arial" w:hAnsi="Arial" w:cs="Arial"/>
          <w:i/>
          <w:iCs/>
          <w:sz w:val="24"/>
          <w:szCs w:val="24"/>
        </w:rPr>
        <w:t>18</w:t>
      </w:r>
      <w:r w:rsidRPr="000B3E1F">
        <w:rPr>
          <w:rFonts w:ascii="Arial" w:hAnsi="Arial" w:cs="Arial"/>
          <w:sz w:val="24"/>
          <w:szCs w:val="24"/>
        </w:rPr>
        <w:t>(3), 235–265. https://doi.org/10.1016/S1161-0301(02)00107-7</w:t>
      </w:r>
    </w:p>
    <w:p w14:paraId="0E1F2015"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Kasper, M., Foldal, C., Kitzler, B., Haas, E., Strauss, P., Eder, A., Zechmeister-Boltenstern, S., &amp; Amon, B. (2019). N2O emissions and NO3− leaching from two contrasting regions in Austria and influence of soil, crops and climate: A modelling approach. </w:t>
      </w:r>
      <w:r w:rsidRPr="000B3E1F">
        <w:rPr>
          <w:rFonts w:ascii="Arial" w:hAnsi="Arial" w:cs="Arial"/>
          <w:i/>
          <w:iCs/>
          <w:sz w:val="24"/>
          <w:szCs w:val="24"/>
        </w:rPr>
        <w:t>Nutrient Cycling in Agroecosystems</w:t>
      </w:r>
      <w:r w:rsidRPr="000B3E1F">
        <w:rPr>
          <w:rFonts w:ascii="Arial" w:hAnsi="Arial" w:cs="Arial"/>
          <w:sz w:val="24"/>
          <w:szCs w:val="24"/>
        </w:rPr>
        <w:t xml:space="preserve">, </w:t>
      </w:r>
      <w:r w:rsidRPr="000B3E1F">
        <w:rPr>
          <w:rFonts w:ascii="Arial" w:hAnsi="Arial" w:cs="Arial"/>
          <w:i/>
          <w:iCs/>
          <w:sz w:val="24"/>
          <w:szCs w:val="24"/>
        </w:rPr>
        <w:t>113</w:t>
      </w:r>
      <w:r w:rsidRPr="000B3E1F">
        <w:rPr>
          <w:rFonts w:ascii="Arial" w:hAnsi="Arial" w:cs="Arial"/>
          <w:sz w:val="24"/>
          <w:szCs w:val="24"/>
        </w:rPr>
        <w:t>(1), 95–111. https://doi.org/10.1007/s10705-018-9965-z</w:t>
      </w:r>
    </w:p>
    <w:p w14:paraId="5B1E8C0F"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lastRenderedPageBreak/>
        <w:t xml:space="preserve">Khan, Q., Wang, Y., Xia, G., Yang, H., Luo, Z., &amp; Zhang, Y. (2024). </w:t>
      </w:r>
      <w:r w:rsidRPr="000B3E1F">
        <w:rPr>
          <w:rFonts w:ascii="Arial" w:hAnsi="Arial" w:cs="Arial"/>
          <w:i/>
          <w:iCs/>
          <w:sz w:val="24"/>
          <w:szCs w:val="24"/>
        </w:rPr>
        <w:t>Deleterious Effects of Heat Stress on the Tomato, Its Innate Responses, and Potential Preventive Strategies in the Realm of Emerging Technologies</w:t>
      </w:r>
      <w:r w:rsidRPr="000B3E1F">
        <w:rPr>
          <w:rFonts w:ascii="Arial" w:hAnsi="Arial" w:cs="Arial"/>
          <w:sz w:val="24"/>
          <w:szCs w:val="24"/>
        </w:rPr>
        <w:t>. https://www.mdpi.com/2218-1989/14/5/283</w:t>
      </w:r>
    </w:p>
    <w:p w14:paraId="3DF011C3"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Küçükönder, H., BOYACI, S., &amp; AKYÜZ, A. (2016). A modeling study with an artificial neural network: Developing estimationmodels for the tomato plant leaf area. </w:t>
      </w:r>
      <w:r w:rsidRPr="000B3E1F">
        <w:rPr>
          <w:rFonts w:ascii="Arial" w:hAnsi="Arial" w:cs="Arial"/>
          <w:i/>
          <w:iCs/>
          <w:sz w:val="24"/>
          <w:szCs w:val="24"/>
        </w:rPr>
        <w:t>Turkish Journal of Agriculture and Forestry</w:t>
      </w:r>
      <w:r w:rsidRPr="000B3E1F">
        <w:rPr>
          <w:rFonts w:ascii="Arial" w:hAnsi="Arial" w:cs="Arial"/>
          <w:sz w:val="24"/>
          <w:szCs w:val="24"/>
        </w:rPr>
        <w:t xml:space="preserve">, </w:t>
      </w:r>
      <w:r w:rsidRPr="000B3E1F">
        <w:rPr>
          <w:rFonts w:ascii="Arial" w:hAnsi="Arial" w:cs="Arial"/>
          <w:i/>
          <w:iCs/>
          <w:sz w:val="24"/>
          <w:szCs w:val="24"/>
        </w:rPr>
        <w:t>40</w:t>
      </w:r>
      <w:r w:rsidRPr="000B3E1F">
        <w:rPr>
          <w:rFonts w:ascii="Arial" w:hAnsi="Arial" w:cs="Arial"/>
          <w:sz w:val="24"/>
          <w:szCs w:val="24"/>
        </w:rPr>
        <w:t>(2), 203–212. https://doi.org/10.3906/tar-1408-28</w:t>
      </w:r>
    </w:p>
    <w:p w14:paraId="3DE63869"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Kuijpers, W. J. P., Van De Molengraft, M. J. G., Van Mourik, S., Van ’T Ooster, A., Hemming, S., &amp; Van Henten, E. J. (2019). </w:t>
      </w:r>
      <w:r w:rsidRPr="000B3E1F">
        <w:rPr>
          <w:rFonts w:ascii="Arial" w:hAnsi="Arial" w:cs="Arial"/>
          <w:sz w:val="24"/>
          <w:szCs w:val="24"/>
        </w:rPr>
        <w:t xml:space="preserve">Model selection with a common structure: Tomato crop growth models. </w:t>
      </w:r>
      <w:r w:rsidRPr="000B3E1F">
        <w:rPr>
          <w:rFonts w:ascii="Arial" w:hAnsi="Arial" w:cs="Arial"/>
          <w:i/>
          <w:iCs/>
          <w:sz w:val="24"/>
          <w:szCs w:val="24"/>
        </w:rPr>
        <w:t>Biosystems Engineering</w:t>
      </w:r>
      <w:r w:rsidRPr="000B3E1F">
        <w:rPr>
          <w:rFonts w:ascii="Arial" w:hAnsi="Arial" w:cs="Arial"/>
          <w:sz w:val="24"/>
          <w:szCs w:val="24"/>
        </w:rPr>
        <w:t xml:space="preserve">, </w:t>
      </w:r>
      <w:r w:rsidRPr="000B3E1F">
        <w:rPr>
          <w:rFonts w:ascii="Arial" w:hAnsi="Arial" w:cs="Arial"/>
          <w:i/>
          <w:iCs/>
          <w:sz w:val="24"/>
          <w:szCs w:val="24"/>
        </w:rPr>
        <w:t>187</w:t>
      </w:r>
      <w:r w:rsidRPr="000B3E1F">
        <w:rPr>
          <w:rFonts w:ascii="Arial" w:hAnsi="Arial" w:cs="Arial"/>
          <w:sz w:val="24"/>
          <w:szCs w:val="24"/>
        </w:rPr>
        <w:t>, 247–257. https://doi.org/10.1016/j.biosystemseng.2019.09.010</w:t>
      </w:r>
    </w:p>
    <w:p w14:paraId="440EF46D"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Lamsal, Martin, R. V., Parrish, D. D., &amp; Krotkov, N. A. (2013). Scaling Relationship for NO2 Pollution and Urban Population Size: A Satellite Perspective. </w:t>
      </w:r>
      <w:r w:rsidRPr="000B3E1F">
        <w:rPr>
          <w:rFonts w:ascii="Arial" w:hAnsi="Arial" w:cs="Arial"/>
          <w:i/>
          <w:iCs/>
          <w:sz w:val="24"/>
          <w:szCs w:val="24"/>
        </w:rPr>
        <w:t>Environmental Science &amp; Technology</w:t>
      </w:r>
      <w:r w:rsidRPr="000B3E1F">
        <w:rPr>
          <w:rFonts w:ascii="Arial" w:hAnsi="Arial" w:cs="Arial"/>
          <w:sz w:val="24"/>
          <w:szCs w:val="24"/>
        </w:rPr>
        <w:t xml:space="preserve">, </w:t>
      </w:r>
      <w:r w:rsidRPr="000B3E1F">
        <w:rPr>
          <w:rFonts w:ascii="Arial" w:hAnsi="Arial" w:cs="Arial"/>
          <w:i/>
          <w:iCs/>
          <w:sz w:val="24"/>
          <w:szCs w:val="24"/>
        </w:rPr>
        <w:t>47</w:t>
      </w:r>
      <w:r w:rsidRPr="000B3E1F">
        <w:rPr>
          <w:rFonts w:ascii="Arial" w:hAnsi="Arial" w:cs="Arial"/>
          <w:sz w:val="24"/>
          <w:szCs w:val="24"/>
        </w:rPr>
        <w:t>(14), 7855–7861. https://doi.org/10.1021/es400744g</w:t>
      </w:r>
    </w:p>
    <w:p w14:paraId="0CC3E31A"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Lescay, E., &amp; Molinet, D. (2022). </w:t>
      </w:r>
      <w:r w:rsidRPr="000B3E1F">
        <w:rPr>
          <w:rFonts w:ascii="Arial" w:hAnsi="Arial" w:cs="Arial"/>
          <w:sz w:val="24"/>
          <w:szCs w:val="24"/>
          <w:lang w:val="es-ES"/>
        </w:rPr>
        <w:t xml:space="preserve">Indicadores agronómicos y parámetros genéticos en seis cultivares de tomate (Solanum lycopersicum L.). </w:t>
      </w:r>
      <w:r w:rsidRPr="000B3E1F">
        <w:rPr>
          <w:rFonts w:ascii="Arial" w:hAnsi="Arial" w:cs="Arial"/>
          <w:i/>
          <w:iCs/>
          <w:sz w:val="24"/>
          <w:szCs w:val="24"/>
          <w:lang w:val="es-ES"/>
        </w:rPr>
        <w:t>Cultivos Tropicales</w:t>
      </w:r>
      <w:r w:rsidRPr="000B3E1F">
        <w:rPr>
          <w:rFonts w:ascii="Arial" w:hAnsi="Arial" w:cs="Arial"/>
          <w:sz w:val="24"/>
          <w:szCs w:val="24"/>
          <w:lang w:val="es-ES"/>
        </w:rPr>
        <w:t xml:space="preserve">, </w:t>
      </w:r>
      <w:r w:rsidRPr="000B3E1F">
        <w:rPr>
          <w:rFonts w:ascii="Arial" w:hAnsi="Arial" w:cs="Arial"/>
          <w:i/>
          <w:iCs/>
          <w:sz w:val="24"/>
          <w:szCs w:val="24"/>
          <w:lang w:val="es-ES"/>
        </w:rPr>
        <w:t>43</w:t>
      </w:r>
      <w:r w:rsidRPr="000B3E1F">
        <w:rPr>
          <w:rFonts w:ascii="Arial" w:hAnsi="Arial" w:cs="Arial"/>
          <w:sz w:val="24"/>
          <w:szCs w:val="24"/>
          <w:lang w:val="es-ES"/>
        </w:rPr>
        <w:t>(2), e08–e08. https://ediciones.inca.edu.cu/index.php/ediciones/article/view/1659</w:t>
      </w:r>
    </w:p>
    <w:p w14:paraId="51EC065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Li, B., Sun, X., Yao, M., Bao, H., &amp; Wang, J. (2021). </w:t>
      </w:r>
      <w:r w:rsidRPr="000B3E1F">
        <w:rPr>
          <w:rFonts w:ascii="Arial" w:hAnsi="Arial" w:cs="Arial"/>
          <w:i/>
          <w:iCs/>
          <w:sz w:val="24"/>
          <w:szCs w:val="24"/>
        </w:rPr>
        <w:t>Parameter estimation and verification of the DSSAT-CROPGRO-Tomato model under the condition of different amounts of straw returned to the field in the greenhouse.</w:t>
      </w:r>
      <w:r w:rsidRPr="000B3E1F">
        <w:rPr>
          <w:rFonts w:ascii="Arial" w:hAnsi="Arial" w:cs="Arial"/>
          <w:sz w:val="24"/>
          <w:szCs w:val="24"/>
        </w:rPr>
        <w:t xml:space="preserve"> https://www.cje.net.cn/EN/10.13292/j.1000-4890.202103.009</w:t>
      </w:r>
    </w:p>
    <w:p w14:paraId="66BBB2F5"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Li, Q., Zhang, X., Ma, X., &amp; Li, H. (2023). Evaluating the Applicability of the TOMCAST Model for the Control of Potato Early Blight in China. </w:t>
      </w:r>
      <w:r w:rsidRPr="000B3E1F">
        <w:rPr>
          <w:rFonts w:ascii="Arial" w:hAnsi="Arial" w:cs="Arial"/>
          <w:i/>
          <w:iCs/>
          <w:sz w:val="24"/>
          <w:szCs w:val="24"/>
        </w:rPr>
        <w:t>Plants</w:t>
      </w:r>
      <w:r w:rsidRPr="000B3E1F">
        <w:rPr>
          <w:rFonts w:ascii="Arial" w:hAnsi="Arial" w:cs="Arial"/>
          <w:sz w:val="24"/>
          <w:szCs w:val="24"/>
        </w:rPr>
        <w:t xml:space="preserve">, </w:t>
      </w:r>
      <w:r w:rsidRPr="000B3E1F">
        <w:rPr>
          <w:rFonts w:ascii="Arial" w:hAnsi="Arial" w:cs="Arial"/>
          <w:i/>
          <w:iCs/>
          <w:sz w:val="24"/>
          <w:szCs w:val="24"/>
        </w:rPr>
        <w:t>12</w:t>
      </w:r>
      <w:r w:rsidRPr="000B3E1F">
        <w:rPr>
          <w:rFonts w:ascii="Arial" w:hAnsi="Arial" w:cs="Arial"/>
          <w:sz w:val="24"/>
          <w:szCs w:val="24"/>
        </w:rPr>
        <w:t>(8), 1634. https://doi.org/10.3390/plants12081634</w:t>
      </w:r>
    </w:p>
    <w:p w14:paraId="49CD572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Lin, D., Wei, R., &amp; Xu, L. (2019). An Integrated Yield Prediction Model for Greenhouse Tomato. </w:t>
      </w:r>
      <w:r w:rsidRPr="000B3E1F">
        <w:rPr>
          <w:rFonts w:ascii="Arial" w:hAnsi="Arial" w:cs="Arial"/>
          <w:i/>
          <w:iCs/>
          <w:sz w:val="24"/>
          <w:szCs w:val="24"/>
        </w:rPr>
        <w:t>Agronomy</w:t>
      </w:r>
      <w:r w:rsidRPr="000B3E1F">
        <w:rPr>
          <w:rFonts w:ascii="Arial" w:hAnsi="Arial" w:cs="Arial"/>
          <w:sz w:val="24"/>
          <w:szCs w:val="24"/>
        </w:rPr>
        <w:t xml:space="preserve">, </w:t>
      </w:r>
      <w:r w:rsidRPr="000B3E1F">
        <w:rPr>
          <w:rFonts w:ascii="Arial" w:hAnsi="Arial" w:cs="Arial"/>
          <w:i/>
          <w:iCs/>
          <w:sz w:val="24"/>
          <w:szCs w:val="24"/>
        </w:rPr>
        <w:t>9</w:t>
      </w:r>
      <w:r w:rsidRPr="000B3E1F">
        <w:rPr>
          <w:rFonts w:ascii="Arial" w:hAnsi="Arial" w:cs="Arial"/>
          <w:sz w:val="24"/>
          <w:szCs w:val="24"/>
        </w:rPr>
        <w:t>(12), 873. https://doi.org/10.3390/agronomy9120873</w:t>
      </w:r>
    </w:p>
    <w:p w14:paraId="6595D141"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lastRenderedPageBreak/>
        <w:t xml:space="preserve">Lipovac, A., Stricevic, R., Ćosić, M., &amp; Djurović, N. (2022). SIMULATION OF WATER CONSUMPTION, GROWTH AND YIELD OF TOMATOES USING THE AQUACROP MODEL. </w:t>
      </w:r>
      <w:r w:rsidRPr="000B3E1F">
        <w:rPr>
          <w:rFonts w:ascii="Arial" w:hAnsi="Arial" w:cs="Arial"/>
          <w:i/>
          <w:iCs/>
          <w:sz w:val="24"/>
          <w:szCs w:val="24"/>
        </w:rPr>
        <w:t>Journal of Agricultural, Food and Environmental Sciences</w:t>
      </w:r>
      <w:r w:rsidRPr="000B3E1F">
        <w:rPr>
          <w:rFonts w:ascii="Arial" w:hAnsi="Arial" w:cs="Arial"/>
          <w:sz w:val="24"/>
          <w:szCs w:val="24"/>
        </w:rPr>
        <w:t xml:space="preserve">, </w:t>
      </w:r>
      <w:r w:rsidRPr="000B3E1F">
        <w:rPr>
          <w:rFonts w:ascii="Arial" w:hAnsi="Arial" w:cs="Arial"/>
          <w:i/>
          <w:iCs/>
          <w:sz w:val="24"/>
          <w:szCs w:val="24"/>
        </w:rPr>
        <w:t>76</w:t>
      </w:r>
      <w:r w:rsidRPr="000B3E1F">
        <w:rPr>
          <w:rFonts w:ascii="Arial" w:hAnsi="Arial" w:cs="Arial"/>
          <w:sz w:val="24"/>
          <w:szCs w:val="24"/>
        </w:rPr>
        <w:t>(8), 7–14. https://doi.org/10.55302/JAFES22768007l</w:t>
      </w:r>
    </w:p>
    <w:p w14:paraId="3F899323"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Mancilla, J. A., Tornero-Campante, M. A., Colegio de Postgraduados, López-Cruz, I. L., &amp; Universidad Autónoma de Chapingo. </w:t>
      </w:r>
      <w:r w:rsidRPr="000B3E1F">
        <w:rPr>
          <w:rFonts w:ascii="Arial" w:hAnsi="Arial" w:cs="Arial"/>
          <w:sz w:val="24"/>
          <w:szCs w:val="24"/>
        </w:rPr>
        <w:t xml:space="preserve">(2019). Evaluation of a mathematical model to predict growth and nitrogen content in tomatoes (Solanum lycopersicum L.) under greenhouse conditions. </w:t>
      </w:r>
      <w:r w:rsidRPr="000B3E1F">
        <w:rPr>
          <w:rFonts w:ascii="Arial" w:hAnsi="Arial" w:cs="Arial"/>
          <w:i/>
          <w:iCs/>
          <w:sz w:val="24"/>
          <w:szCs w:val="24"/>
          <w:lang w:val="es-ES"/>
        </w:rPr>
        <w:t>Ingeniería Agrícola y Biosistemas</w:t>
      </w:r>
      <w:r w:rsidRPr="000B3E1F">
        <w:rPr>
          <w:rFonts w:ascii="Arial" w:hAnsi="Arial" w:cs="Arial"/>
          <w:sz w:val="24"/>
          <w:szCs w:val="24"/>
          <w:lang w:val="es-ES"/>
        </w:rPr>
        <w:t xml:space="preserve">, </w:t>
      </w:r>
      <w:r w:rsidRPr="000B3E1F">
        <w:rPr>
          <w:rFonts w:ascii="Arial" w:hAnsi="Arial" w:cs="Arial"/>
          <w:i/>
          <w:iCs/>
          <w:sz w:val="24"/>
          <w:szCs w:val="24"/>
          <w:lang w:val="es-ES"/>
        </w:rPr>
        <w:t>11</w:t>
      </w:r>
      <w:r w:rsidRPr="000B3E1F">
        <w:rPr>
          <w:rFonts w:ascii="Arial" w:hAnsi="Arial" w:cs="Arial"/>
          <w:sz w:val="24"/>
          <w:szCs w:val="24"/>
          <w:lang w:val="es-ES"/>
        </w:rPr>
        <w:t>(2), 111–125. https://doi.org/10.5154/r.inagbi.2018.06.013</w:t>
      </w:r>
    </w:p>
    <w:p w14:paraId="1BDE8E78"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Marcelis, L. F. M. (2011). </w:t>
      </w:r>
      <w:r w:rsidRPr="000B3E1F">
        <w:rPr>
          <w:rFonts w:ascii="Arial" w:hAnsi="Arial" w:cs="Arial"/>
          <w:sz w:val="24"/>
          <w:szCs w:val="24"/>
        </w:rPr>
        <w:t xml:space="preserve">STOCHASTIC DYNAMIC SIMULATION OF FRUIT ABORTION: A CASE STUDY OF SWEET PEPPER. </w:t>
      </w:r>
      <w:r w:rsidRPr="000B3E1F">
        <w:rPr>
          <w:rFonts w:ascii="Arial" w:hAnsi="Arial" w:cs="Arial"/>
          <w:i/>
          <w:iCs/>
          <w:sz w:val="24"/>
          <w:szCs w:val="24"/>
        </w:rPr>
        <w:t>Acta Horticulturae</w:t>
      </w:r>
      <w:r w:rsidRPr="000B3E1F">
        <w:rPr>
          <w:rFonts w:ascii="Arial" w:hAnsi="Arial" w:cs="Arial"/>
          <w:sz w:val="24"/>
          <w:szCs w:val="24"/>
        </w:rPr>
        <w:t xml:space="preserve">, </w:t>
      </w:r>
      <w:r w:rsidRPr="000B3E1F">
        <w:rPr>
          <w:rFonts w:ascii="Arial" w:hAnsi="Arial" w:cs="Arial"/>
          <w:i/>
          <w:iCs/>
          <w:sz w:val="24"/>
          <w:szCs w:val="24"/>
        </w:rPr>
        <w:t>893</w:t>
      </w:r>
      <w:r w:rsidRPr="000B3E1F">
        <w:rPr>
          <w:rFonts w:ascii="Arial" w:hAnsi="Arial" w:cs="Arial"/>
          <w:sz w:val="24"/>
          <w:szCs w:val="24"/>
        </w:rPr>
        <w:t>, 765–772. https://doi.org/10.17660/ActaHortic.2011.893.82</w:t>
      </w:r>
    </w:p>
    <w:p w14:paraId="440C4286"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Marcelis, L. F. M., &amp; Heuvelink, E. (1989). DRY MATTER DISTRIBUTION IN TOMATO AND CUCUMBER. </w:t>
      </w:r>
      <w:r w:rsidRPr="000B3E1F">
        <w:rPr>
          <w:rFonts w:ascii="Arial" w:hAnsi="Arial" w:cs="Arial"/>
          <w:i/>
          <w:iCs/>
          <w:sz w:val="24"/>
          <w:szCs w:val="24"/>
          <w:lang w:val="es-ES"/>
        </w:rPr>
        <w:t>Acta Horticulturae</w:t>
      </w:r>
      <w:r w:rsidRPr="000B3E1F">
        <w:rPr>
          <w:rFonts w:ascii="Arial" w:hAnsi="Arial" w:cs="Arial"/>
          <w:sz w:val="24"/>
          <w:szCs w:val="24"/>
          <w:lang w:val="es-ES"/>
        </w:rPr>
        <w:t xml:space="preserve">, </w:t>
      </w:r>
      <w:r w:rsidRPr="000B3E1F">
        <w:rPr>
          <w:rFonts w:ascii="Arial" w:hAnsi="Arial" w:cs="Arial"/>
          <w:i/>
          <w:iCs/>
          <w:sz w:val="24"/>
          <w:szCs w:val="24"/>
          <w:lang w:val="es-ES"/>
        </w:rPr>
        <w:t>260</w:t>
      </w:r>
      <w:r w:rsidRPr="000B3E1F">
        <w:rPr>
          <w:rFonts w:ascii="Arial" w:hAnsi="Arial" w:cs="Arial"/>
          <w:sz w:val="24"/>
          <w:szCs w:val="24"/>
          <w:lang w:val="es-ES"/>
        </w:rPr>
        <w:t>, 149–180. https://doi.org/10.17660/ActaHortic.1989.260.8</w:t>
      </w:r>
    </w:p>
    <w:p w14:paraId="2560D99C"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Martínez-Ruiz, A., López-Cruz, I. L., Ruiz-García, A., Pineda-Pineda, J., Prado-Hernández, J. V., Martínez-Ruiz, A., López-Cruz, I. L., Ruiz-García, A., Pineda-Pineda, J., &amp; Prado-Hernández, J. V. (2019). </w:t>
      </w:r>
      <w:r w:rsidRPr="000B3E1F">
        <w:rPr>
          <w:rFonts w:ascii="Arial" w:hAnsi="Arial" w:cs="Arial"/>
          <w:sz w:val="24"/>
          <w:szCs w:val="24"/>
        </w:rPr>
        <w:t xml:space="preserve">HortSyst: A dynamic model to predict growth, nitrogen uptake, and transpiration of greenhouse tomatoes. </w:t>
      </w:r>
      <w:r w:rsidRPr="000B3E1F">
        <w:rPr>
          <w:rFonts w:ascii="Arial" w:hAnsi="Arial" w:cs="Arial"/>
          <w:i/>
          <w:iCs/>
          <w:sz w:val="24"/>
          <w:szCs w:val="24"/>
        </w:rPr>
        <w:t>Chilean Journal of Agricultural Research</w:t>
      </w:r>
      <w:r w:rsidRPr="000B3E1F">
        <w:rPr>
          <w:rFonts w:ascii="Arial" w:hAnsi="Arial" w:cs="Arial"/>
          <w:sz w:val="24"/>
          <w:szCs w:val="24"/>
        </w:rPr>
        <w:t xml:space="preserve">, </w:t>
      </w:r>
      <w:r w:rsidRPr="000B3E1F">
        <w:rPr>
          <w:rFonts w:ascii="Arial" w:hAnsi="Arial" w:cs="Arial"/>
          <w:i/>
          <w:iCs/>
          <w:sz w:val="24"/>
          <w:szCs w:val="24"/>
        </w:rPr>
        <w:t>79</w:t>
      </w:r>
      <w:r w:rsidRPr="000B3E1F">
        <w:rPr>
          <w:rFonts w:ascii="Arial" w:hAnsi="Arial" w:cs="Arial"/>
          <w:sz w:val="24"/>
          <w:szCs w:val="24"/>
        </w:rPr>
        <w:t>(1), 89–102. https://doi.org/10.4067/S0718-58392019000100089</w:t>
      </w:r>
    </w:p>
    <w:p w14:paraId="0F8901BA"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Meno, L., Escuredo, O., Rodríguez-Flores, M. S., &amp; Seijo, M. C. (2020). Modification of the TOMCAST Model with Aerobiological Data for Management of Potato Early Blight. </w:t>
      </w:r>
      <w:r w:rsidRPr="000B3E1F">
        <w:rPr>
          <w:rFonts w:ascii="Arial" w:hAnsi="Arial" w:cs="Arial"/>
          <w:i/>
          <w:iCs/>
          <w:sz w:val="24"/>
          <w:szCs w:val="24"/>
          <w:lang w:val="es-ES"/>
        </w:rPr>
        <w:t>Agronomy</w:t>
      </w:r>
      <w:r w:rsidRPr="000B3E1F">
        <w:rPr>
          <w:rFonts w:ascii="Arial" w:hAnsi="Arial" w:cs="Arial"/>
          <w:sz w:val="24"/>
          <w:szCs w:val="24"/>
          <w:lang w:val="es-ES"/>
        </w:rPr>
        <w:t xml:space="preserve">, </w:t>
      </w:r>
      <w:r w:rsidRPr="000B3E1F">
        <w:rPr>
          <w:rFonts w:ascii="Arial" w:hAnsi="Arial" w:cs="Arial"/>
          <w:i/>
          <w:iCs/>
          <w:sz w:val="24"/>
          <w:szCs w:val="24"/>
          <w:lang w:val="es-ES"/>
        </w:rPr>
        <w:t>10</w:t>
      </w:r>
      <w:r w:rsidRPr="000B3E1F">
        <w:rPr>
          <w:rFonts w:ascii="Arial" w:hAnsi="Arial" w:cs="Arial"/>
          <w:sz w:val="24"/>
          <w:szCs w:val="24"/>
          <w:lang w:val="es-ES"/>
        </w:rPr>
        <w:t>(12), 1872. https://doi.org/10.3390/agronomy10121872</w:t>
      </w:r>
    </w:p>
    <w:p w14:paraId="1613FE0F"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Monge, J. E., &amp; Loría, M. (2021). Determinación de criterios de selección para el rendimiento de tomate (Solanum lycopersicum L.) cultivado bajo invernadero. </w:t>
      </w:r>
      <w:r w:rsidRPr="000B3E1F">
        <w:rPr>
          <w:rFonts w:ascii="Arial" w:hAnsi="Arial" w:cs="Arial"/>
          <w:i/>
          <w:iCs/>
          <w:sz w:val="24"/>
          <w:szCs w:val="24"/>
          <w:lang w:val="es-ES"/>
        </w:rPr>
        <w:t>Avances en Investigación Agropecuaria</w:t>
      </w:r>
      <w:r w:rsidRPr="000B3E1F">
        <w:rPr>
          <w:rFonts w:ascii="Arial" w:hAnsi="Arial" w:cs="Arial"/>
          <w:sz w:val="24"/>
          <w:szCs w:val="24"/>
          <w:lang w:val="es-ES"/>
        </w:rPr>
        <w:t xml:space="preserve">, </w:t>
      </w:r>
      <w:r w:rsidRPr="000B3E1F">
        <w:rPr>
          <w:rFonts w:ascii="Arial" w:hAnsi="Arial" w:cs="Arial"/>
          <w:i/>
          <w:iCs/>
          <w:sz w:val="24"/>
          <w:szCs w:val="24"/>
          <w:lang w:val="es-ES"/>
        </w:rPr>
        <w:t>25</w:t>
      </w:r>
      <w:r w:rsidRPr="000B3E1F">
        <w:rPr>
          <w:rFonts w:ascii="Arial" w:hAnsi="Arial" w:cs="Arial"/>
          <w:sz w:val="24"/>
          <w:szCs w:val="24"/>
          <w:lang w:val="es-ES"/>
        </w:rPr>
        <w:t>(1), 7–19. https://revistasacademicas.ucol.mx/index.php/agropecuaria/article/view/207</w:t>
      </w:r>
    </w:p>
    <w:p w14:paraId="180655D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lastRenderedPageBreak/>
        <w:t xml:space="preserve">Mubeen, M., Ahmad, A., Hammad, H. M., Awais, M., Farid, H. U., Saleem, M., Din, M. S. ul, Amin, A., Ali, A., Fahad, S., &amp; Nasim, W. (2019). Evaluating the climate change impact on water use efficiency of cotton-wheat in semi-arid conditions using DSSAT model. </w:t>
      </w:r>
      <w:r w:rsidRPr="000B3E1F">
        <w:rPr>
          <w:rFonts w:ascii="Arial" w:hAnsi="Arial" w:cs="Arial"/>
          <w:i/>
          <w:iCs/>
          <w:sz w:val="24"/>
          <w:szCs w:val="24"/>
        </w:rPr>
        <w:t>Journal of Water and Climate Change</w:t>
      </w:r>
      <w:r w:rsidRPr="000B3E1F">
        <w:rPr>
          <w:rFonts w:ascii="Arial" w:hAnsi="Arial" w:cs="Arial"/>
          <w:sz w:val="24"/>
          <w:szCs w:val="24"/>
        </w:rPr>
        <w:t xml:space="preserve">, </w:t>
      </w:r>
      <w:r w:rsidRPr="000B3E1F">
        <w:rPr>
          <w:rFonts w:ascii="Arial" w:hAnsi="Arial" w:cs="Arial"/>
          <w:i/>
          <w:iCs/>
          <w:sz w:val="24"/>
          <w:szCs w:val="24"/>
        </w:rPr>
        <w:t>11</w:t>
      </w:r>
      <w:r w:rsidRPr="000B3E1F">
        <w:rPr>
          <w:rFonts w:ascii="Arial" w:hAnsi="Arial" w:cs="Arial"/>
          <w:sz w:val="24"/>
          <w:szCs w:val="24"/>
        </w:rPr>
        <w:t>(4), Article 4. https://doi.org/10.2166/wcc.2019.179</w:t>
      </w:r>
    </w:p>
    <w:p w14:paraId="46183BD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Mulholland, B. J., Edmondson, R. N., Fussell, M., Basham, J., &amp; Ho, L. C. (2003). Effects of high temperature on tomato summer fruit quality. </w:t>
      </w:r>
      <w:r w:rsidRPr="000B3E1F">
        <w:rPr>
          <w:rFonts w:ascii="Arial" w:hAnsi="Arial" w:cs="Arial"/>
          <w:i/>
          <w:iCs/>
          <w:sz w:val="24"/>
          <w:szCs w:val="24"/>
        </w:rPr>
        <w:t>The Journal of Horticultural Science and Biotechnology</w:t>
      </w:r>
      <w:r w:rsidRPr="000B3E1F">
        <w:rPr>
          <w:rFonts w:ascii="Arial" w:hAnsi="Arial" w:cs="Arial"/>
          <w:sz w:val="24"/>
          <w:szCs w:val="24"/>
        </w:rPr>
        <w:t xml:space="preserve">, </w:t>
      </w:r>
      <w:r w:rsidRPr="000B3E1F">
        <w:rPr>
          <w:rFonts w:ascii="Arial" w:hAnsi="Arial" w:cs="Arial"/>
          <w:i/>
          <w:iCs/>
          <w:sz w:val="24"/>
          <w:szCs w:val="24"/>
        </w:rPr>
        <w:t>78</w:t>
      </w:r>
      <w:r w:rsidRPr="000B3E1F">
        <w:rPr>
          <w:rFonts w:ascii="Arial" w:hAnsi="Arial" w:cs="Arial"/>
          <w:sz w:val="24"/>
          <w:szCs w:val="24"/>
        </w:rPr>
        <w:t>(3), 365–374. https://doi.org/10.1080/14620316.2003.11511633</w:t>
      </w:r>
    </w:p>
    <w:p w14:paraId="2ABCE1C1"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Muroyiwa, G., Mhizha, T., Mashonjowa, E., &amp; Muchuweti, M. (2022). Evaluation of FAO aquacrop model for ability to simulate attainable yields and water use for field tomatoes grown under deficit irrigation in Harare, Zimbabwe. </w:t>
      </w:r>
      <w:r w:rsidRPr="000B3E1F">
        <w:rPr>
          <w:rFonts w:ascii="Arial" w:hAnsi="Arial" w:cs="Arial"/>
          <w:i/>
          <w:iCs/>
          <w:sz w:val="24"/>
          <w:szCs w:val="24"/>
        </w:rPr>
        <w:t>African Crop Science Journal</w:t>
      </w:r>
      <w:r w:rsidRPr="000B3E1F">
        <w:rPr>
          <w:rFonts w:ascii="Arial" w:hAnsi="Arial" w:cs="Arial"/>
          <w:sz w:val="24"/>
          <w:szCs w:val="24"/>
        </w:rPr>
        <w:t xml:space="preserve">, </w:t>
      </w:r>
      <w:r w:rsidRPr="000B3E1F">
        <w:rPr>
          <w:rFonts w:ascii="Arial" w:hAnsi="Arial" w:cs="Arial"/>
          <w:i/>
          <w:iCs/>
          <w:sz w:val="24"/>
          <w:szCs w:val="24"/>
        </w:rPr>
        <w:t>30</w:t>
      </w:r>
      <w:r w:rsidRPr="000B3E1F">
        <w:rPr>
          <w:rFonts w:ascii="Arial" w:hAnsi="Arial" w:cs="Arial"/>
          <w:sz w:val="24"/>
          <w:szCs w:val="24"/>
        </w:rPr>
        <w:t>(2), Article 2. https://www.ajol.info/index.php/acsj/article/view/244976</w:t>
      </w:r>
    </w:p>
    <w:p w14:paraId="2B2D6E80"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Pasquel, D., Roux, S., Richetti, J., Cammarano, D., Tisseyre, B., &amp; Taylor, J. A. (2022). A review of methods to evaluate crop model performance at multiple and changing spatial scales. </w:t>
      </w:r>
      <w:r w:rsidRPr="000B3E1F">
        <w:rPr>
          <w:rFonts w:ascii="Arial" w:hAnsi="Arial" w:cs="Arial"/>
          <w:i/>
          <w:iCs/>
          <w:sz w:val="24"/>
          <w:szCs w:val="24"/>
        </w:rPr>
        <w:t>Precision Agriculture</w:t>
      </w:r>
      <w:r w:rsidRPr="000B3E1F">
        <w:rPr>
          <w:rFonts w:ascii="Arial" w:hAnsi="Arial" w:cs="Arial"/>
          <w:sz w:val="24"/>
          <w:szCs w:val="24"/>
        </w:rPr>
        <w:t xml:space="preserve">, </w:t>
      </w:r>
      <w:r w:rsidRPr="000B3E1F">
        <w:rPr>
          <w:rFonts w:ascii="Arial" w:hAnsi="Arial" w:cs="Arial"/>
          <w:i/>
          <w:iCs/>
          <w:sz w:val="24"/>
          <w:szCs w:val="24"/>
        </w:rPr>
        <w:t>23</w:t>
      </w:r>
      <w:r w:rsidRPr="000B3E1F">
        <w:rPr>
          <w:rFonts w:ascii="Arial" w:hAnsi="Arial" w:cs="Arial"/>
          <w:sz w:val="24"/>
          <w:szCs w:val="24"/>
        </w:rPr>
        <w:t>(4), 1489–1513. https://doi.org/10.1007/s11119-022-09885-4</w:t>
      </w:r>
    </w:p>
    <w:p w14:paraId="08F4DF9F"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Passioura, J. B. (2002). </w:t>
      </w:r>
      <w:r w:rsidRPr="000B3E1F">
        <w:rPr>
          <w:rFonts w:ascii="Arial" w:hAnsi="Arial" w:cs="Arial"/>
          <w:i/>
          <w:iCs/>
          <w:sz w:val="24"/>
          <w:szCs w:val="24"/>
        </w:rPr>
        <w:t>‘Soil conditions and plant growth’—Passioura—2002—Plant, Cell &amp; Environment—Wiley Online Library</w:t>
      </w:r>
      <w:r w:rsidRPr="000B3E1F">
        <w:rPr>
          <w:rFonts w:ascii="Arial" w:hAnsi="Arial" w:cs="Arial"/>
          <w:sz w:val="24"/>
          <w:szCs w:val="24"/>
        </w:rPr>
        <w:t>. https://onlinelibrary.wiley.com/doi/full/10.1046/j.0016-8025.2001.00802.x</w:t>
      </w:r>
    </w:p>
    <w:p w14:paraId="3533964D"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Peil, R. M., &amp; Galvez, J. (2004). REPARTO DE MATERIA SECA COMO FACTOR DETERMINANTE DE LA PRODUCCIÓN DE LAS HORTALIZAS DE FRUTO CULTIVADAS EN INVERNADERO. </w:t>
      </w:r>
      <w:r w:rsidRPr="000B3E1F">
        <w:rPr>
          <w:rFonts w:ascii="Arial" w:hAnsi="Arial" w:cs="Arial"/>
          <w:i/>
          <w:iCs/>
          <w:sz w:val="24"/>
          <w:szCs w:val="24"/>
        </w:rPr>
        <w:t>Current Agricultural Science and Technology</w:t>
      </w:r>
      <w:r w:rsidRPr="000B3E1F">
        <w:rPr>
          <w:rFonts w:ascii="Arial" w:hAnsi="Arial" w:cs="Arial"/>
          <w:sz w:val="24"/>
          <w:szCs w:val="24"/>
        </w:rPr>
        <w:t xml:space="preserve">, </w:t>
      </w:r>
      <w:r w:rsidRPr="000B3E1F">
        <w:rPr>
          <w:rFonts w:ascii="Arial" w:hAnsi="Arial" w:cs="Arial"/>
          <w:i/>
          <w:iCs/>
          <w:sz w:val="24"/>
          <w:szCs w:val="24"/>
        </w:rPr>
        <w:t>10</w:t>
      </w:r>
      <w:r w:rsidRPr="000B3E1F">
        <w:rPr>
          <w:rFonts w:ascii="Arial" w:hAnsi="Arial" w:cs="Arial"/>
          <w:sz w:val="24"/>
          <w:szCs w:val="24"/>
        </w:rPr>
        <w:t>(1), Article 1. https://periodicos-old.ufpel.edu.br/ojs2/index.php/CAST/article/view/680</w:t>
      </w:r>
    </w:p>
    <w:p w14:paraId="1719E303"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Pérez, L. (2010). Caracterización agroproductiva de nuevos cultivares de tomate (Lycopersicon esculentum Mill.) en las condiciones edafoclimáticas del INIVIT. </w:t>
      </w:r>
      <w:r w:rsidRPr="000B3E1F">
        <w:rPr>
          <w:rFonts w:ascii="Arial" w:hAnsi="Arial" w:cs="Arial"/>
          <w:i/>
          <w:iCs/>
          <w:sz w:val="24"/>
          <w:szCs w:val="24"/>
          <w:lang w:val="es-ES"/>
        </w:rPr>
        <w:lastRenderedPageBreak/>
        <w:t>Universidad Central" Marta Abreu" de Las Villas.</w:t>
      </w:r>
      <w:r w:rsidRPr="000B3E1F">
        <w:rPr>
          <w:rFonts w:ascii="Arial" w:hAnsi="Arial" w:cs="Arial"/>
          <w:sz w:val="24"/>
          <w:szCs w:val="24"/>
          <w:lang w:val="es-ES"/>
        </w:rPr>
        <w:t xml:space="preserve"> https://repositorio.uclv.edu.cu/items/9e57cbe8-1302-4952-bcd0-fac9f5661efb</w:t>
      </w:r>
    </w:p>
    <w:p w14:paraId="5726B82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Pérez, M., Alfonzo, M., Valdez, M., Soto, E., León, R., &amp; Rodríguez Yzquierdo, G. (2020). </w:t>
      </w:r>
      <w:r w:rsidRPr="000B3E1F">
        <w:rPr>
          <w:rFonts w:ascii="Arial" w:hAnsi="Arial" w:cs="Arial"/>
          <w:i/>
          <w:iCs/>
          <w:sz w:val="24"/>
          <w:szCs w:val="24"/>
          <w:lang w:val="es-ES"/>
        </w:rPr>
        <w:t>EVALUACION AGRONOMICA EN TOMATE CULTIVADO EN AMBIENTE ENRIQUECIDO CON CO2 SEGÚN ESCENARIO DE EMISIÓN B2* Agronomic evaluation of tomato cultivated in a CO2 enriched environment according to the B2 emission scenario</w:t>
      </w:r>
      <w:r w:rsidRPr="000B3E1F">
        <w:rPr>
          <w:rFonts w:ascii="Arial" w:hAnsi="Arial" w:cs="Arial"/>
          <w:sz w:val="24"/>
          <w:szCs w:val="24"/>
          <w:lang w:val="es-ES"/>
        </w:rPr>
        <w:t xml:space="preserve">. </w:t>
      </w:r>
      <w:r w:rsidRPr="000B3E1F">
        <w:rPr>
          <w:rFonts w:ascii="Arial" w:hAnsi="Arial" w:cs="Arial"/>
          <w:i/>
          <w:iCs/>
          <w:sz w:val="24"/>
          <w:szCs w:val="24"/>
        </w:rPr>
        <w:t>37</w:t>
      </w:r>
      <w:r w:rsidRPr="000B3E1F">
        <w:rPr>
          <w:rFonts w:ascii="Arial" w:hAnsi="Arial" w:cs="Arial"/>
          <w:sz w:val="24"/>
          <w:szCs w:val="24"/>
        </w:rPr>
        <w:t>, 38–45.</w:t>
      </w:r>
    </w:p>
    <w:p w14:paraId="03740771"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Phuoc, L. H., Suliansyah, I., Arlius, F., Chaniago, I., Xuan, N. T. T., &amp; Quang, P. V. (2023). Literature Review Crop Modeling and Introduction a Simple Crop Model. </w:t>
      </w:r>
      <w:r w:rsidRPr="000B3E1F">
        <w:rPr>
          <w:rFonts w:ascii="Arial" w:hAnsi="Arial" w:cs="Arial"/>
          <w:i/>
          <w:iCs/>
          <w:sz w:val="24"/>
          <w:szCs w:val="24"/>
        </w:rPr>
        <w:t>Journal of Applied Agricultural Science and Technology</w:t>
      </w:r>
      <w:r w:rsidRPr="000B3E1F">
        <w:rPr>
          <w:rFonts w:ascii="Arial" w:hAnsi="Arial" w:cs="Arial"/>
          <w:sz w:val="24"/>
          <w:szCs w:val="24"/>
        </w:rPr>
        <w:t xml:space="preserve">, </w:t>
      </w:r>
      <w:r w:rsidRPr="000B3E1F">
        <w:rPr>
          <w:rFonts w:ascii="Arial" w:hAnsi="Arial" w:cs="Arial"/>
          <w:i/>
          <w:iCs/>
          <w:sz w:val="24"/>
          <w:szCs w:val="24"/>
        </w:rPr>
        <w:t>7</w:t>
      </w:r>
      <w:r w:rsidRPr="000B3E1F">
        <w:rPr>
          <w:rFonts w:ascii="Arial" w:hAnsi="Arial" w:cs="Arial"/>
          <w:sz w:val="24"/>
          <w:szCs w:val="24"/>
        </w:rPr>
        <w:t>(3), 197–216. https://doi.org/10.55043/jaast.v7i3.123</w:t>
      </w:r>
    </w:p>
    <w:p w14:paraId="154E27E9"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Pierre, J. F., Singh, U., Ruiz-Sánchez, E., &amp; Pavan, W. (2023). </w:t>
      </w:r>
      <w:r w:rsidRPr="000B3E1F">
        <w:rPr>
          <w:rFonts w:ascii="Arial" w:hAnsi="Arial" w:cs="Arial"/>
          <w:sz w:val="24"/>
          <w:szCs w:val="24"/>
        </w:rPr>
        <w:t xml:space="preserve">Development of a Cereal–Legume Intercrop Model for DSSAT Version 4.8. </w:t>
      </w:r>
      <w:r w:rsidRPr="000B3E1F">
        <w:rPr>
          <w:rFonts w:ascii="Arial" w:hAnsi="Arial" w:cs="Arial"/>
          <w:i/>
          <w:iCs/>
          <w:sz w:val="24"/>
          <w:szCs w:val="24"/>
        </w:rPr>
        <w:t>Agriculture</w:t>
      </w:r>
      <w:r w:rsidRPr="000B3E1F">
        <w:rPr>
          <w:rFonts w:ascii="Arial" w:hAnsi="Arial" w:cs="Arial"/>
          <w:sz w:val="24"/>
          <w:szCs w:val="24"/>
        </w:rPr>
        <w:t xml:space="preserve">, </w:t>
      </w:r>
      <w:r w:rsidRPr="000B3E1F">
        <w:rPr>
          <w:rFonts w:ascii="Arial" w:hAnsi="Arial" w:cs="Arial"/>
          <w:i/>
          <w:iCs/>
          <w:sz w:val="24"/>
          <w:szCs w:val="24"/>
        </w:rPr>
        <w:t>13</w:t>
      </w:r>
      <w:r w:rsidRPr="000B3E1F">
        <w:rPr>
          <w:rFonts w:ascii="Arial" w:hAnsi="Arial" w:cs="Arial"/>
          <w:sz w:val="24"/>
          <w:szCs w:val="24"/>
        </w:rPr>
        <w:t>(4), 845. https://doi.org/10.3390/agriculture13040845</w:t>
      </w:r>
    </w:p>
    <w:p w14:paraId="725DCF69"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Pirmoradian, N., &amp; Davatgar, N. (2019). Simulating the effects of climatic fluctuations on rice irrigation water requirement using AquaCrop.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213</w:t>
      </w:r>
      <w:r w:rsidRPr="000B3E1F">
        <w:rPr>
          <w:rFonts w:ascii="Arial" w:hAnsi="Arial" w:cs="Arial"/>
          <w:sz w:val="24"/>
          <w:szCs w:val="24"/>
        </w:rPr>
        <w:t>, 97–106. https://doi.org/10.1016/j.agwat.2018.10.003</w:t>
      </w:r>
    </w:p>
    <w:p w14:paraId="13EAF113"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Potopová, V., Chawdhery, R. A., Muntean, N., Tudor, T., Zahradníček, P., Štěpánek, P., Soukup, J., &amp; Zehnálek, P. (2025). Integrating the DSSAT cropping system model and regional climate models to optimize winter oilseed rape, tomato, and bell sweet pepper production in the Czech Republic. </w:t>
      </w:r>
      <w:r w:rsidRPr="000B3E1F">
        <w:rPr>
          <w:rFonts w:ascii="Arial" w:hAnsi="Arial" w:cs="Arial"/>
          <w:i/>
          <w:iCs/>
          <w:sz w:val="24"/>
          <w:szCs w:val="24"/>
        </w:rPr>
        <w:t>Theoretical and Applied Climatology</w:t>
      </w:r>
      <w:r w:rsidRPr="000B3E1F">
        <w:rPr>
          <w:rFonts w:ascii="Arial" w:hAnsi="Arial" w:cs="Arial"/>
          <w:sz w:val="24"/>
          <w:szCs w:val="24"/>
        </w:rPr>
        <w:t xml:space="preserve">, </w:t>
      </w:r>
      <w:r w:rsidRPr="000B3E1F">
        <w:rPr>
          <w:rFonts w:ascii="Arial" w:hAnsi="Arial" w:cs="Arial"/>
          <w:i/>
          <w:iCs/>
          <w:sz w:val="24"/>
          <w:szCs w:val="24"/>
        </w:rPr>
        <w:t>156</w:t>
      </w:r>
      <w:r w:rsidRPr="000B3E1F">
        <w:rPr>
          <w:rFonts w:ascii="Arial" w:hAnsi="Arial" w:cs="Arial"/>
          <w:sz w:val="24"/>
          <w:szCs w:val="24"/>
        </w:rPr>
        <w:t>(2), 82. https://doi.org/10.1007/s00704-024-05312-y</w:t>
      </w:r>
    </w:p>
    <w:p w14:paraId="372F182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Raes, D., Steduto, P., Hsiao, T., &amp; Fereres, E. (2018). Chapter 2. Users Guide. In </w:t>
      </w:r>
      <w:r w:rsidRPr="000B3E1F">
        <w:rPr>
          <w:rFonts w:ascii="Arial" w:hAnsi="Arial" w:cs="Arial"/>
          <w:i/>
          <w:iCs/>
          <w:sz w:val="24"/>
          <w:szCs w:val="24"/>
        </w:rPr>
        <w:t>Reference Manual of Aquacrop Model</w:t>
      </w:r>
      <w:r w:rsidRPr="000B3E1F">
        <w:rPr>
          <w:rFonts w:ascii="Arial" w:hAnsi="Arial" w:cs="Arial"/>
          <w:sz w:val="24"/>
          <w:szCs w:val="24"/>
        </w:rPr>
        <w:t>. FAO. http://www.fao.org/3/a-br267e.pdf</w:t>
      </w:r>
    </w:p>
    <w:p w14:paraId="24BF71FB"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Ray, M., Roul, P. K., &amp; Baliarsingh, A. (2018). Application of dssat crop simulation model to estimate rice yield in Keonjhar district of Odisha (India) under changing climatic conditions. </w:t>
      </w:r>
      <w:r w:rsidRPr="000B3E1F">
        <w:rPr>
          <w:rFonts w:ascii="Arial" w:hAnsi="Arial" w:cs="Arial"/>
          <w:i/>
          <w:iCs/>
          <w:sz w:val="24"/>
          <w:szCs w:val="24"/>
        </w:rPr>
        <w:t>Int. J. Curr. Microbiol. App. Sci</w:t>
      </w:r>
      <w:r w:rsidRPr="000B3E1F">
        <w:rPr>
          <w:rFonts w:ascii="Arial" w:hAnsi="Arial" w:cs="Arial"/>
          <w:sz w:val="24"/>
          <w:szCs w:val="24"/>
        </w:rPr>
        <w:t xml:space="preserve">, </w:t>
      </w:r>
      <w:r w:rsidRPr="000B3E1F">
        <w:rPr>
          <w:rFonts w:ascii="Arial" w:hAnsi="Arial" w:cs="Arial"/>
          <w:i/>
          <w:iCs/>
          <w:sz w:val="24"/>
          <w:szCs w:val="24"/>
        </w:rPr>
        <w:t>7</w:t>
      </w:r>
      <w:r w:rsidRPr="000B3E1F">
        <w:rPr>
          <w:rFonts w:ascii="Arial" w:hAnsi="Arial" w:cs="Arial"/>
          <w:sz w:val="24"/>
          <w:szCs w:val="24"/>
        </w:rPr>
        <w:t>(4), 659–667. https://www.researchgate.net/profile/Monika-</w:t>
      </w:r>
      <w:r w:rsidRPr="000B3E1F">
        <w:rPr>
          <w:rFonts w:ascii="Arial" w:hAnsi="Arial" w:cs="Arial"/>
          <w:sz w:val="24"/>
          <w:szCs w:val="24"/>
        </w:rPr>
        <w:lastRenderedPageBreak/>
        <w:t>Ray/publication/344488697_Application_of_DSSAT_Crop_Simulation_Model_to_Estimate_Rice_Yield_in_Keonjhar_District_of_Odisha_India_under_Changing_Climatic_Conditions/links/5f7c1746a6fdccfd7b4a80c7/Application-of-DSSAT-Crop-Simulation-Model-to-Estimate-Rice-Yield-in-Keonjhar-District-of-Odisha-India-under-Changing-Climatic-Conditions.pdf</w:t>
      </w:r>
    </w:p>
    <w:p w14:paraId="5F8478C8"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Rinaldi, M., Garofalo, P., Rubino, P., &amp; Steduto, P. (2011). </w:t>
      </w:r>
      <w:r w:rsidRPr="000B3E1F">
        <w:rPr>
          <w:rFonts w:ascii="Arial" w:hAnsi="Arial" w:cs="Arial"/>
          <w:i/>
          <w:iCs/>
          <w:sz w:val="24"/>
          <w:szCs w:val="24"/>
        </w:rPr>
        <w:t>Processing tomatoes under different irrigation regimes in Southern Italy: Agronomic and economic assessments in a simulation case study</w:t>
      </w:r>
      <w:r w:rsidRPr="000B3E1F">
        <w:rPr>
          <w:rFonts w:ascii="Arial" w:hAnsi="Arial" w:cs="Arial"/>
          <w:sz w:val="24"/>
          <w:szCs w:val="24"/>
        </w:rPr>
        <w:t>. https://www.semanticscholar.org/paper/Processing-tomatoes-under-different-irrigation-in-a-Rinaldi-Garofalo/95ef1b7668fdf99ff043d0da0105d9b338d5229c</w:t>
      </w:r>
    </w:p>
    <w:p w14:paraId="781A7F3F"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Rodríguez, A., Companioni, N., Peña, E., Cañet, F., Fresneda, J., Estrada, J., Rey, R., Fernández, E., Vázquez, L., &amp; Avilés, R. (2007). Manual técnico para organopónicos, huertos intensivos y organoponía semiprotegida. </w:t>
      </w:r>
      <w:r w:rsidRPr="000B3E1F">
        <w:rPr>
          <w:rFonts w:ascii="Arial" w:hAnsi="Arial" w:cs="Arial"/>
          <w:i/>
          <w:iCs/>
          <w:sz w:val="24"/>
          <w:szCs w:val="24"/>
          <w:lang w:val="es-ES"/>
        </w:rPr>
        <w:t>Instituto Nacional de Investigaciones Fundamentales En Agricultura Tropical (INIFAT), ACTAF Ed., La Habana, Cuba</w:t>
      </w:r>
      <w:r w:rsidRPr="000B3E1F">
        <w:rPr>
          <w:rFonts w:ascii="Arial" w:hAnsi="Arial" w:cs="Arial"/>
          <w:sz w:val="24"/>
          <w:szCs w:val="24"/>
          <w:lang w:val="es-ES"/>
        </w:rPr>
        <w:t>, 6–23.</w:t>
      </w:r>
    </w:p>
    <w:p w14:paraId="2B9097FD"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Rodríguez, O., Florido, R., &amp; Nualles, M. (2018). </w:t>
      </w:r>
      <w:r w:rsidRPr="000B3E1F">
        <w:rPr>
          <w:rFonts w:ascii="Arial" w:hAnsi="Arial" w:cs="Arial"/>
          <w:i/>
          <w:iCs/>
          <w:sz w:val="24"/>
          <w:szCs w:val="24"/>
          <w:lang w:val="es-ES"/>
        </w:rPr>
        <w:t>APLICACIONES DE LA MODELACIÓN MATEMÁTICA Y LA SIMULACIÓN DE CULTIVOS AGRÍCOLAS EN CUBA</w:t>
      </w:r>
      <w:r w:rsidRPr="000B3E1F">
        <w:rPr>
          <w:rFonts w:ascii="Arial" w:hAnsi="Arial" w:cs="Arial"/>
          <w:sz w:val="24"/>
          <w:szCs w:val="24"/>
          <w:lang w:val="es-ES"/>
        </w:rPr>
        <w:t xml:space="preserve">. </w:t>
      </w:r>
      <w:r w:rsidRPr="000B3E1F">
        <w:rPr>
          <w:rFonts w:ascii="Arial" w:hAnsi="Arial" w:cs="Arial"/>
          <w:i/>
          <w:iCs/>
          <w:sz w:val="24"/>
          <w:szCs w:val="24"/>
          <w:lang w:val="es-ES"/>
        </w:rPr>
        <w:t>39</w:t>
      </w:r>
      <w:r w:rsidRPr="000B3E1F">
        <w:rPr>
          <w:rFonts w:ascii="Arial" w:hAnsi="Arial" w:cs="Arial"/>
          <w:sz w:val="24"/>
          <w:szCs w:val="24"/>
          <w:lang w:val="es-ES"/>
        </w:rPr>
        <w:t>, 121–126. https://www.researchgate.net/publication/325270991_APLICACIONES_DE_LA_MODELACION_MATEMATICA_Y_LA_SIMULACION_DE_CULTIVOS_AGRICOLAS_EN_CUBA</w:t>
      </w:r>
    </w:p>
    <w:p w14:paraId="65238160"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Rodríguez, O., Florido-Bacallao, R., &amp; Varela-Nualles, M. (2018). Aplicaciones de la modelación matemática y la simulación de cultivos agrícolas en Cuba. </w:t>
      </w:r>
      <w:r w:rsidRPr="000B3E1F">
        <w:rPr>
          <w:rFonts w:ascii="Arial" w:hAnsi="Arial" w:cs="Arial"/>
          <w:i/>
          <w:iCs/>
          <w:sz w:val="24"/>
          <w:szCs w:val="24"/>
          <w:lang w:val="es-ES"/>
        </w:rPr>
        <w:t>Cultivos Tropicales</w:t>
      </w:r>
      <w:r w:rsidRPr="000B3E1F">
        <w:rPr>
          <w:rFonts w:ascii="Arial" w:hAnsi="Arial" w:cs="Arial"/>
          <w:sz w:val="24"/>
          <w:szCs w:val="24"/>
          <w:lang w:val="es-ES"/>
        </w:rPr>
        <w:t xml:space="preserve">, </w:t>
      </w:r>
      <w:r w:rsidRPr="000B3E1F">
        <w:rPr>
          <w:rFonts w:ascii="Arial" w:hAnsi="Arial" w:cs="Arial"/>
          <w:i/>
          <w:iCs/>
          <w:sz w:val="24"/>
          <w:szCs w:val="24"/>
          <w:lang w:val="es-ES"/>
        </w:rPr>
        <w:t>39</w:t>
      </w:r>
      <w:r w:rsidRPr="000B3E1F">
        <w:rPr>
          <w:rFonts w:ascii="Arial" w:hAnsi="Arial" w:cs="Arial"/>
          <w:sz w:val="24"/>
          <w:szCs w:val="24"/>
          <w:lang w:val="es-ES"/>
        </w:rPr>
        <w:t>(1), 121–126. http://scielo.sld.cu/scielo.php?script=sci_abstract&amp;pid=S0258-59362018000100018&amp;lng=es&amp;nrm=iso&amp;tlng=es</w:t>
      </w:r>
    </w:p>
    <w:p w14:paraId="1E27301F"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Ruiz, A. (2020). </w:t>
      </w:r>
      <w:r w:rsidRPr="000B3E1F">
        <w:rPr>
          <w:rFonts w:ascii="Arial" w:hAnsi="Arial" w:cs="Arial"/>
          <w:i/>
          <w:iCs/>
          <w:sz w:val="24"/>
          <w:szCs w:val="24"/>
          <w:lang w:val="es-ES"/>
        </w:rPr>
        <w:t>La modelación del crecimiento de cultivos: Conceptos, aplicaciones y retos</w:t>
      </w:r>
      <w:r w:rsidRPr="000B3E1F">
        <w:rPr>
          <w:rFonts w:ascii="Arial" w:hAnsi="Arial" w:cs="Arial"/>
          <w:sz w:val="24"/>
          <w:szCs w:val="24"/>
          <w:lang w:val="es-ES"/>
        </w:rPr>
        <w:t>. https://docplayer.es/196614857-La-modelacion-del-crecimiento-de-cultivos-conceptos-aplicaciones-y-retos.html</w:t>
      </w:r>
    </w:p>
    <w:p w14:paraId="606DCC7B"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lastRenderedPageBreak/>
        <w:t xml:space="preserve">Saavedra del R., G., Jana A., C., &amp; Kehr M., E. (eds ). (2019). </w:t>
      </w:r>
      <w:r w:rsidRPr="000B3E1F">
        <w:rPr>
          <w:rFonts w:ascii="Arial" w:hAnsi="Arial" w:cs="Arial"/>
          <w:i/>
          <w:iCs/>
          <w:sz w:val="24"/>
          <w:szCs w:val="24"/>
          <w:lang w:val="es-ES"/>
        </w:rPr>
        <w:t>Hortalizas para procesamiento agroindustrial</w:t>
      </w:r>
      <w:r w:rsidRPr="000B3E1F">
        <w:rPr>
          <w:rFonts w:ascii="Arial" w:hAnsi="Arial" w:cs="Arial"/>
          <w:sz w:val="24"/>
          <w:szCs w:val="24"/>
          <w:lang w:val="es-ES"/>
        </w:rPr>
        <w:t>. https://hdl.handle.net/20.500.14001/6818</w:t>
      </w:r>
    </w:p>
    <w:p w14:paraId="6F4A85DD"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Santos, S. A., Campos, J. M. de S., Valadares Filho, S. de C., Detmann, E., Oliveira, A. S. de, &amp; Souza, S. M. de. </w:t>
      </w:r>
      <w:r w:rsidRPr="000B3E1F">
        <w:rPr>
          <w:rFonts w:ascii="Arial" w:hAnsi="Arial" w:cs="Arial"/>
          <w:sz w:val="24"/>
          <w:szCs w:val="24"/>
        </w:rPr>
        <w:t xml:space="preserve">(2010). Productive performance of growing dairy heifers fed corn silage and soybean or cottonseed meal based concentrate. </w:t>
      </w:r>
      <w:r w:rsidRPr="000B3E1F">
        <w:rPr>
          <w:rFonts w:ascii="Arial" w:hAnsi="Arial" w:cs="Arial"/>
          <w:i/>
          <w:iCs/>
          <w:sz w:val="24"/>
          <w:szCs w:val="24"/>
          <w:lang w:val="es-ES"/>
        </w:rPr>
        <w:t>Revista Brasileira de Zootecnia</w:t>
      </w:r>
      <w:r w:rsidRPr="000B3E1F">
        <w:rPr>
          <w:rFonts w:ascii="Arial" w:hAnsi="Arial" w:cs="Arial"/>
          <w:sz w:val="24"/>
          <w:szCs w:val="24"/>
          <w:lang w:val="es-ES"/>
        </w:rPr>
        <w:t xml:space="preserve">, </w:t>
      </w:r>
      <w:r w:rsidRPr="000B3E1F">
        <w:rPr>
          <w:rFonts w:ascii="Arial" w:hAnsi="Arial" w:cs="Arial"/>
          <w:i/>
          <w:iCs/>
          <w:sz w:val="24"/>
          <w:szCs w:val="24"/>
          <w:lang w:val="es-ES"/>
        </w:rPr>
        <w:t>39</w:t>
      </w:r>
      <w:r w:rsidRPr="000B3E1F">
        <w:rPr>
          <w:rFonts w:ascii="Arial" w:hAnsi="Arial" w:cs="Arial"/>
          <w:sz w:val="24"/>
          <w:szCs w:val="24"/>
          <w:lang w:val="es-ES"/>
        </w:rPr>
        <w:t>, 638–647. https://doi.org/10.1590/S1516-35982010000300025</w:t>
      </w:r>
    </w:p>
    <w:p w14:paraId="18FE60C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Saqib, S. U., Anjum, M. W., Hasan, A., &amp; Qasmi, M. H. A. (2020). </w:t>
      </w:r>
      <w:r w:rsidRPr="000B3E1F">
        <w:rPr>
          <w:rFonts w:ascii="Arial" w:hAnsi="Arial" w:cs="Arial"/>
          <w:i/>
          <w:iCs/>
          <w:sz w:val="24"/>
          <w:szCs w:val="24"/>
        </w:rPr>
        <w:t>Integrating Novel Deep Neural Networks on the Analysis of Fractional Epidemiological Models in both Populations with Disease Infection</w:t>
      </w:r>
      <w:r w:rsidRPr="000B3E1F">
        <w:rPr>
          <w:rFonts w:ascii="Arial" w:hAnsi="Arial" w:cs="Arial"/>
          <w:sz w:val="24"/>
          <w:szCs w:val="24"/>
        </w:rPr>
        <w:t>.</w:t>
      </w:r>
    </w:p>
    <w:p w14:paraId="71D47981"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Shekar, P. R., Mathew, A., S., A. P., &amp; Gopi, V. P. (2023). Rainfall-Runoff modelling using SWAT and eight artificial intelligence models in the Murredu Watershed, India. </w:t>
      </w:r>
      <w:r w:rsidRPr="000B3E1F">
        <w:rPr>
          <w:rFonts w:ascii="Arial" w:hAnsi="Arial" w:cs="Arial"/>
          <w:i/>
          <w:iCs/>
          <w:sz w:val="24"/>
          <w:szCs w:val="24"/>
        </w:rPr>
        <w:t>Environmental Monitoring and Assessment</w:t>
      </w:r>
      <w:r w:rsidRPr="000B3E1F">
        <w:rPr>
          <w:rFonts w:ascii="Arial" w:hAnsi="Arial" w:cs="Arial"/>
          <w:sz w:val="24"/>
          <w:szCs w:val="24"/>
        </w:rPr>
        <w:t xml:space="preserve">, </w:t>
      </w:r>
      <w:r w:rsidRPr="000B3E1F">
        <w:rPr>
          <w:rFonts w:ascii="Arial" w:hAnsi="Arial" w:cs="Arial"/>
          <w:i/>
          <w:iCs/>
          <w:sz w:val="24"/>
          <w:szCs w:val="24"/>
        </w:rPr>
        <w:t>195</w:t>
      </w:r>
      <w:r w:rsidRPr="000B3E1F">
        <w:rPr>
          <w:rFonts w:ascii="Arial" w:hAnsi="Arial" w:cs="Arial"/>
          <w:sz w:val="24"/>
          <w:szCs w:val="24"/>
        </w:rPr>
        <w:t>(9), 1041. https://doi.org/10.1007/s10661-023-11649-0</w:t>
      </w:r>
    </w:p>
    <w:p w14:paraId="7F462C51"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Shravika, L., Sreenivas, G., Madhavi, A., &amp; Rao, A. M. (2021, October 1). </w:t>
      </w:r>
      <w:r w:rsidRPr="000B3E1F">
        <w:rPr>
          <w:rFonts w:ascii="Arial" w:hAnsi="Arial" w:cs="Arial"/>
          <w:i/>
          <w:iCs/>
          <w:sz w:val="24"/>
          <w:szCs w:val="24"/>
        </w:rPr>
        <w:t>Evaluation of CROPGRO-Tomato Model under Different Dates of Planting and Cultivars under Semi-arid Environment. | EBSCOhost</w:t>
      </w:r>
      <w:r w:rsidRPr="000B3E1F">
        <w:rPr>
          <w:rFonts w:ascii="Arial" w:hAnsi="Arial" w:cs="Arial"/>
          <w:sz w:val="24"/>
          <w:szCs w:val="24"/>
        </w:rPr>
        <w:t>. https://doi.org/10.23910/1.2021.2412a</w:t>
      </w:r>
    </w:p>
    <w:p w14:paraId="421F1357"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Singh, A., Nandal, D., Punia, S., &amp; Malik, P. (2018). Integrated weed management in direct seeded rice in Trans Indo-Gangetic plains of India- A review. </w:t>
      </w:r>
      <w:r w:rsidRPr="000B3E1F">
        <w:rPr>
          <w:rFonts w:ascii="Arial" w:hAnsi="Arial" w:cs="Arial"/>
          <w:i/>
          <w:iCs/>
          <w:sz w:val="24"/>
          <w:szCs w:val="24"/>
        </w:rPr>
        <w:t>Journal of Applied and Natural Science</w:t>
      </w:r>
      <w:r w:rsidRPr="000B3E1F">
        <w:rPr>
          <w:rFonts w:ascii="Arial" w:hAnsi="Arial" w:cs="Arial"/>
          <w:sz w:val="24"/>
          <w:szCs w:val="24"/>
        </w:rPr>
        <w:t xml:space="preserve">, </w:t>
      </w:r>
      <w:r w:rsidRPr="000B3E1F">
        <w:rPr>
          <w:rFonts w:ascii="Arial" w:hAnsi="Arial" w:cs="Arial"/>
          <w:i/>
          <w:iCs/>
          <w:sz w:val="24"/>
          <w:szCs w:val="24"/>
        </w:rPr>
        <w:t>10</w:t>
      </w:r>
      <w:r w:rsidRPr="000B3E1F">
        <w:rPr>
          <w:rFonts w:ascii="Arial" w:hAnsi="Arial" w:cs="Arial"/>
          <w:sz w:val="24"/>
          <w:szCs w:val="24"/>
        </w:rPr>
        <w:t>. https://doi.org/10.31018/jans.v10i2.1679</w:t>
      </w:r>
    </w:p>
    <w:p w14:paraId="3D35CA7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Soltani, A., Alimagham, S. M., Nehbandani, A., Torabi, B., Zeinali, E., Dadrasi, A., Zand, E., Ghassemi, S., Pourshirazi, S., Alasti, O., Hosseini, R. S., Zahed, M., Arabameri, R., Mohammadzadeh, Z., Rahban, S., Kamari, H., Fayazi, H., Mohammadi, S., Keramat, S., … Sinclair, T. R. (2020). SSM-iCrop2: A simple model for diverse crop species over large areas. </w:t>
      </w:r>
      <w:r w:rsidRPr="000B3E1F">
        <w:rPr>
          <w:rFonts w:ascii="Arial" w:hAnsi="Arial" w:cs="Arial"/>
          <w:i/>
          <w:iCs/>
          <w:sz w:val="24"/>
          <w:szCs w:val="24"/>
        </w:rPr>
        <w:t>Agricultural Systems</w:t>
      </w:r>
      <w:r w:rsidRPr="000B3E1F">
        <w:rPr>
          <w:rFonts w:ascii="Arial" w:hAnsi="Arial" w:cs="Arial"/>
          <w:sz w:val="24"/>
          <w:szCs w:val="24"/>
        </w:rPr>
        <w:t xml:space="preserve">, </w:t>
      </w:r>
      <w:r w:rsidRPr="000B3E1F">
        <w:rPr>
          <w:rFonts w:ascii="Arial" w:hAnsi="Arial" w:cs="Arial"/>
          <w:i/>
          <w:iCs/>
          <w:sz w:val="24"/>
          <w:szCs w:val="24"/>
        </w:rPr>
        <w:t>182</w:t>
      </w:r>
      <w:r w:rsidRPr="000B3E1F">
        <w:rPr>
          <w:rFonts w:ascii="Arial" w:hAnsi="Arial" w:cs="Arial"/>
          <w:sz w:val="24"/>
          <w:szCs w:val="24"/>
        </w:rPr>
        <w:t>, 102855. https://doi.org/10.1016/j.agsy.2020.102855</w:t>
      </w:r>
    </w:p>
    <w:p w14:paraId="53A4491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Somraj, Reddy, R. V. S. K., Reddy, K. R., Saidaiah,  dr. pidigam, &amp; Reddy, M. (2017). Genetic variability, heritability and genetic advance for yield and quality attributes in </w:t>
      </w:r>
      <w:r w:rsidRPr="000B3E1F">
        <w:rPr>
          <w:rFonts w:ascii="Arial" w:hAnsi="Arial" w:cs="Arial"/>
          <w:sz w:val="24"/>
          <w:szCs w:val="24"/>
        </w:rPr>
        <w:lastRenderedPageBreak/>
        <w:t xml:space="preserve">heat tolerant exotic lines of tomato (Solanum lycopersicum L.). </w:t>
      </w:r>
      <w:r w:rsidRPr="000B3E1F">
        <w:rPr>
          <w:rFonts w:ascii="Arial" w:hAnsi="Arial" w:cs="Arial"/>
          <w:i/>
          <w:iCs/>
          <w:sz w:val="24"/>
          <w:szCs w:val="24"/>
        </w:rPr>
        <w:t>Journal of Pharmacognosy and Phytochemistry</w:t>
      </w:r>
      <w:r w:rsidRPr="000B3E1F">
        <w:rPr>
          <w:rFonts w:ascii="Arial" w:hAnsi="Arial" w:cs="Arial"/>
          <w:sz w:val="24"/>
          <w:szCs w:val="24"/>
        </w:rPr>
        <w:t xml:space="preserve">, </w:t>
      </w:r>
      <w:r w:rsidRPr="000B3E1F">
        <w:rPr>
          <w:rFonts w:ascii="Arial" w:hAnsi="Arial" w:cs="Arial"/>
          <w:i/>
          <w:iCs/>
          <w:sz w:val="24"/>
          <w:szCs w:val="24"/>
        </w:rPr>
        <w:t>6</w:t>
      </w:r>
      <w:r w:rsidRPr="000B3E1F">
        <w:rPr>
          <w:rFonts w:ascii="Arial" w:hAnsi="Arial" w:cs="Arial"/>
          <w:sz w:val="24"/>
          <w:szCs w:val="24"/>
        </w:rPr>
        <w:t>, 1956–1960. https://www.researchgate.net/publication/321624734_Genetic_variability_heritability_and_genetic_advance_for_yield_and_quality_attributes_in_heat_tolerant_exotic_lines_of_tomato_Solanum_lycopersicum_L</w:t>
      </w:r>
    </w:p>
    <w:p w14:paraId="6094AA61"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Soto, F., &amp; González, M. I. (2019). Análisis de métodos estadísticos para evaluar el desempeño de modelos de simulación en cultivos hortícolas. </w:t>
      </w:r>
      <w:r w:rsidRPr="000B3E1F">
        <w:rPr>
          <w:rFonts w:ascii="Arial" w:hAnsi="Arial" w:cs="Arial"/>
          <w:i/>
          <w:iCs/>
          <w:sz w:val="24"/>
          <w:szCs w:val="24"/>
          <w:lang w:val="es-ES"/>
        </w:rPr>
        <w:t>Agronomía Mesoamericana</w:t>
      </w:r>
      <w:r w:rsidRPr="000B3E1F">
        <w:rPr>
          <w:rFonts w:ascii="Arial" w:hAnsi="Arial" w:cs="Arial"/>
          <w:sz w:val="24"/>
          <w:szCs w:val="24"/>
          <w:lang w:val="es-ES"/>
        </w:rPr>
        <w:t xml:space="preserve">, </w:t>
      </w:r>
      <w:r w:rsidRPr="000B3E1F">
        <w:rPr>
          <w:rFonts w:ascii="Arial" w:hAnsi="Arial" w:cs="Arial"/>
          <w:i/>
          <w:iCs/>
          <w:sz w:val="24"/>
          <w:szCs w:val="24"/>
          <w:lang w:val="es-ES"/>
        </w:rPr>
        <w:t>30</w:t>
      </w:r>
      <w:r w:rsidRPr="000B3E1F">
        <w:rPr>
          <w:rFonts w:ascii="Arial" w:hAnsi="Arial" w:cs="Arial"/>
          <w:sz w:val="24"/>
          <w:szCs w:val="24"/>
          <w:lang w:val="es-ES"/>
        </w:rPr>
        <w:t>(2), 517–534. https://dialnet.unirioja.es/servlet/articulo?codigo=6963219</w:t>
      </w:r>
    </w:p>
    <w:p w14:paraId="42593FD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Sousaraei, N., Mashayekhi, K., Mousavizadeh, S. J., Akbarpour, V., Medina, J., &amp; Aliniaeifard, S. (2021). </w:t>
      </w:r>
      <w:r w:rsidRPr="000B3E1F">
        <w:rPr>
          <w:rFonts w:ascii="Arial" w:hAnsi="Arial" w:cs="Arial"/>
          <w:sz w:val="24"/>
          <w:szCs w:val="24"/>
        </w:rPr>
        <w:t xml:space="preserve">Screening of tomato landraces for drought tolerance based on growth and chlorophyll fluorescence analyses. </w:t>
      </w:r>
      <w:r w:rsidRPr="000B3E1F">
        <w:rPr>
          <w:rFonts w:ascii="Arial" w:hAnsi="Arial" w:cs="Arial"/>
          <w:i/>
          <w:iCs/>
          <w:sz w:val="24"/>
          <w:szCs w:val="24"/>
        </w:rPr>
        <w:t>Horticulture, Environment, and Biotechnology</w:t>
      </w:r>
      <w:r w:rsidRPr="000B3E1F">
        <w:rPr>
          <w:rFonts w:ascii="Arial" w:hAnsi="Arial" w:cs="Arial"/>
          <w:sz w:val="24"/>
          <w:szCs w:val="24"/>
        </w:rPr>
        <w:t xml:space="preserve">, </w:t>
      </w:r>
      <w:r w:rsidRPr="000B3E1F">
        <w:rPr>
          <w:rFonts w:ascii="Arial" w:hAnsi="Arial" w:cs="Arial"/>
          <w:i/>
          <w:iCs/>
          <w:sz w:val="24"/>
          <w:szCs w:val="24"/>
        </w:rPr>
        <w:t>62</w:t>
      </w:r>
      <w:r w:rsidRPr="000B3E1F">
        <w:rPr>
          <w:rFonts w:ascii="Arial" w:hAnsi="Arial" w:cs="Arial"/>
          <w:sz w:val="24"/>
          <w:szCs w:val="24"/>
        </w:rPr>
        <w:t>(4), 521–535. https://doi.org/10.1007/s13580-020-00328-5</w:t>
      </w:r>
    </w:p>
    <w:p w14:paraId="74F273C4"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Timlin, D., Fleisher, D., Tokay, M., Paff, K., Sun, W., Beegum, S., Li, S., Wang, Z., &amp; Reddy, V. (2023). CLASSIM: A relational database driven crop model interface. </w:t>
      </w:r>
      <w:r w:rsidRPr="000B3E1F">
        <w:rPr>
          <w:rFonts w:ascii="Arial" w:hAnsi="Arial" w:cs="Arial"/>
          <w:i/>
          <w:iCs/>
          <w:sz w:val="24"/>
          <w:szCs w:val="24"/>
        </w:rPr>
        <w:t>Smart Agricultural Technology</w:t>
      </w:r>
      <w:r w:rsidRPr="000B3E1F">
        <w:rPr>
          <w:rFonts w:ascii="Arial" w:hAnsi="Arial" w:cs="Arial"/>
          <w:sz w:val="24"/>
          <w:szCs w:val="24"/>
        </w:rPr>
        <w:t xml:space="preserve">, </w:t>
      </w:r>
      <w:r w:rsidRPr="000B3E1F">
        <w:rPr>
          <w:rFonts w:ascii="Arial" w:hAnsi="Arial" w:cs="Arial"/>
          <w:i/>
          <w:iCs/>
          <w:sz w:val="24"/>
          <w:szCs w:val="24"/>
        </w:rPr>
        <w:t>5</w:t>
      </w:r>
      <w:r w:rsidRPr="000B3E1F">
        <w:rPr>
          <w:rFonts w:ascii="Arial" w:hAnsi="Arial" w:cs="Arial"/>
          <w:sz w:val="24"/>
          <w:szCs w:val="24"/>
        </w:rPr>
        <w:t>, 100281. https://doi.org/10.1016/j.atech.2023.100281</w:t>
      </w:r>
    </w:p>
    <w:p w14:paraId="1450188C"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Torres, F. E., Teodoro, P. E., Ribeiro, L. P., Oliveira, E. P. de, &amp; Corrêa, C. C. G. (2015). Acúmulo de massa seca na soja em resposta a aplicação foliar com silício sob condições de déficit hídrico. </w:t>
      </w:r>
      <w:r w:rsidRPr="000B3E1F">
        <w:rPr>
          <w:rFonts w:ascii="Arial" w:hAnsi="Arial" w:cs="Arial"/>
          <w:i/>
          <w:iCs/>
          <w:sz w:val="24"/>
          <w:szCs w:val="24"/>
        </w:rPr>
        <w:t>Bioscience Journal</w:t>
      </w:r>
      <w:r w:rsidRPr="000B3E1F">
        <w:rPr>
          <w:rFonts w:ascii="Arial" w:hAnsi="Arial" w:cs="Arial"/>
          <w:sz w:val="24"/>
          <w:szCs w:val="24"/>
        </w:rPr>
        <w:t xml:space="preserve">, </w:t>
      </w:r>
      <w:r w:rsidRPr="000B3E1F">
        <w:rPr>
          <w:rFonts w:ascii="Arial" w:hAnsi="Arial" w:cs="Arial"/>
          <w:i/>
          <w:iCs/>
          <w:sz w:val="24"/>
          <w:szCs w:val="24"/>
        </w:rPr>
        <w:t>31</w:t>
      </w:r>
      <w:r w:rsidRPr="000B3E1F">
        <w:rPr>
          <w:rFonts w:ascii="Arial" w:hAnsi="Arial" w:cs="Arial"/>
          <w:sz w:val="24"/>
          <w:szCs w:val="24"/>
        </w:rPr>
        <w:t>(1), Article 1. https://doi.org/10.14393/BJ-v31n1a2015-22283</w:t>
      </w:r>
    </w:p>
    <w:p w14:paraId="5FCA6D87"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Tsakmakis, I. D., Kokkos, N. P., Gikas, G. D., Pisinaras, V., Hatzigiannakis, E., Arampatzis, G., &amp; Sylaios, G. K. (2019). Evaluation of AquaCrop model simulations of cotton growth under deficit irrigation with an emphasis on root growth and water extraction patterns.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213</w:t>
      </w:r>
      <w:r w:rsidRPr="000B3E1F">
        <w:rPr>
          <w:rFonts w:ascii="Arial" w:hAnsi="Arial" w:cs="Arial"/>
          <w:sz w:val="24"/>
          <w:szCs w:val="24"/>
        </w:rPr>
        <w:t>, 419–432. https://doi.org/10.1016/j.agwat.2018.10.029</w:t>
      </w:r>
    </w:p>
    <w:p w14:paraId="73D8B67F"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Uslu, Ö. S., Gedik, O., Kaya, A. R., Erol, A., Babur, E., Khan, H., Seleiman, M. F., &amp; Wasonga, D. O. (2025). Effects of Different Irrigation Water Sources Contaminated </w:t>
      </w:r>
      <w:r w:rsidRPr="000B3E1F">
        <w:rPr>
          <w:rFonts w:ascii="Arial" w:hAnsi="Arial" w:cs="Arial"/>
          <w:sz w:val="24"/>
          <w:szCs w:val="24"/>
        </w:rPr>
        <w:lastRenderedPageBreak/>
        <w:t xml:space="preserve">with Heavy Metals on Seed Germination and Seedling Growth of Different Field Crops. </w:t>
      </w:r>
      <w:r w:rsidRPr="000B3E1F">
        <w:rPr>
          <w:rFonts w:ascii="Arial" w:hAnsi="Arial" w:cs="Arial"/>
          <w:i/>
          <w:iCs/>
          <w:sz w:val="24"/>
          <w:szCs w:val="24"/>
          <w:lang w:val="es-ES"/>
        </w:rPr>
        <w:t>Water</w:t>
      </w:r>
      <w:r w:rsidRPr="000B3E1F">
        <w:rPr>
          <w:rFonts w:ascii="Arial" w:hAnsi="Arial" w:cs="Arial"/>
          <w:sz w:val="24"/>
          <w:szCs w:val="24"/>
          <w:lang w:val="es-ES"/>
        </w:rPr>
        <w:t xml:space="preserve">, </w:t>
      </w:r>
      <w:r w:rsidRPr="000B3E1F">
        <w:rPr>
          <w:rFonts w:ascii="Arial" w:hAnsi="Arial" w:cs="Arial"/>
          <w:i/>
          <w:iCs/>
          <w:sz w:val="24"/>
          <w:szCs w:val="24"/>
          <w:lang w:val="es-ES"/>
        </w:rPr>
        <w:t>17</w:t>
      </w:r>
      <w:r w:rsidRPr="000B3E1F">
        <w:rPr>
          <w:rFonts w:ascii="Arial" w:hAnsi="Arial" w:cs="Arial"/>
          <w:sz w:val="24"/>
          <w:szCs w:val="24"/>
          <w:lang w:val="es-ES"/>
        </w:rPr>
        <w:t>(6), Article 6. https://doi.org/10.3390/w17060892</w:t>
      </w:r>
    </w:p>
    <w:p w14:paraId="5BDE19E6"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Valdez, J. B., Soto-Landeros, F., Osuna-Enciso, T., &amp; Báez-Sañudo, M. A. (2012). </w:t>
      </w:r>
      <w:r w:rsidRPr="000B3E1F">
        <w:rPr>
          <w:rFonts w:ascii="Arial" w:hAnsi="Arial" w:cs="Arial"/>
          <w:sz w:val="24"/>
          <w:szCs w:val="24"/>
        </w:rPr>
        <w:t xml:space="preserve">Phenological prediction models for white corn (Zea mays L.) and fall armyworm (Spodoptera frugiperda J.E. Smith). </w:t>
      </w:r>
      <w:r w:rsidRPr="000B3E1F">
        <w:rPr>
          <w:rFonts w:ascii="Arial" w:hAnsi="Arial" w:cs="Arial"/>
          <w:i/>
          <w:iCs/>
          <w:sz w:val="24"/>
          <w:szCs w:val="24"/>
          <w:lang w:val="es-ES"/>
        </w:rPr>
        <w:t>Agrociencia</w:t>
      </w:r>
      <w:r w:rsidRPr="000B3E1F">
        <w:rPr>
          <w:rFonts w:ascii="Arial" w:hAnsi="Arial" w:cs="Arial"/>
          <w:sz w:val="24"/>
          <w:szCs w:val="24"/>
          <w:lang w:val="es-ES"/>
        </w:rPr>
        <w:t xml:space="preserve">, </w:t>
      </w:r>
      <w:r w:rsidRPr="000B3E1F">
        <w:rPr>
          <w:rFonts w:ascii="Arial" w:hAnsi="Arial" w:cs="Arial"/>
          <w:i/>
          <w:iCs/>
          <w:sz w:val="24"/>
          <w:szCs w:val="24"/>
          <w:lang w:val="es-ES"/>
        </w:rPr>
        <w:t>46</w:t>
      </w:r>
      <w:r w:rsidRPr="000B3E1F">
        <w:rPr>
          <w:rFonts w:ascii="Arial" w:hAnsi="Arial" w:cs="Arial"/>
          <w:sz w:val="24"/>
          <w:szCs w:val="24"/>
          <w:lang w:val="es-ES"/>
        </w:rPr>
        <w:t>(4), 399–410. http://www.scielo.org.mx/scielo.php?script=sci_abstract&amp;pid=S1405-31952012000400007&amp;lng=es&amp;nrm=iso&amp;tlng=es</w:t>
      </w:r>
    </w:p>
    <w:p w14:paraId="72947ED1"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Van, G. A., Boer, M. P., Truong, S. H., Friedenberg, N. A., Gugushvili, S., McCormick, R., Bustos Korts, D., Messina, C. D., &amp; Van Eeuwijk, F. A. (2023). A conceptual framework for the dynamic modeling of time-resolved phenotypes for sets of genotype-environment-management combinations: A model library. </w:t>
      </w:r>
      <w:r w:rsidRPr="000B3E1F">
        <w:rPr>
          <w:rFonts w:ascii="Arial" w:hAnsi="Arial" w:cs="Arial"/>
          <w:i/>
          <w:iCs/>
          <w:sz w:val="24"/>
          <w:szCs w:val="24"/>
        </w:rPr>
        <w:t>Frontiers in Plant Science</w:t>
      </w:r>
      <w:r w:rsidRPr="000B3E1F">
        <w:rPr>
          <w:rFonts w:ascii="Arial" w:hAnsi="Arial" w:cs="Arial"/>
          <w:sz w:val="24"/>
          <w:szCs w:val="24"/>
        </w:rPr>
        <w:t xml:space="preserve">, </w:t>
      </w:r>
      <w:r w:rsidRPr="000B3E1F">
        <w:rPr>
          <w:rFonts w:ascii="Arial" w:hAnsi="Arial" w:cs="Arial"/>
          <w:i/>
          <w:iCs/>
          <w:sz w:val="24"/>
          <w:szCs w:val="24"/>
        </w:rPr>
        <w:t>14</w:t>
      </w:r>
      <w:r w:rsidRPr="000B3E1F">
        <w:rPr>
          <w:rFonts w:ascii="Arial" w:hAnsi="Arial" w:cs="Arial"/>
          <w:sz w:val="24"/>
          <w:szCs w:val="24"/>
        </w:rPr>
        <w:t>, 1172359. https://www.frontiersin.org/articles/10.3389/fpls.2023.1172359/full</w:t>
      </w:r>
    </w:p>
    <w:p w14:paraId="45D21834"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Vargas, L., Ku, J., Vargas, F., &amp; Medina, S. (2004). Modelo para la estimación de tres parámetros ruminales biológicos. </w:t>
      </w:r>
      <w:r w:rsidRPr="000B3E1F">
        <w:rPr>
          <w:rFonts w:ascii="Arial" w:hAnsi="Arial" w:cs="Arial"/>
          <w:i/>
          <w:iCs/>
          <w:sz w:val="24"/>
          <w:szCs w:val="24"/>
          <w:lang w:val="es-ES"/>
        </w:rPr>
        <w:t>Interciencia</w:t>
      </w:r>
      <w:r w:rsidRPr="000B3E1F">
        <w:rPr>
          <w:rFonts w:ascii="Arial" w:hAnsi="Arial" w:cs="Arial"/>
          <w:sz w:val="24"/>
          <w:szCs w:val="24"/>
          <w:lang w:val="es-ES"/>
        </w:rPr>
        <w:t xml:space="preserve">, </w:t>
      </w:r>
      <w:r w:rsidRPr="000B3E1F">
        <w:rPr>
          <w:rFonts w:ascii="Arial" w:hAnsi="Arial" w:cs="Arial"/>
          <w:i/>
          <w:iCs/>
          <w:sz w:val="24"/>
          <w:szCs w:val="24"/>
          <w:lang w:val="es-ES"/>
        </w:rPr>
        <w:t>29</w:t>
      </w:r>
      <w:r w:rsidRPr="000B3E1F">
        <w:rPr>
          <w:rFonts w:ascii="Arial" w:hAnsi="Arial" w:cs="Arial"/>
          <w:sz w:val="24"/>
          <w:szCs w:val="24"/>
          <w:lang w:val="es-ES"/>
        </w:rPr>
        <w:t>(6), Article 6. http://ve.scielo.org/scielo.php?script=sci_abstract&amp;pid=S0378-18442004000600004&amp;lng=es&amp;nrm=iso&amp;tlng=es</w:t>
      </w:r>
    </w:p>
    <w:p w14:paraId="27F75B88"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Ventrella, D., Charfeddine, M., Giglio, L., &amp; Castellini, M. (2012). </w:t>
      </w:r>
      <w:r w:rsidRPr="000B3E1F">
        <w:rPr>
          <w:rFonts w:ascii="Arial" w:hAnsi="Arial" w:cs="Arial"/>
          <w:sz w:val="24"/>
          <w:szCs w:val="24"/>
        </w:rPr>
        <w:t xml:space="preserve">Application of DSSAT Models for an Agronomic Adaptation Strategy Under Climate Change in Southern Italy: Optimum Sowing and Transplanting Time for Winter Durum Wheat and Tomato. </w:t>
      </w:r>
      <w:r w:rsidRPr="000B3E1F">
        <w:rPr>
          <w:rFonts w:ascii="Arial" w:hAnsi="Arial" w:cs="Arial"/>
          <w:i/>
          <w:iCs/>
          <w:sz w:val="24"/>
          <w:szCs w:val="24"/>
        </w:rPr>
        <w:t>Italian Journal of Agronomy</w:t>
      </w:r>
      <w:r w:rsidRPr="000B3E1F">
        <w:rPr>
          <w:rFonts w:ascii="Arial" w:hAnsi="Arial" w:cs="Arial"/>
          <w:sz w:val="24"/>
          <w:szCs w:val="24"/>
        </w:rPr>
        <w:t xml:space="preserve">, </w:t>
      </w:r>
      <w:r w:rsidRPr="000B3E1F">
        <w:rPr>
          <w:rFonts w:ascii="Arial" w:hAnsi="Arial" w:cs="Arial"/>
          <w:i/>
          <w:iCs/>
          <w:sz w:val="24"/>
          <w:szCs w:val="24"/>
        </w:rPr>
        <w:t>7</w:t>
      </w:r>
      <w:r w:rsidRPr="000B3E1F">
        <w:rPr>
          <w:rFonts w:ascii="Arial" w:hAnsi="Arial" w:cs="Arial"/>
          <w:sz w:val="24"/>
          <w:szCs w:val="24"/>
        </w:rPr>
        <w:t>(1), e16. https://doi.org/10.4081/ija.2012.e16</w:t>
      </w:r>
    </w:p>
    <w:p w14:paraId="577F45AC"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Ventrella, D., Charfeddine, M., Moriondo, M., Rinaldi, M., &amp; Bindi, M. (2012). Agronomic adaptation strategies under climate change for winter durum wheat and tomato in southern Italy: Irrigation and nitrogen fertilization. </w:t>
      </w:r>
      <w:r w:rsidRPr="000B3E1F">
        <w:rPr>
          <w:rFonts w:ascii="Arial" w:hAnsi="Arial" w:cs="Arial"/>
          <w:i/>
          <w:iCs/>
          <w:sz w:val="24"/>
          <w:szCs w:val="24"/>
          <w:lang w:val="es-ES"/>
        </w:rPr>
        <w:t>Regional Environmental Change</w:t>
      </w:r>
      <w:r w:rsidRPr="000B3E1F">
        <w:rPr>
          <w:rFonts w:ascii="Arial" w:hAnsi="Arial" w:cs="Arial"/>
          <w:sz w:val="24"/>
          <w:szCs w:val="24"/>
          <w:lang w:val="es-ES"/>
        </w:rPr>
        <w:t xml:space="preserve">, </w:t>
      </w:r>
      <w:r w:rsidRPr="000B3E1F">
        <w:rPr>
          <w:rFonts w:ascii="Arial" w:hAnsi="Arial" w:cs="Arial"/>
          <w:i/>
          <w:iCs/>
          <w:sz w:val="24"/>
          <w:szCs w:val="24"/>
          <w:lang w:val="es-ES"/>
        </w:rPr>
        <w:t>12</w:t>
      </w:r>
      <w:r w:rsidRPr="000B3E1F">
        <w:rPr>
          <w:rFonts w:ascii="Arial" w:hAnsi="Arial" w:cs="Arial"/>
          <w:sz w:val="24"/>
          <w:szCs w:val="24"/>
          <w:lang w:val="es-ES"/>
        </w:rPr>
        <w:t>(3), 407–419. https://doi.org/10.1007/s10113-011-0256-3</w:t>
      </w:r>
    </w:p>
    <w:p w14:paraId="48A0CC7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lang w:val="es-ES"/>
        </w:rPr>
        <w:t xml:space="preserve">Ventrella, D., Giglio, L., Garofalo, P., &amp; Marta, A. D. (2018). </w:t>
      </w:r>
      <w:r w:rsidRPr="000B3E1F">
        <w:rPr>
          <w:rFonts w:ascii="Arial" w:hAnsi="Arial" w:cs="Arial"/>
          <w:sz w:val="24"/>
          <w:szCs w:val="24"/>
        </w:rPr>
        <w:t xml:space="preserve">Regional assessment of green and blue water consumption for tomato cultivated in Southern Italy. </w:t>
      </w:r>
      <w:r w:rsidRPr="000B3E1F">
        <w:rPr>
          <w:rFonts w:ascii="Arial" w:hAnsi="Arial" w:cs="Arial"/>
          <w:i/>
          <w:iCs/>
          <w:sz w:val="24"/>
          <w:szCs w:val="24"/>
        </w:rPr>
        <w:t xml:space="preserve">The </w:t>
      </w:r>
      <w:r w:rsidRPr="000B3E1F">
        <w:rPr>
          <w:rFonts w:ascii="Arial" w:hAnsi="Arial" w:cs="Arial"/>
          <w:i/>
          <w:iCs/>
          <w:sz w:val="24"/>
          <w:szCs w:val="24"/>
        </w:rPr>
        <w:lastRenderedPageBreak/>
        <w:t>Journal of Agricultural Science</w:t>
      </w:r>
      <w:r w:rsidRPr="000B3E1F">
        <w:rPr>
          <w:rFonts w:ascii="Arial" w:hAnsi="Arial" w:cs="Arial"/>
          <w:sz w:val="24"/>
          <w:szCs w:val="24"/>
        </w:rPr>
        <w:t xml:space="preserve">, </w:t>
      </w:r>
      <w:r w:rsidRPr="000B3E1F">
        <w:rPr>
          <w:rFonts w:ascii="Arial" w:hAnsi="Arial" w:cs="Arial"/>
          <w:i/>
          <w:iCs/>
          <w:sz w:val="24"/>
          <w:szCs w:val="24"/>
        </w:rPr>
        <w:t>156</w:t>
      </w:r>
      <w:r w:rsidRPr="000B3E1F">
        <w:rPr>
          <w:rFonts w:ascii="Arial" w:hAnsi="Arial" w:cs="Arial"/>
          <w:sz w:val="24"/>
          <w:szCs w:val="24"/>
        </w:rPr>
        <w:t>(5), 689–701. https://doi.org/10.1017/S0021859617000831</w:t>
      </w:r>
    </w:p>
    <w:p w14:paraId="5BD02002"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Wagener, T., McIntyre, N., Lees, M. J., Wheater, H. S., &amp; Gupta, H. V. (2003). Towards reduced uncertainty in conceptual rainfall-runoff modelling: Dynamic identifiability analysis. </w:t>
      </w:r>
      <w:r w:rsidRPr="000B3E1F">
        <w:rPr>
          <w:rFonts w:ascii="Arial" w:hAnsi="Arial" w:cs="Arial"/>
          <w:i/>
          <w:iCs/>
          <w:sz w:val="24"/>
          <w:szCs w:val="24"/>
        </w:rPr>
        <w:t>Hydrological Processes</w:t>
      </w:r>
      <w:r w:rsidRPr="000B3E1F">
        <w:rPr>
          <w:rFonts w:ascii="Arial" w:hAnsi="Arial" w:cs="Arial"/>
          <w:sz w:val="24"/>
          <w:szCs w:val="24"/>
        </w:rPr>
        <w:t xml:space="preserve">, </w:t>
      </w:r>
      <w:r w:rsidRPr="000B3E1F">
        <w:rPr>
          <w:rFonts w:ascii="Arial" w:hAnsi="Arial" w:cs="Arial"/>
          <w:i/>
          <w:iCs/>
          <w:sz w:val="24"/>
          <w:szCs w:val="24"/>
        </w:rPr>
        <w:t>17</w:t>
      </w:r>
      <w:r w:rsidRPr="000B3E1F">
        <w:rPr>
          <w:rFonts w:ascii="Arial" w:hAnsi="Arial" w:cs="Arial"/>
          <w:sz w:val="24"/>
          <w:szCs w:val="24"/>
        </w:rPr>
        <w:t>(2), 455–476. https://doi.org/10.1002/hyp.1135</w:t>
      </w:r>
    </w:p>
    <w:p w14:paraId="5A68CA76"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Wei, J., Wang, X., Schuurmans, D., Bosma, M., Ichter, B., Xia, F., Chi, E., Le, Q., &amp; Zhou, D. (2023). </w:t>
      </w:r>
      <w:r w:rsidRPr="000B3E1F">
        <w:rPr>
          <w:rFonts w:ascii="Arial" w:hAnsi="Arial" w:cs="Arial"/>
          <w:i/>
          <w:iCs/>
          <w:sz w:val="24"/>
          <w:szCs w:val="24"/>
        </w:rPr>
        <w:t>Chain-of-Thought Prompting Elicits Reasoning in Large Language Models</w:t>
      </w:r>
      <w:r w:rsidRPr="000B3E1F">
        <w:rPr>
          <w:rFonts w:ascii="Arial" w:hAnsi="Arial" w:cs="Arial"/>
          <w:sz w:val="24"/>
          <w:szCs w:val="24"/>
        </w:rPr>
        <w:t xml:space="preserve"> (No. arXiv:2201.11903). arXiv. https://doi.org/10.48550/arXiv.2201.11903</w:t>
      </w:r>
    </w:p>
    <w:p w14:paraId="012BF3A0"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Willmott. (1982). ON THE VALIDATION OF MODELS. </w:t>
      </w:r>
      <w:r w:rsidRPr="000B3E1F">
        <w:rPr>
          <w:rFonts w:ascii="Arial" w:hAnsi="Arial" w:cs="Arial"/>
          <w:i/>
          <w:iCs/>
          <w:sz w:val="24"/>
          <w:szCs w:val="24"/>
        </w:rPr>
        <w:t>Physical Geography</w:t>
      </w:r>
      <w:r w:rsidRPr="000B3E1F">
        <w:rPr>
          <w:rFonts w:ascii="Arial" w:hAnsi="Arial" w:cs="Arial"/>
          <w:sz w:val="24"/>
          <w:szCs w:val="24"/>
        </w:rPr>
        <w:t xml:space="preserve">, </w:t>
      </w:r>
      <w:r w:rsidRPr="000B3E1F">
        <w:rPr>
          <w:rFonts w:ascii="Arial" w:hAnsi="Arial" w:cs="Arial"/>
          <w:i/>
          <w:iCs/>
          <w:sz w:val="24"/>
          <w:szCs w:val="24"/>
        </w:rPr>
        <w:t>2</w:t>
      </w:r>
      <w:r w:rsidRPr="000B3E1F">
        <w:rPr>
          <w:rFonts w:ascii="Arial" w:hAnsi="Arial" w:cs="Arial"/>
          <w:sz w:val="24"/>
          <w:szCs w:val="24"/>
        </w:rPr>
        <w:t>(2), 184–194. https://doi.org/10.1080/02723646.1981.10642213</w:t>
      </w:r>
    </w:p>
    <w:p w14:paraId="0E2E040A"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Xiang, Z., Bailey, R. T., Nozari, S., Husain, Z., Kisekka, I., Sharda, V., &amp; Gowda, P. (2020). DSSAT-MODFLOW: A new modeling framework for exploring groundwater conservation strategies in irrigated areas.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232</w:t>
      </w:r>
      <w:r w:rsidRPr="000B3E1F">
        <w:rPr>
          <w:rFonts w:ascii="Arial" w:hAnsi="Arial" w:cs="Arial"/>
          <w:sz w:val="24"/>
          <w:szCs w:val="24"/>
        </w:rPr>
        <w:t>, 106033. https://doi.org/10.1016/j.agwat.2020.106033</w:t>
      </w:r>
    </w:p>
    <w:p w14:paraId="165DAEFB"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Xiuyuan, P. (2023). </w:t>
      </w:r>
      <w:r w:rsidRPr="000B3E1F">
        <w:rPr>
          <w:rFonts w:ascii="Arial" w:hAnsi="Arial" w:cs="Arial"/>
          <w:i/>
          <w:iCs/>
          <w:sz w:val="24"/>
          <w:szCs w:val="24"/>
          <w:lang w:val="es-ES"/>
        </w:rPr>
        <w:t>Modelo de predicción del rendimiento del tomate en invernadero utilizando datos basados ​​en diferentes condiciones de fertilidad del suelo</w:t>
      </w:r>
      <w:r w:rsidRPr="000B3E1F">
        <w:rPr>
          <w:rFonts w:ascii="Arial" w:hAnsi="Arial" w:cs="Arial"/>
          <w:sz w:val="24"/>
          <w:szCs w:val="24"/>
          <w:lang w:val="es-ES"/>
        </w:rPr>
        <w:t>.</w:t>
      </w:r>
    </w:p>
    <w:p w14:paraId="230E8CC5"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Xu, X., Wang, C., Wang, H., Zhang, Y., Cao, Z., Zhang, Z., Dai, H., &amp; Miao, M. (2023). Development and performance evaluation of an APP for vegetable fertilization and irrigation management originated from EU-Rotate_N. </w:t>
      </w:r>
      <w:r w:rsidRPr="000B3E1F">
        <w:rPr>
          <w:rFonts w:ascii="Arial" w:hAnsi="Arial" w:cs="Arial"/>
          <w:i/>
          <w:iCs/>
          <w:sz w:val="24"/>
          <w:szCs w:val="24"/>
        </w:rPr>
        <w:t>Agricultural Water Management</w:t>
      </w:r>
      <w:r w:rsidRPr="000B3E1F">
        <w:rPr>
          <w:rFonts w:ascii="Arial" w:hAnsi="Arial" w:cs="Arial"/>
          <w:sz w:val="24"/>
          <w:szCs w:val="24"/>
        </w:rPr>
        <w:t xml:space="preserve">, </w:t>
      </w:r>
      <w:r w:rsidRPr="000B3E1F">
        <w:rPr>
          <w:rFonts w:ascii="Arial" w:hAnsi="Arial" w:cs="Arial"/>
          <w:i/>
          <w:iCs/>
          <w:sz w:val="24"/>
          <w:szCs w:val="24"/>
        </w:rPr>
        <w:t>289</w:t>
      </w:r>
      <w:r w:rsidRPr="000B3E1F">
        <w:rPr>
          <w:rFonts w:ascii="Arial" w:hAnsi="Arial" w:cs="Arial"/>
          <w:sz w:val="24"/>
          <w:szCs w:val="24"/>
        </w:rPr>
        <w:t>, 108520. https://doi.org/10.1016/j.agwat.2023.108520</w:t>
      </w:r>
    </w:p>
    <w:p w14:paraId="003B1888"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Yang, J. M., Yang, J. Y., Liu, S., &amp; Hoogenboom, G. (2014). An evaluation of the statistical methods for testing the performance of crop models with observed data. </w:t>
      </w:r>
      <w:r w:rsidRPr="000B3E1F">
        <w:rPr>
          <w:rFonts w:ascii="Arial" w:hAnsi="Arial" w:cs="Arial"/>
          <w:i/>
          <w:iCs/>
          <w:sz w:val="24"/>
          <w:szCs w:val="24"/>
          <w:lang w:val="es-ES"/>
        </w:rPr>
        <w:t>Agricultural Systems</w:t>
      </w:r>
      <w:r w:rsidRPr="000B3E1F">
        <w:rPr>
          <w:rFonts w:ascii="Arial" w:hAnsi="Arial" w:cs="Arial"/>
          <w:sz w:val="24"/>
          <w:szCs w:val="24"/>
          <w:lang w:val="es-ES"/>
        </w:rPr>
        <w:t xml:space="preserve">, </w:t>
      </w:r>
      <w:r w:rsidRPr="000B3E1F">
        <w:rPr>
          <w:rFonts w:ascii="Arial" w:hAnsi="Arial" w:cs="Arial"/>
          <w:i/>
          <w:iCs/>
          <w:sz w:val="24"/>
          <w:szCs w:val="24"/>
          <w:lang w:val="es-ES"/>
        </w:rPr>
        <w:t>127</w:t>
      </w:r>
      <w:r w:rsidRPr="000B3E1F">
        <w:rPr>
          <w:rFonts w:ascii="Arial" w:hAnsi="Arial" w:cs="Arial"/>
          <w:sz w:val="24"/>
          <w:szCs w:val="24"/>
          <w:lang w:val="es-ES"/>
        </w:rPr>
        <w:t>, 81–89. https://doi.org/10.1016/j.agsy.2014.01.008</w:t>
      </w:r>
    </w:p>
    <w:p w14:paraId="7628C2A7" w14:textId="77777777" w:rsidR="006A45D2" w:rsidRPr="000B3E1F"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lang w:val="es-ES"/>
        </w:rPr>
        <w:t xml:space="preserve">Zavala, F., Reyes, A., Álvarez-Reyna, V. de P., Cano-Ríos, P., Rodríguez-Moreno, V. M., Zavala-Borrego, F., Reyes-González, A., Álvarez-Reyna, V. de P., Cano-Ríos, P., &amp; Rodríguez-Moreno, V. M. (2022). </w:t>
      </w:r>
      <w:r w:rsidRPr="000B3E1F">
        <w:rPr>
          <w:rFonts w:ascii="Arial" w:hAnsi="Arial" w:cs="Arial"/>
          <w:sz w:val="24"/>
          <w:szCs w:val="24"/>
        </w:rPr>
        <w:t xml:space="preserve">Effect of evapotranspiration rate on leaf area, </w:t>
      </w:r>
      <w:r w:rsidRPr="000B3E1F">
        <w:rPr>
          <w:rFonts w:ascii="Arial" w:hAnsi="Arial" w:cs="Arial"/>
          <w:sz w:val="24"/>
          <w:szCs w:val="24"/>
        </w:rPr>
        <w:lastRenderedPageBreak/>
        <w:t xml:space="preserve">water potential and yield of forage corn. </w:t>
      </w:r>
      <w:r w:rsidRPr="000B3E1F">
        <w:rPr>
          <w:rFonts w:ascii="Arial" w:hAnsi="Arial" w:cs="Arial"/>
          <w:i/>
          <w:iCs/>
          <w:sz w:val="24"/>
          <w:szCs w:val="24"/>
          <w:lang w:val="es-ES"/>
        </w:rPr>
        <w:t>Revista Mexicana de Ciencias Agrícolas</w:t>
      </w:r>
      <w:r w:rsidRPr="000B3E1F">
        <w:rPr>
          <w:rFonts w:ascii="Arial" w:hAnsi="Arial" w:cs="Arial"/>
          <w:sz w:val="24"/>
          <w:szCs w:val="24"/>
          <w:lang w:val="es-ES"/>
        </w:rPr>
        <w:t xml:space="preserve">, </w:t>
      </w:r>
      <w:r w:rsidRPr="000B3E1F">
        <w:rPr>
          <w:rFonts w:ascii="Arial" w:hAnsi="Arial" w:cs="Arial"/>
          <w:i/>
          <w:iCs/>
          <w:sz w:val="24"/>
          <w:szCs w:val="24"/>
          <w:lang w:val="es-ES"/>
        </w:rPr>
        <w:t>13</w:t>
      </w:r>
      <w:r w:rsidRPr="000B3E1F">
        <w:rPr>
          <w:rFonts w:ascii="Arial" w:hAnsi="Arial" w:cs="Arial"/>
          <w:sz w:val="24"/>
          <w:szCs w:val="24"/>
          <w:lang w:val="es-ES"/>
        </w:rPr>
        <w:t>(3), 407–420. https://doi.org/10.29312/remexca.v13i3.2294</w:t>
      </w:r>
    </w:p>
    <w:p w14:paraId="14C06D6E"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Zhang, Y., Li, C., Zhou, X., &amp; Moore, B. (2002). A simulation model linking crop growth and soil biogeochemistry for sustainable agriculture. </w:t>
      </w:r>
      <w:r w:rsidRPr="000B3E1F">
        <w:rPr>
          <w:rFonts w:ascii="Arial" w:hAnsi="Arial" w:cs="Arial"/>
          <w:i/>
          <w:iCs/>
          <w:sz w:val="24"/>
          <w:szCs w:val="24"/>
        </w:rPr>
        <w:t>Ecological Modelling</w:t>
      </w:r>
      <w:r w:rsidRPr="000B3E1F">
        <w:rPr>
          <w:rFonts w:ascii="Arial" w:hAnsi="Arial" w:cs="Arial"/>
          <w:sz w:val="24"/>
          <w:szCs w:val="24"/>
        </w:rPr>
        <w:t xml:space="preserve">, </w:t>
      </w:r>
      <w:r w:rsidRPr="000B3E1F">
        <w:rPr>
          <w:rFonts w:ascii="Arial" w:hAnsi="Arial" w:cs="Arial"/>
          <w:i/>
          <w:iCs/>
          <w:sz w:val="24"/>
          <w:szCs w:val="24"/>
        </w:rPr>
        <w:t>151</w:t>
      </w:r>
      <w:r w:rsidRPr="000B3E1F">
        <w:rPr>
          <w:rFonts w:ascii="Arial" w:hAnsi="Arial" w:cs="Arial"/>
          <w:sz w:val="24"/>
          <w:szCs w:val="24"/>
        </w:rPr>
        <w:t>(1), 75–108. https://doi.org/10.1016/S0304-3800(01)00527-0</w:t>
      </w:r>
    </w:p>
    <w:p w14:paraId="3532DCAB" w14:textId="77777777" w:rsidR="006A45D2" w:rsidRPr="000B3E1F" w:rsidRDefault="006A45D2" w:rsidP="000B3E1F">
      <w:pPr>
        <w:pStyle w:val="Bibliografa"/>
        <w:spacing w:line="360" w:lineRule="auto"/>
        <w:jc w:val="both"/>
        <w:rPr>
          <w:rFonts w:ascii="Arial" w:hAnsi="Arial" w:cs="Arial"/>
          <w:sz w:val="24"/>
          <w:szCs w:val="24"/>
        </w:rPr>
      </w:pPr>
      <w:r w:rsidRPr="000B3E1F">
        <w:rPr>
          <w:rFonts w:ascii="Arial" w:hAnsi="Arial" w:cs="Arial"/>
          <w:sz w:val="24"/>
          <w:szCs w:val="24"/>
        </w:rPr>
        <w:t xml:space="preserve">Zhou, D., Schärli, N., Hou, L., Wei, J., Scales, N., Wang, X., Schuurmans, D., Cui, C., Bousquet, O., Le, Q., &amp; Chi, E. (2023). </w:t>
      </w:r>
      <w:r w:rsidRPr="000B3E1F">
        <w:rPr>
          <w:rFonts w:ascii="Arial" w:hAnsi="Arial" w:cs="Arial"/>
          <w:i/>
          <w:iCs/>
          <w:sz w:val="24"/>
          <w:szCs w:val="24"/>
        </w:rPr>
        <w:t>Least-to-Most Prompting Enables Complex Reasoning in Large Language Models</w:t>
      </w:r>
      <w:r w:rsidRPr="000B3E1F">
        <w:rPr>
          <w:rFonts w:ascii="Arial" w:hAnsi="Arial" w:cs="Arial"/>
          <w:sz w:val="24"/>
          <w:szCs w:val="24"/>
        </w:rPr>
        <w:t xml:space="preserve"> (No. arXiv:2205.10625). arXiv. https://doi.org/10.48550/arXiv.2205.10625</w:t>
      </w:r>
    </w:p>
    <w:p w14:paraId="7B485F70" w14:textId="77777777" w:rsidR="006A45D2" w:rsidRPr="007A5005" w:rsidRDefault="006A45D2" w:rsidP="000B3E1F">
      <w:pPr>
        <w:pStyle w:val="Bibliografa"/>
        <w:spacing w:line="360" w:lineRule="auto"/>
        <w:jc w:val="both"/>
        <w:rPr>
          <w:rFonts w:ascii="Arial" w:hAnsi="Arial" w:cs="Arial"/>
          <w:sz w:val="24"/>
          <w:szCs w:val="24"/>
          <w:lang w:val="es-ES"/>
        </w:rPr>
      </w:pPr>
      <w:r w:rsidRPr="000B3E1F">
        <w:rPr>
          <w:rFonts w:ascii="Arial" w:hAnsi="Arial" w:cs="Arial"/>
          <w:sz w:val="24"/>
          <w:szCs w:val="24"/>
        </w:rPr>
        <w:t xml:space="preserve">Zhou, J., Li, W., Xiao, W., Chen, Y., &amp; Chang, X. (2022). Calibration and validation of APSIM for maize grown in different seasons in Southwest tropic of China. </w:t>
      </w:r>
      <w:r w:rsidRPr="007A5005">
        <w:rPr>
          <w:rFonts w:ascii="Arial" w:hAnsi="Arial" w:cs="Arial"/>
          <w:i/>
          <w:iCs/>
          <w:sz w:val="24"/>
          <w:szCs w:val="24"/>
          <w:lang w:val="es-ES"/>
        </w:rPr>
        <w:t>Chilean Journal of Agricultural Research</w:t>
      </w:r>
      <w:r w:rsidRPr="007A5005">
        <w:rPr>
          <w:rFonts w:ascii="Arial" w:hAnsi="Arial" w:cs="Arial"/>
          <w:sz w:val="24"/>
          <w:szCs w:val="24"/>
          <w:lang w:val="es-ES"/>
        </w:rPr>
        <w:t xml:space="preserve">, </w:t>
      </w:r>
      <w:r w:rsidRPr="007A5005">
        <w:rPr>
          <w:rFonts w:ascii="Arial" w:hAnsi="Arial" w:cs="Arial"/>
          <w:i/>
          <w:iCs/>
          <w:sz w:val="24"/>
          <w:szCs w:val="24"/>
          <w:lang w:val="es-ES"/>
        </w:rPr>
        <w:t>82</w:t>
      </w:r>
      <w:r w:rsidRPr="007A5005">
        <w:rPr>
          <w:rFonts w:ascii="Arial" w:hAnsi="Arial" w:cs="Arial"/>
          <w:sz w:val="24"/>
          <w:szCs w:val="24"/>
          <w:lang w:val="es-ES"/>
        </w:rPr>
        <w:t>(4), 586–594. https://doi.org/10.4067/S0718-58392022000400586</w:t>
      </w:r>
    </w:p>
    <w:p w14:paraId="6C6B6BD2" w14:textId="77777777" w:rsidR="003E149A" w:rsidRDefault="007D49D9" w:rsidP="003E149A">
      <w:pPr>
        <w:pStyle w:val="Sinespaciado"/>
        <w:rPr>
          <w:lang w:val="es-ES_tradnl"/>
        </w:rPr>
        <w:sectPr w:rsidR="003E149A" w:rsidSect="003F6E96">
          <w:headerReference w:type="default" r:id="rId22"/>
          <w:footerReference w:type="default" r:id="rId23"/>
          <w:pgSz w:w="12240" w:h="15840"/>
          <w:pgMar w:top="1417" w:right="1701" w:bottom="1417" w:left="1701" w:header="708" w:footer="708" w:gutter="0"/>
          <w:pgNumType w:start="1"/>
          <w:cols w:space="708"/>
          <w:docGrid w:linePitch="360"/>
        </w:sectPr>
      </w:pPr>
      <w:r w:rsidRPr="000B3E1F">
        <w:rPr>
          <w:lang w:val="es-ES_tradnl"/>
        </w:rPr>
        <w:fldChar w:fldCharType="end"/>
      </w:r>
    </w:p>
    <w:p w14:paraId="2D385DD5" w14:textId="2AAB0E0E" w:rsidR="008403BD" w:rsidRDefault="003E149A">
      <w:pPr>
        <w:pStyle w:val="Ttulo1"/>
        <w:jc w:val="center"/>
        <w:rPr>
          <w:sz w:val="72"/>
          <w:szCs w:val="72"/>
          <w:lang w:val="es-ES_tradnl"/>
        </w:rPr>
      </w:pPr>
      <w:bookmarkStart w:id="29" w:name="_Toc195014965"/>
      <w:r w:rsidRPr="003E149A">
        <w:rPr>
          <w:sz w:val="72"/>
          <w:szCs w:val="72"/>
          <w:lang w:val="es-ES_tradnl"/>
        </w:rPr>
        <w:lastRenderedPageBreak/>
        <w:t>ANEXOS</w:t>
      </w:r>
      <w:bookmarkEnd w:id="29"/>
    </w:p>
    <w:p w14:paraId="7F47070C" w14:textId="6E7E16E3" w:rsidR="00686339" w:rsidRDefault="00686339" w:rsidP="00686339">
      <w:pPr>
        <w:rPr>
          <w:lang w:val="es-ES_tradnl"/>
        </w:rPr>
      </w:pPr>
    </w:p>
    <w:p w14:paraId="7640F746" w14:textId="1F728BE2" w:rsidR="00686339" w:rsidRDefault="00686339" w:rsidP="00686339">
      <w:pPr>
        <w:rPr>
          <w:lang w:val="es-ES_tradnl"/>
        </w:rPr>
      </w:pPr>
    </w:p>
    <w:p w14:paraId="086D2350" w14:textId="5DF06F1B" w:rsidR="00686339" w:rsidRDefault="00686339" w:rsidP="00686339">
      <w:pPr>
        <w:rPr>
          <w:lang w:val="es-ES_tradnl"/>
        </w:rPr>
      </w:pPr>
    </w:p>
    <w:p w14:paraId="6BE33DBE" w14:textId="07C48130" w:rsidR="00686339" w:rsidRDefault="00686339" w:rsidP="00686339">
      <w:pPr>
        <w:rPr>
          <w:lang w:val="es-ES_tradnl"/>
        </w:rPr>
      </w:pPr>
    </w:p>
    <w:p w14:paraId="189CB5ED" w14:textId="4EFC145F" w:rsidR="00686339" w:rsidRDefault="00686339" w:rsidP="00686339">
      <w:pPr>
        <w:rPr>
          <w:lang w:val="es-ES_tradnl"/>
        </w:rPr>
      </w:pPr>
    </w:p>
    <w:p w14:paraId="37A66118" w14:textId="3815D1F7" w:rsidR="00686339" w:rsidRDefault="00686339" w:rsidP="00686339">
      <w:pPr>
        <w:rPr>
          <w:lang w:val="es-ES_tradnl"/>
        </w:rPr>
      </w:pPr>
    </w:p>
    <w:p w14:paraId="3824CB52" w14:textId="1C78628F" w:rsidR="00686339" w:rsidRDefault="00686339" w:rsidP="00686339">
      <w:pPr>
        <w:rPr>
          <w:lang w:val="es-ES_tradnl"/>
        </w:rPr>
      </w:pPr>
    </w:p>
    <w:p w14:paraId="5169B774" w14:textId="5FAFBD1F" w:rsidR="00686339" w:rsidRDefault="00686339" w:rsidP="00686339">
      <w:pPr>
        <w:rPr>
          <w:lang w:val="es-ES_tradnl"/>
        </w:rPr>
      </w:pPr>
    </w:p>
    <w:p w14:paraId="73F7423F" w14:textId="6FB571FB" w:rsidR="00686339" w:rsidRDefault="00686339" w:rsidP="00686339">
      <w:pPr>
        <w:rPr>
          <w:lang w:val="es-ES_tradnl"/>
        </w:rPr>
      </w:pPr>
    </w:p>
    <w:p w14:paraId="1EE29735" w14:textId="75CF8AD1" w:rsidR="00686339" w:rsidRDefault="00686339" w:rsidP="00686339">
      <w:pPr>
        <w:rPr>
          <w:lang w:val="es-ES_tradnl"/>
        </w:rPr>
      </w:pPr>
    </w:p>
    <w:p w14:paraId="360D6777" w14:textId="3B471DAB" w:rsidR="00686339" w:rsidRDefault="00686339" w:rsidP="00686339">
      <w:pPr>
        <w:rPr>
          <w:lang w:val="es-ES_tradnl"/>
        </w:rPr>
      </w:pPr>
    </w:p>
    <w:p w14:paraId="3249F001" w14:textId="598929C2" w:rsidR="00686339" w:rsidRDefault="00686339" w:rsidP="00686339">
      <w:pPr>
        <w:rPr>
          <w:lang w:val="es-ES_tradnl"/>
        </w:rPr>
      </w:pPr>
    </w:p>
    <w:p w14:paraId="7E13D7AE" w14:textId="5A46371B" w:rsidR="00686339" w:rsidRDefault="00686339" w:rsidP="00686339">
      <w:pPr>
        <w:rPr>
          <w:lang w:val="es-ES_tradnl"/>
        </w:rPr>
      </w:pPr>
    </w:p>
    <w:p w14:paraId="52BCDB41" w14:textId="32341B4A" w:rsidR="00686339" w:rsidRDefault="00686339" w:rsidP="00686339">
      <w:pPr>
        <w:rPr>
          <w:lang w:val="es-ES_tradnl"/>
        </w:rPr>
      </w:pPr>
    </w:p>
    <w:p w14:paraId="1407B516" w14:textId="06BAC03F" w:rsidR="00686339" w:rsidRDefault="00686339" w:rsidP="00686339">
      <w:pPr>
        <w:rPr>
          <w:lang w:val="es-ES_tradnl"/>
        </w:rPr>
      </w:pPr>
    </w:p>
    <w:p w14:paraId="456DEDA7" w14:textId="2543056C" w:rsidR="00686339" w:rsidRDefault="00686339" w:rsidP="00686339">
      <w:pPr>
        <w:rPr>
          <w:lang w:val="es-ES_tradnl"/>
        </w:rPr>
      </w:pPr>
    </w:p>
    <w:p w14:paraId="1733CD57" w14:textId="3959328F" w:rsidR="00686339" w:rsidRDefault="00686339" w:rsidP="00686339">
      <w:pPr>
        <w:rPr>
          <w:lang w:val="es-ES_tradnl"/>
        </w:rPr>
      </w:pPr>
    </w:p>
    <w:p w14:paraId="2DF57B61" w14:textId="3D8B1380" w:rsidR="00686339" w:rsidRDefault="00686339" w:rsidP="00686339">
      <w:pPr>
        <w:rPr>
          <w:lang w:val="es-ES_tradnl"/>
        </w:rPr>
      </w:pPr>
    </w:p>
    <w:p w14:paraId="1B77F87C" w14:textId="64845E7F" w:rsidR="00686339" w:rsidRDefault="00686339" w:rsidP="00686339">
      <w:pPr>
        <w:rPr>
          <w:lang w:val="es-ES_tradnl"/>
        </w:rPr>
      </w:pPr>
    </w:p>
    <w:p w14:paraId="452A29D8" w14:textId="02FC968B" w:rsidR="00686339" w:rsidRDefault="00686339" w:rsidP="00686339">
      <w:pPr>
        <w:rPr>
          <w:lang w:val="es-ES_tradnl"/>
        </w:rPr>
      </w:pPr>
    </w:p>
    <w:p w14:paraId="2F2800A7" w14:textId="2CADDC51" w:rsidR="00686339" w:rsidRDefault="00686339" w:rsidP="00686339">
      <w:pPr>
        <w:rPr>
          <w:lang w:val="es-ES_tradnl"/>
        </w:rPr>
      </w:pPr>
    </w:p>
    <w:p w14:paraId="24E9CB25" w14:textId="38231B5D" w:rsidR="00686339" w:rsidRDefault="00686339" w:rsidP="00686339">
      <w:pPr>
        <w:rPr>
          <w:lang w:val="es-ES_tradnl"/>
        </w:rPr>
      </w:pPr>
    </w:p>
    <w:p w14:paraId="35DD9F38" w14:textId="1231F86B" w:rsidR="00686339" w:rsidRDefault="00686339" w:rsidP="00686339">
      <w:pPr>
        <w:rPr>
          <w:lang w:val="es-ES_tradnl"/>
        </w:rPr>
      </w:pPr>
    </w:p>
    <w:p w14:paraId="1301CBC3" w14:textId="2A5382AC" w:rsidR="00686339" w:rsidRPr="00B419A9" w:rsidRDefault="00686339" w:rsidP="00686339">
      <w:pPr>
        <w:spacing w:after="160" w:line="259" w:lineRule="auto"/>
        <w:rPr>
          <w:rFonts w:ascii="Arial" w:hAnsi="Arial" w:cs="Arial"/>
          <w:i/>
          <w:sz w:val="18"/>
          <w:szCs w:val="18"/>
          <w:lang w:val="es-ES"/>
        </w:rPr>
      </w:pPr>
      <w:r w:rsidRPr="007A5005">
        <w:rPr>
          <w:rFonts w:ascii="Arial" w:hAnsi="Arial" w:cs="Arial"/>
          <w:b/>
          <w:sz w:val="18"/>
          <w:szCs w:val="18"/>
          <w:lang w:val="es-ES"/>
        </w:rPr>
        <w:lastRenderedPageBreak/>
        <w:t xml:space="preserve">Anexo </w:t>
      </w:r>
      <w:r w:rsidRPr="00B419A9">
        <w:rPr>
          <w:rFonts w:ascii="Arial" w:hAnsi="Arial" w:cs="Arial"/>
          <w:b/>
          <w:i/>
          <w:sz w:val="18"/>
          <w:szCs w:val="18"/>
        </w:rPr>
        <w:fldChar w:fldCharType="begin"/>
      </w:r>
      <w:r w:rsidRPr="007A5005">
        <w:rPr>
          <w:rFonts w:ascii="Arial" w:hAnsi="Arial" w:cs="Arial"/>
          <w:b/>
          <w:sz w:val="18"/>
          <w:szCs w:val="18"/>
          <w:lang w:val="es-ES"/>
        </w:rPr>
        <w:instrText xml:space="preserve"> SEQ Anexo \* ARABIC </w:instrText>
      </w:r>
      <w:r w:rsidRPr="00B419A9">
        <w:rPr>
          <w:rFonts w:ascii="Arial" w:hAnsi="Arial" w:cs="Arial"/>
          <w:b/>
          <w:i/>
          <w:sz w:val="18"/>
          <w:szCs w:val="18"/>
        </w:rPr>
        <w:fldChar w:fldCharType="separate"/>
      </w:r>
      <w:r w:rsidR="00073C4F">
        <w:rPr>
          <w:rFonts w:ascii="Arial" w:hAnsi="Arial" w:cs="Arial"/>
          <w:b/>
          <w:noProof/>
          <w:sz w:val="18"/>
          <w:szCs w:val="18"/>
          <w:lang w:val="es-ES"/>
        </w:rPr>
        <w:t>1</w:t>
      </w:r>
      <w:r w:rsidRPr="00B419A9">
        <w:rPr>
          <w:rFonts w:ascii="Arial" w:hAnsi="Arial" w:cs="Arial"/>
          <w:b/>
          <w:i/>
          <w:sz w:val="18"/>
          <w:szCs w:val="18"/>
        </w:rPr>
        <w:fldChar w:fldCharType="end"/>
      </w:r>
      <w:r w:rsidRPr="007A5005">
        <w:rPr>
          <w:rFonts w:ascii="Arial" w:hAnsi="Arial" w:cs="Arial"/>
          <w:b/>
          <w:sz w:val="18"/>
          <w:szCs w:val="18"/>
          <w:lang w:val="es-ES"/>
        </w:rPr>
        <w:t>.</w:t>
      </w:r>
      <w:r w:rsidRPr="007A5005">
        <w:rPr>
          <w:rFonts w:ascii="Arial" w:hAnsi="Arial" w:cs="Arial"/>
          <w:sz w:val="18"/>
          <w:szCs w:val="18"/>
          <w:lang w:val="es-ES"/>
        </w:rPr>
        <w:t xml:space="preserve"> </w:t>
      </w:r>
      <w:r w:rsidRPr="00B419A9">
        <w:rPr>
          <w:rFonts w:ascii="Arial" w:hAnsi="Arial" w:cs="Arial"/>
          <w:sz w:val="18"/>
          <w:szCs w:val="18"/>
          <w:lang w:val="es-ES"/>
        </w:rPr>
        <w:t>Fertilización utilizada en el experimento</w:t>
      </w:r>
    </w:p>
    <w:p w14:paraId="46F2BF8C" w14:textId="77777777" w:rsidR="00686339" w:rsidRDefault="00686339" w:rsidP="00686339">
      <w:pPr>
        <w:rPr>
          <w:lang w:val="es-ES"/>
        </w:rPr>
      </w:pPr>
      <w:r>
        <w:rPr>
          <w:noProof/>
        </w:rPr>
        <w:drawing>
          <wp:inline distT="0" distB="0" distL="0" distR="0" wp14:anchorId="460951B8" wp14:editId="6E90CCB8">
            <wp:extent cx="5612130" cy="2788920"/>
            <wp:effectExtent l="0" t="0" r="7620" b="0"/>
            <wp:docPr id="1043" name="Imagen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n 22"/>
                    <pic:cNvPicPr/>
                  </pic:nvPicPr>
                  <pic:blipFill>
                    <a:blip r:embed="rId24" cstate="print"/>
                    <a:srcRect/>
                    <a:stretch/>
                  </pic:blipFill>
                  <pic:spPr>
                    <a:xfrm>
                      <a:off x="0" y="0"/>
                      <a:ext cx="5612130" cy="2788920"/>
                    </a:xfrm>
                    <a:prstGeom prst="rect">
                      <a:avLst/>
                    </a:prstGeom>
                  </pic:spPr>
                </pic:pic>
              </a:graphicData>
            </a:graphic>
          </wp:inline>
        </w:drawing>
      </w:r>
    </w:p>
    <w:p w14:paraId="69AB312D" w14:textId="77777777" w:rsidR="00686339" w:rsidRDefault="00686339" w:rsidP="00686339">
      <w:pPr>
        <w:rPr>
          <w:lang w:val="es-ES"/>
        </w:rPr>
      </w:pPr>
    </w:p>
    <w:p w14:paraId="5B808E39" w14:textId="77777777" w:rsidR="00472547" w:rsidRDefault="00472547">
      <w:pPr>
        <w:spacing w:after="160" w:line="259" w:lineRule="auto"/>
        <w:rPr>
          <w:rFonts w:ascii="Arial" w:hAnsi="Arial" w:cs="Arial"/>
          <w:b/>
          <w:iCs/>
          <w:sz w:val="18"/>
          <w:szCs w:val="18"/>
          <w:lang w:val="es-ES"/>
        </w:rPr>
      </w:pPr>
      <w:r>
        <w:rPr>
          <w:rFonts w:ascii="Arial" w:hAnsi="Arial" w:cs="Arial"/>
          <w:b/>
          <w:i/>
          <w:lang w:val="es-ES"/>
        </w:rPr>
        <w:br w:type="page"/>
      </w:r>
    </w:p>
    <w:p w14:paraId="678A8AF3" w14:textId="19729310" w:rsidR="00686339" w:rsidRPr="00B419A9" w:rsidRDefault="00686339" w:rsidP="00686339">
      <w:pPr>
        <w:pStyle w:val="Descripcin"/>
        <w:keepNext/>
        <w:rPr>
          <w:rFonts w:ascii="Arial" w:hAnsi="Arial" w:cs="Arial"/>
          <w:i w:val="0"/>
          <w:color w:val="auto"/>
          <w:lang w:val="es-ES"/>
        </w:rPr>
      </w:pPr>
      <w:r w:rsidRPr="00B419A9">
        <w:rPr>
          <w:rFonts w:ascii="Arial" w:hAnsi="Arial" w:cs="Arial"/>
          <w:b/>
          <w:i w:val="0"/>
          <w:color w:val="auto"/>
          <w:lang w:val="es-ES"/>
        </w:rPr>
        <w:lastRenderedPageBreak/>
        <w:t xml:space="preserve">Anexo </w:t>
      </w:r>
      <w:r w:rsidRPr="00B419A9">
        <w:rPr>
          <w:rFonts w:ascii="Arial" w:hAnsi="Arial" w:cs="Arial"/>
          <w:b/>
          <w:i w:val="0"/>
          <w:color w:val="auto"/>
          <w:lang w:val="es-ES"/>
        </w:rPr>
        <w:fldChar w:fldCharType="begin"/>
      </w:r>
      <w:r w:rsidRPr="00B419A9">
        <w:rPr>
          <w:rFonts w:ascii="Arial" w:hAnsi="Arial" w:cs="Arial"/>
          <w:b/>
          <w:i w:val="0"/>
          <w:color w:val="auto"/>
          <w:lang w:val="es-ES"/>
        </w:rPr>
        <w:instrText xml:space="preserve"> SEQ Anexo \* ARABIC </w:instrText>
      </w:r>
      <w:r w:rsidRPr="00B419A9">
        <w:rPr>
          <w:rFonts w:ascii="Arial" w:hAnsi="Arial" w:cs="Arial"/>
          <w:b/>
          <w:i w:val="0"/>
          <w:color w:val="auto"/>
          <w:lang w:val="es-ES"/>
        </w:rPr>
        <w:fldChar w:fldCharType="separate"/>
      </w:r>
      <w:r w:rsidR="00073C4F">
        <w:rPr>
          <w:rFonts w:ascii="Arial" w:hAnsi="Arial" w:cs="Arial"/>
          <w:b/>
          <w:i w:val="0"/>
          <w:noProof/>
          <w:color w:val="auto"/>
          <w:lang w:val="es-ES"/>
        </w:rPr>
        <w:t>2</w:t>
      </w:r>
      <w:r w:rsidRPr="00B419A9">
        <w:rPr>
          <w:rFonts w:ascii="Arial" w:hAnsi="Arial" w:cs="Arial"/>
          <w:b/>
          <w:i w:val="0"/>
          <w:color w:val="auto"/>
          <w:lang w:val="es-ES"/>
        </w:rPr>
        <w:fldChar w:fldCharType="end"/>
      </w:r>
      <w:r w:rsidRPr="00B419A9">
        <w:rPr>
          <w:rFonts w:ascii="Arial" w:hAnsi="Arial" w:cs="Arial"/>
          <w:b/>
          <w:i w:val="0"/>
          <w:color w:val="auto"/>
          <w:lang w:val="es-ES"/>
        </w:rPr>
        <w:t>.</w:t>
      </w:r>
      <w:r w:rsidRPr="00B419A9">
        <w:rPr>
          <w:rFonts w:ascii="Arial" w:hAnsi="Arial" w:cs="Arial"/>
          <w:i w:val="0"/>
          <w:color w:val="auto"/>
          <w:lang w:val="es-ES"/>
        </w:rPr>
        <w:t xml:space="preserve"> Datos d</w:t>
      </w:r>
      <w:r>
        <w:rPr>
          <w:rFonts w:ascii="Arial" w:hAnsi="Arial" w:cs="Arial"/>
          <w:i w:val="0"/>
          <w:color w:val="auto"/>
          <w:lang w:val="es-ES"/>
        </w:rPr>
        <w:t>e siembra del experimento</w:t>
      </w:r>
    </w:p>
    <w:p w14:paraId="490172EE" w14:textId="77777777" w:rsidR="00686339" w:rsidRDefault="00686339" w:rsidP="00686339">
      <w:pPr>
        <w:rPr>
          <w:lang w:val="es-ES"/>
        </w:rPr>
      </w:pPr>
      <w:r>
        <w:rPr>
          <w:noProof/>
        </w:rPr>
        <w:drawing>
          <wp:inline distT="0" distB="0" distL="0" distR="0" wp14:anchorId="440A969F" wp14:editId="65411B44">
            <wp:extent cx="5612130" cy="2952115"/>
            <wp:effectExtent l="0" t="0" r="7620" b="635"/>
            <wp:docPr id="1044" name="Imagen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n 23"/>
                    <pic:cNvPicPr/>
                  </pic:nvPicPr>
                  <pic:blipFill>
                    <a:blip r:embed="rId25" cstate="print"/>
                    <a:srcRect/>
                    <a:stretch/>
                  </pic:blipFill>
                  <pic:spPr>
                    <a:xfrm>
                      <a:off x="0" y="0"/>
                      <a:ext cx="5612130" cy="2952115"/>
                    </a:xfrm>
                    <a:prstGeom prst="rect">
                      <a:avLst/>
                    </a:prstGeom>
                  </pic:spPr>
                </pic:pic>
              </a:graphicData>
            </a:graphic>
          </wp:inline>
        </w:drawing>
      </w:r>
    </w:p>
    <w:p w14:paraId="57A2E874" w14:textId="77777777" w:rsidR="00686339" w:rsidRDefault="00686339" w:rsidP="00686339">
      <w:pPr>
        <w:rPr>
          <w:lang w:val="es-ES"/>
        </w:rPr>
      </w:pPr>
    </w:p>
    <w:p w14:paraId="1FBC9BBC" w14:textId="77777777" w:rsidR="00686339" w:rsidRDefault="00686339" w:rsidP="00686339">
      <w:pPr>
        <w:spacing w:after="160" w:line="259" w:lineRule="auto"/>
        <w:rPr>
          <w:lang w:val="es-ES"/>
        </w:rPr>
      </w:pPr>
      <w:r>
        <w:rPr>
          <w:lang w:val="es-ES"/>
        </w:rPr>
        <w:br w:type="page"/>
      </w:r>
    </w:p>
    <w:p w14:paraId="21AF3CDC" w14:textId="77777777" w:rsidR="00686339" w:rsidRPr="00B419A9" w:rsidRDefault="00686339" w:rsidP="00686339">
      <w:pPr>
        <w:pStyle w:val="Descripcin"/>
        <w:keepNext/>
        <w:rPr>
          <w:rFonts w:ascii="Arial" w:hAnsi="Arial" w:cs="Arial"/>
          <w:i w:val="0"/>
          <w:color w:val="auto"/>
        </w:rPr>
      </w:pPr>
      <w:proofErr w:type="spellStart"/>
      <w:r>
        <w:rPr>
          <w:rFonts w:ascii="Arial" w:hAnsi="Arial" w:cs="Arial"/>
          <w:b/>
          <w:i w:val="0"/>
          <w:color w:val="auto"/>
        </w:rPr>
        <w:lastRenderedPageBreak/>
        <w:t>Anexo</w:t>
      </w:r>
      <w:proofErr w:type="spellEnd"/>
      <w:r>
        <w:rPr>
          <w:rFonts w:ascii="Arial" w:hAnsi="Arial" w:cs="Arial"/>
          <w:b/>
          <w:i w:val="0"/>
          <w:color w:val="auto"/>
        </w:rPr>
        <w:t xml:space="preserve"> 3</w:t>
      </w:r>
      <w:r w:rsidRPr="00B419A9">
        <w:rPr>
          <w:rFonts w:ascii="Arial" w:hAnsi="Arial" w:cs="Arial"/>
          <w:b/>
          <w:i w:val="0"/>
          <w:color w:val="auto"/>
        </w:rPr>
        <w:t>.</w:t>
      </w:r>
      <w:r w:rsidRPr="00B419A9">
        <w:rPr>
          <w:rFonts w:ascii="Arial" w:hAnsi="Arial" w:cs="Arial"/>
          <w:i w:val="0"/>
          <w:color w:val="auto"/>
        </w:rPr>
        <w:t xml:space="preserve"> </w:t>
      </w:r>
      <w:r w:rsidRPr="00AE2A0F">
        <w:rPr>
          <w:rFonts w:ascii="Arial" w:hAnsi="Arial" w:cs="Arial"/>
          <w:i w:val="0"/>
          <w:color w:val="auto"/>
          <w:lang w:val="es-ES"/>
        </w:rPr>
        <w:t>Fichero</w:t>
      </w:r>
      <w:r w:rsidRPr="00B419A9">
        <w:rPr>
          <w:rFonts w:ascii="Arial" w:hAnsi="Arial" w:cs="Arial"/>
          <w:i w:val="0"/>
          <w:color w:val="auto"/>
        </w:rPr>
        <w:t xml:space="preserve"> de </w:t>
      </w:r>
      <w:r w:rsidRPr="00AE2A0F">
        <w:rPr>
          <w:rFonts w:ascii="Arial" w:hAnsi="Arial" w:cs="Arial"/>
          <w:i w:val="0"/>
          <w:color w:val="auto"/>
          <w:lang w:val="es-ES"/>
        </w:rPr>
        <w:t>suelo</w:t>
      </w:r>
    </w:p>
    <w:p w14:paraId="5ABE9B49" w14:textId="77777777" w:rsidR="00686339" w:rsidRDefault="00686339" w:rsidP="00686339">
      <w:pPr>
        <w:rPr>
          <w:lang w:val="es-ES"/>
        </w:rPr>
      </w:pPr>
      <w:r>
        <w:rPr>
          <w:noProof/>
        </w:rPr>
        <w:drawing>
          <wp:inline distT="0" distB="0" distL="0" distR="0" wp14:anchorId="0DBFE0D0" wp14:editId="7904687D">
            <wp:extent cx="5553635" cy="1227776"/>
            <wp:effectExtent l="0" t="0" r="0" b="0"/>
            <wp:docPr id="1045" name="Imagen 25" descr="C:\Users\Yuniel\Desktop\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n 25"/>
                    <pic:cNvPicPr/>
                  </pic:nvPicPr>
                  <pic:blipFill>
                    <a:blip r:embed="rId26" cstate="print">
                      <a:extLst>
                        <a:ext uri="{BEBA8EAE-BF5A-486C-A8C5-ECC9F3942E4B}">
                          <a14:imgProps xmlns:a14="http://schemas.microsoft.com/office/drawing/2010/main">
                            <a14:imgLayer r:embed="rId27">
                              <a14:imgEffect>
                                <a14:sharpenSoften amount="50000"/>
                              </a14:imgEffect>
                              <a14:imgEffect>
                                <a14:brightnessContrast bright="20000" contrast="-20000"/>
                              </a14:imgEffect>
                            </a14:imgLayer>
                          </a14:imgProps>
                        </a:ext>
                      </a:extLst>
                    </a:blip>
                    <a:srcRect/>
                    <a:stretch/>
                  </pic:blipFill>
                  <pic:spPr>
                    <a:xfrm>
                      <a:off x="0" y="0"/>
                      <a:ext cx="5553635" cy="1227776"/>
                    </a:xfrm>
                    <a:prstGeom prst="rect">
                      <a:avLst/>
                    </a:prstGeom>
                    <a:ln>
                      <a:noFill/>
                    </a:ln>
                  </pic:spPr>
                </pic:pic>
              </a:graphicData>
            </a:graphic>
          </wp:inline>
        </w:drawing>
      </w:r>
    </w:p>
    <w:p w14:paraId="5D5837C7" w14:textId="77777777" w:rsidR="00686339" w:rsidRDefault="00686339" w:rsidP="00686339">
      <w:pPr>
        <w:rPr>
          <w:lang w:val="es-ES"/>
        </w:rPr>
      </w:pPr>
    </w:p>
    <w:p w14:paraId="1C60BB97" w14:textId="77777777" w:rsidR="00686339" w:rsidRDefault="00686339" w:rsidP="00686339">
      <w:pPr>
        <w:rPr>
          <w:lang w:val="es-ES"/>
        </w:rPr>
      </w:pPr>
    </w:p>
    <w:p w14:paraId="2213E8E1" w14:textId="77777777" w:rsidR="00686339" w:rsidRPr="00686339" w:rsidRDefault="00686339" w:rsidP="00686339">
      <w:pPr>
        <w:rPr>
          <w:lang w:val="es-ES_tradnl"/>
        </w:rPr>
      </w:pPr>
    </w:p>
    <w:sectPr w:rsidR="00686339" w:rsidRPr="00686339" w:rsidSect="003F6E96">
      <w:headerReference w:type="default" r:id="rId28"/>
      <w:footerReference w:type="default" r:id="rId29"/>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6FF1C6" w14:textId="77777777" w:rsidR="00EE0D44" w:rsidRDefault="00EE0D44">
      <w:pPr>
        <w:spacing w:after="0" w:line="240" w:lineRule="auto"/>
      </w:pPr>
      <w:r>
        <w:separator/>
      </w:r>
    </w:p>
  </w:endnote>
  <w:endnote w:type="continuationSeparator" w:id="0">
    <w:p w14:paraId="2E065769" w14:textId="77777777" w:rsidR="00EE0D44" w:rsidRDefault="00EE0D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Meridien Roman">
    <w:altName w:val="Meridien Roman"/>
    <w:panose1 w:val="00000000000000000000"/>
    <w:charset w:val="00"/>
    <w:family w:val="roman"/>
    <w:notTrueType/>
    <w:pitch w:val="default"/>
    <w:sig w:usb0="00000003" w:usb1="00000000" w:usb2="00000000" w:usb3="00000000" w:csb0="00000001" w:csb1="00000000"/>
  </w:font>
  <w:font w:name="Segoe UI">
    <w:altName w:val="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NotoSans-Regular">
    <w:altName w:val="Malgun Gothic"/>
    <w:panose1 w:val="00000000000000000000"/>
    <w:charset w:val="80"/>
    <w:family w:val="auto"/>
    <w:notTrueType/>
    <w:pitch w:val="default"/>
    <w:sig w:usb0="00000003" w:usb1="09070000" w:usb2="00000010" w:usb3="00000000" w:csb0="000A0000" w:csb1="00000000"/>
  </w:font>
  <w:font w:name="ChaparralPro-Regular">
    <w:altName w:val="Yu Gothic UI"/>
    <w:panose1 w:val="00000000000000000000"/>
    <w:charset w:val="80"/>
    <w:family w:val="roman"/>
    <w:notTrueType/>
    <w:pitch w:val="default"/>
    <w:sig w:usb0="00000003" w:usb1="08070000" w:usb2="00000010"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3206C4" w14:textId="77777777" w:rsidR="00E51ED4" w:rsidRDefault="00E51ED4">
    <w:pPr>
      <w:pStyle w:val="Piedepgina"/>
      <w:jc w:val="right"/>
    </w:pPr>
  </w:p>
  <w:p w14:paraId="123A71C3" w14:textId="77777777" w:rsidR="00E51ED4" w:rsidRDefault="00E51ED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5136893"/>
      <w:docPartObj>
        <w:docPartGallery w:val="Page Numbers (Bottom of Page)"/>
        <w:docPartUnique/>
      </w:docPartObj>
    </w:sdtPr>
    <w:sdtEndPr/>
    <w:sdtContent>
      <w:p w14:paraId="50D47350" w14:textId="1740487F" w:rsidR="00E51ED4" w:rsidRDefault="00E51ED4">
        <w:pPr>
          <w:pStyle w:val="Piedepgina"/>
          <w:jc w:val="right"/>
        </w:pPr>
        <w:r>
          <w:fldChar w:fldCharType="begin"/>
        </w:r>
        <w:r>
          <w:instrText>PAGE   \* MERGEFORMAT</w:instrText>
        </w:r>
        <w:r>
          <w:fldChar w:fldCharType="separate"/>
        </w:r>
        <w:r w:rsidR="00C60D32" w:rsidRPr="00C60D32">
          <w:rPr>
            <w:noProof/>
            <w:lang w:val="es-ES"/>
          </w:rPr>
          <w:t>37</w:t>
        </w:r>
        <w:r>
          <w:fldChar w:fldCharType="end"/>
        </w:r>
      </w:p>
    </w:sdtContent>
  </w:sdt>
  <w:p w14:paraId="1B83A3D0" w14:textId="77777777" w:rsidR="00E51ED4" w:rsidRDefault="00E51ED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9502B" w14:textId="77777777" w:rsidR="00E51ED4" w:rsidRDefault="00E51ED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C33959" w14:textId="77777777" w:rsidR="00EE0D44" w:rsidRDefault="00EE0D44">
      <w:pPr>
        <w:spacing w:after="0" w:line="240" w:lineRule="auto"/>
      </w:pPr>
      <w:r>
        <w:separator/>
      </w:r>
    </w:p>
  </w:footnote>
  <w:footnote w:type="continuationSeparator" w:id="0">
    <w:p w14:paraId="0019B16C" w14:textId="77777777" w:rsidR="00EE0D44" w:rsidRDefault="00EE0D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3AC70A" w14:textId="77777777" w:rsidR="003E149A" w:rsidRPr="003E149A" w:rsidRDefault="003E149A" w:rsidP="003E149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1AA02" w14:textId="77777777" w:rsidR="00686339" w:rsidRPr="003E149A" w:rsidRDefault="00686339" w:rsidP="003E149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0000002"/>
    <w:multiLevelType w:val="hybridMultilevel"/>
    <w:tmpl w:val="ABEC03EE"/>
    <w:lvl w:ilvl="0" w:tplc="C8226E0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0000003"/>
    <w:multiLevelType w:val="hybridMultilevel"/>
    <w:tmpl w:val="4C72098A"/>
    <w:lvl w:ilvl="0" w:tplc="79260846">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0000004"/>
    <w:multiLevelType w:val="hybridMultilevel"/>
    <w:tmpl w:val="983248A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00000005"/>
    <w:multiLevelType w:val="hybridMultilevel"/>
    <w:tmpl w:val="B7B080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0000006"/>
    <w:multiLevelType w:val="hybridMultilevel"/>
    <w:tmpl w:val="9FFAA25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00000007"/>
    <w:multiLevelType w:val="hybridMultilevel"/>
    <w:tmpl w:val="2D0A3AE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00000008"/>
    <w:multiLevelType w:val="hybridMultilevel"/>
    <w:tmpl w:val="730608D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00000009"/>
    <w:multiLevelType w:val="hybridMultilevel"/>
    <w:tmpl w:val="C60ADFB0"/>
    <w:lvl w:ilvl="0" w:tplc="79260846">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multilevel"/>
    <w:tmpl w:val="38E4E57C"/>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000000B"/>
    <w:multiLevelType w:val="hybridMultilevel"/>
    <w:tmpl w:val="C77C577E"/>
    <w:lvl w:ilvl="0" w:tplc="79260846">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0000000C"/>
    <w:multiLevelType w:val="hybridMultilevel"/>
    <w:tmpl w:val="176614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0C674D"/>
    <w:multiLevelType w:val="multilevel"/>
    <w:tmpl w:val="00F400D4"/>
    <w:lvl w:ilvl="0">
      <w:start w:val="1"/>
      <w:numFmt w:val="decimal"/>
      <w:lvlText w:val="%1."/>
      <w:lvlJc w:val="left"/>
      <w:pPr>
        <w:ind w:left="585" w:hanging="585"/>
      </w:pPr>
      <w:rPr>
        <w:rFonts w:hint="default"/>
      </w:rPr>
    </w:lvl>
    <w:lvl w:ilvl="1">
      <w:start w:val="1"/>
      <w:numFmt w:val="decimal"/>
      <w:lvlText w:val="%1.%2."/>
      <w:lvlJc w:val="left"/>
      <w:pPr>
        <w:ind w:left="1282" w:hanging="720"/>
      </w:pPr>
      <w:rPr>
        <w:rFonts w:hint="default"/>
      </w:rPr>
    </w:lvl>
    <w:lvl w:ilvl="2">
      <w:start w:val="1"/>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656" w:hanging="2160"/>
      </w:pPr>
      <w:rPr>
        <w:rFonts w:hint="default"/>
      </w:rPr>
    </w:lvl>
  </w:abstractNum>
  <w:num w:numId="1">
    <w:abstractNumId w:val="10"/>
  </w:num>
  <w:num w:numId="2">
    <w:abstractNumId w:val="0"/>
  </w:num>
  <w:num w:numId="3">
    <w:abstractNumId w:val="5"/>
  </w:num>
  <w:num w:numId="4">
    <w:abstractNumId w:val="1"/>
  </w:num>
  <w:num w:numId="5">
    <w:abstractNumId w:val="9"/>
  </w:num>
  <w:num w:numId="6">
    <w:abstractNumId w:val="12"/>
  </w:num>
  <w:num w:numId="7">
    <w:abstractNumId w:val="3"/>
  </w:num>
  <w:num w:numId="8">
    <w:abstractNumId w:val="6"/>
  </w:num>
  <w:num w:numId="9">
    <w:abstractNumId w:val="8"/>
  </w:num>
  <w:num w:numId="10">
    <w:abstractNumId w:val="2"/>
  </w:num>
  <w:num w:numId="11">
    <w:abstractNumId w:val="7"/>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s-US" w:vendorID="64" w:dllVersion="131078" w:nlCheck="1" w:checkStyle="0"/>
  <w:activeWritingStyle w:appName="MSWord" w:lang="en-US" w:vendorID="64" w:dllVersion="131078" w:nlCheck="1" w:checkStyle="1"/>
  <w:activeWritingStyle w:appName="MSWord" w:lang="es-ES" w:vendorID="64" w:dllVersion="131078" w:nlCheck="1" w:checkStyle="0"/>
  <w:activeWritingStyle w:appName="MSWord" w:lang="es-ES_tradnl" w:vendorID="64" w:dllVersion="131078"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3BD"/>
    <w:rsid w:val="0000731E"/>
    <w:rsid w:val="00020631"/>
    <w:rsid w:val="00031CD1"/>
    <w:rsid w:val="00040BE7"/>
    <w:rsid w:val="00042B3E"/>
    <w:rsid w:val="00064CBC"/>
    <w:rsid w:val="00073C4F"/>
    <w:rsid w:val="00087D71"/>
    <w:rsid w:val="000924DF"/>
    <w:rsid w:val="0009660E"/>
    <w:rsid w:val="000A32D7"/>
    <w:rsid w:val="000B3E1F"/>
    <w:rsid w:val="000C2151"/>
    <w:rsid w:val="000C5319"/>
    <w:rsid w:val="000C5664"/>
    <w:rsid w:val="00103B2B"/>
    <w:rsid w:val="00105C02"/>
    <w:rsid w:val="0011294A"/>
    <w:rsid w:val="00113796"/>
    <w:rsid w:val="001536EA"/>
    <w:rsid w:val="001539C7"/>
    <w:rsid w:val="00155DD7"/>
    <w:rsid w:val="0016355B"/>
    <w:rsid w:val="001671B7"/>
    <w:rsid w:val="00173272"/>
    <w:rsid w:val="0017567D"/>
    <w:rsid w:val="00177EA6"/>
    <w:rsid w:val="001930A6"/>
    <w:rsid w:val="0019313E"/>
    <w:rsid w:val="00195ADD"/>
    <w:rsid w:val="001A2111"/>
    <w:rsid w:val="001A24A3"/>
    <w:rsid w:val="001A39D6"/>
    <w:rsid w:val="001A5A06"/>
    <w:rsid w:val="001B571F"/>
    <w:rsid w:val="001C32A5"/>
    <w:rsid w:val="001D3A26"/>
    <w:rsid w:val="001E6482"/>
    <w:rsid w:val="001E6FF1"/>
    <w:rsid w:val="001F0DE0"/>
    <w:rsid w:val="001F65B0"/>
    <w:rsid w:val="00211DBB"/>
    <w:rsid w:val="00213F95"/>
    <w:rsid w:val="00224BF0"/>
    <w:rsid w:val="00226D07"/>
    <w:rsid w:val="00227596"/>
    <w:rsid w:val="00230B72"/>
    <w:rsid w:val="00237679"/>
    <w:rsid w:val="002405B6"/>
    <w:rsid w:val="00241E18"/>
    <w:rsid w:val="00260F62"/>
    <w:rsid w:val="00261177"/>
    <w:rsid w:val="00262361"/>
    <w:rsid w:val="00264B2F"/>
    <w:rsid w:val="00272337"/>
    <w:rsid w:val="00286DD9"/>
    <w:rsid w:val="002912A4"/>
    <w:rsid w:val="002A03D7"/>
    <w:rsid w:val="002B02B5"/>
    <w:rsid w:val="002C6A4A"/>
    <w:rsid w:val="002D4E73"/>
    <w:rsid w:val="002E1B2D"/>
    <w:rsid w:val="002E560E"/>
    <w:rsid w:val="002E7450"/>
    <w:rsid w:val="002F3F71"/>
    <w:rsid w:val="003116B1"/>
    <w:rsid w:val="00312038"/>
    <w:rsid w:val="00312B13"/>
    <w:rsid w:val="00315752"/>
    <w:rsid w:val="00316720"/>
    <w:rsid w:val="003265A6"/>
    <w:rsid w:val="00335363"/>
    <w:rsid w:val="003460CA"/>
    <w:rsid w:val="0035037E"/>
    <w:rsid w:val="00350D30"/>
    <w:rsid w:val="00352243"/>
    <w:rsid w:val="00364F43"/>
    <w:rsid w:val="00377DB5"/>
    <w:rsid w:val="00381351"/>
    <w:rsid w:val="00381E45"/>
    <w:rsid w:val="0038427D"/>
    <w:rsid w:val="00390F1B"/>
    <w:rsid w:val="003A0574"/>
    <w:rsid w:val="003B3459"/>
    <w:rsid w:val="003E00CE"/>
    <w:rsid w:val="003E0775"/>
    <w:rsid w:val="003E149A"/>
    <w:rsid w:val="003E640F"/>
    <w:rsid w:val="003F6E96"/>
    <w:rsid w:val="00403493"/>
    <w:rsid w:val="004106E1"/>
    <w:rsid w:val="00415AA0"/>
    <w:rsid w:val="00424AA0"/>
    <w:rsid w:val="004520ED"/>
    <w:rsid w:val="00452D14"/>
    <w:rsid w:val="00464E44"/>
    <w:rsid w:val="00472547"/>
    <w:rsid w:val="004844D7"/>
    <w:rsid w:val="004936D3"/>
    <w:rsid w:val="00493ECC"/>
    <w:rsid w:val="00494336"/>
    <w:rsid w:val="004A4D42"/>
    <w:rsid w:val="004A53AC"/>
    <w:rsid w:val="004A656F"/>
    <w:rsid w:val="004A6CBD"/>
    <w:rsid w:val="004B2428"/>
    <w:rsid w:val="004B47B8"/>
    <w:rsid w:val="004C7464"/>
    <w:rsid w:val="004D17F1"/>
    <w:rsid w:val="004D3CD2"/>
    <w:rsid w:val="005004E3"/>
    <w:rsid w:val="00507DEA"/>
    <w:rsid w:val="00515F02"/>
    <w:rsid w:val="00517400"/>
    <w:rsid w:val="00523AA2"/>
    <w:rsid w:val="00536344"/>
    <w:rsid w:val="00546F6D"/>
    <w:rsid w:val="005505BE"/>
    <w:rsid w:val="00554630"/>
    <w:rsid w:val="005610B0"/>
    <w:rsid w:val="00561C1A"/>
    <w:rsid w:val="0057161C"/>
    <w:rsid w:val="005C0098"/>
    <w:rsid w:val="005C6D71"/>
    <w:rsid w:val="005D5B7B"/>
    <w:rsid w:val="005F4615"/>
    <w:rsid w:val="0060315E"/>
    <w:rsid w:val="00616F31"/>
    <w:rsid w:val="006211E8"/>
    <w:rsid w:val="00643625"/>
    <w:rsid w:val="0064536E"/>
    <w:rsid w:val="00650AD0"/>
    <w:rsid w:val="00663455"/>
    <w:rsid w:val="00671F6D"/>
    <w:rsid w:val="006824E6"/>
    <w:rsid w:val="00686339"/>
    <w:rsid w:val="0069383E"/>
    <w:rsid w:val="006A3E7C"/>
    <w:rsid w:val="006A45D2"/>
    <w:rsid w:val="006B70D8"/>
    <w:rsid w:val="006C2949"/>
    <w:rsid w:val="006D01CB"/>
    <w:rsid w:val="006E48DB"/>
    <w:rsid w:val="007019AF"/>
    <w:rsid w:val="00716AA5"/>
    <w:rsid w:val="00730566"/>
    <w:rsid w:val="0073674E"/>
    <w:rsid w:val="0074060C"/>
    <w:rsid w:val="007510A1"/>
    <w:rsid w:val="0075521A"/>
    <w:rsid w:val="0076488F"/>
    <w:rsid w:val="0077047E"/>
    <w:rsid w:val="00775DD1"/>
    <w:rsid w:val="00783B65"/>
    <w:rsid w:val="007937A6"/>
    <w:rsid w:val="007A37AD"/>
    <w:rsid w:val="007A5005"/>
    <w:rsid w:val="007B187E"/>
    <w:rsid w:val="007B43BC"/>
    <w:rsid w:val="007B48CB"/>
    <w:rsid w:val="007D49D9"/>
    <w:rsid w:val="007D7548"/>
    <w:rsid w:val="007E768B"/>
    <w:rsid w:val="00800093"/>
    <w:rsid w:val="0080025D"/>
    <w:rsid w:val="008024C6"/>
    <w:rsid w:val="00804E7E"/>
    <w:rsid w:val="008108FA"/>
    <w:rsid w:val="00825BC6"/>
    <w:rsid w:val="00826629"/>
    <w:rsid w:val="008316DA"/>
    <w:rsid w:val="00835422"/>
    <w:rsid w:val="008403BD"/>
    <w:rsid w:val="00844B5D"/>
    <w:rsid w:val="0085404D"/>
    <w:rsid w:val="00863A59"/>
    <w:rsid w:val="008657D2"/>
    <w:rsid w:val="00866DB3"/>
    <w:rsid w:val="008759E9"/>
    <w:rsid w:val="00876F09"/>
    <w:rsid w:val="008930F0"/>
    <w:rsid w:val="008B1447"/>
    <w:rsid w:val="008B5319"/>
    <w:rsid w:val="008C4A06"/>
    <w:rsid w:val="008D2E16"/>
    <w:rsid w:val="008D6767"/>
    <w:rsid w:val="008E182A"/>
    <w:rsid w:val="008E3843"/>
    <w:rsid w:val="008E6C1E"/>
    <w:rsid w:val="008E7C91"/>
    <w:rsid w:val="008F362B"/>
    <w:rsid w:val="008F707D"/>
    <w:rsid w:val="00922A8D"/>
    <w:rsid w:val="009337A4"/>
    <w:rsid w:val="009711BE"/>
    <w:rsid w:val="009A62D9"/>
    <w:rsid w:val="009B0EB0"/>
    <w:rsid w:val="009E224A"/>
    <w:rsid w:val="00A01F8A"/>
    <w:rsid w:val="00A0209E"/>
    <w:rsid w:val="00A02986"/>
    <w:rsid w:val="00A02F93"/>
    <w:rsid w:val="00A14013"/>
    <w:rsid w:val="00A22828"/>
    <w:rsid w:val="00A23340"/>
    <w:rsid w:val="00A25A83"/>
    <w:rsid w:val="00A31A5E"/>
    <w:rsid w:val="00A33906"/>
    <w:rsid w:val="00A34497"/>
    <w:rsid w:val="00A6311E"/>
    <w:rsid w:val="00A63827"/>
    <w:rsid w:val="00A71029"/>
    <w:rsid w:val="00A872B2"/>
    <w:rsid w:val="00A92B19"/>
    <w:rsid w:val="00AA26BE"/>
    <w:rsid w:val="00AA3B90"/>
    <w:rsid w:val="00AA3C09"/>
    <w:rsid w:val="00AA6E4C"/>
    <w:rsid w:val="00AB3FFB"/>
    <w:rsid w:val="00AB4EFA"/>
    <w:rsid w:val="00AC2898"/>
    <w:rsid w:val="00AD7818"/>
    <w:rsid w:val="00AE2A0F"/>
    <w:rsid w:val="00AE2BB9"/>
    <w:rsid w:val="00AE34EA"/>
    <w:rsid w:val="00AE54CA"/>
    <w:rsid w:val="00AE7A5D"/>
    <w:rsid w:val="00AF39FC"/>
    <w:rsid w:val="00B07F5B"/>
    <w:rsid w:val="00B1030D"/>
    <w:rsid w:val="00B1127C"/>
    <w:rsid w:val="00B25A03"/>
    <w:rsid w:val="00B34789"/>
    <w:rsid w:val="00B36AFE"/>
    <w:rsid w:val="00B419A9"/>
    <w:rsid w:val="00B51E24"/>
    <w:rsid w:val="00B75AD9"/>
    <w:rsid w:val="00B83CF9"/>
    <w:rsid w:val="00B83D7B"/>
    <w:rsid w:val="00B83FD3"/>
    <w:rsid w:val="00BA4DFD"/>
    <w:rsid w:val="00BB0356"/>
    <w:rsid w:val="00BB2EC6"/>
    <w:rsid w:val="00BB656B"/>
    <w:rsid w:val="00C00870"/>
    <w:rsid w:val="00C023D1"/>
    <w:rsid w:val="00C071B5"/>
    <w:rsid w:val="00C1029B"/>
    <w:rsid w:val="00C16CB7"/>
    <w:rsid w:val="00C24965"/>
    <w:rsid w:val="00C30F3D"/>
    <w:rsid w:val="00C3318B"/>
    <w:rsid w:val="00C60D32"/>
    <w:rsid w:val="00C942E5"/>
    <w:rsid w:val="00C953AA"/>
    <w:rsid w:val="00CB59D0"/>
    <w:rsid w:val="00CE29AA"/>
    <w:rsid w:val="00CE4DBC"/>
    <w:rsid w:val="00CE513C"/>
    <w:rsid w:val="00D030B4"/>
    <w:rsid w:val="00D04DE7"/>
    <w:rsid w:val="00D13C1E"/>
    <w:rsid w:val="00D14873"/>
    <w:rsid w:val="00D27893"/>
    <w:rsid w:val="00D33FE8"/>
    <w:rsid w:val="00D40A85"/>
    <w:rsid w:val="00D51ECF"/>
    <w:rsid w:val="00D52C30"/>
    <w:rsid w:val="00D5508B"/>
    <w:rsid w:val="00D75709"/>
    <w:rsid w:val="00D81F2C"/>
    <w:rsid w:val="00D85433"/>
    <w:rsid w:val="00D929D9"/>
    <w:rsid w:val="00D92AAB"/>
    <w:rsid w:val="00D95790"/>
    <w:rsid w:val="00D977F6"/>
    <w:rsid w:val="00DA1FB4"/>
    <w:rsid w:val="00DC020E"/>
    <w:rsid w:val="00DC4777"/>
    <w:rsid w:val="00DC4995"/>
    <w:rsid w:val="00DD08F0"/>
    <w:rsid w:val="00DF7991"/>
    <w:rsid w:val="00E11A32"/>
    <w:rsid w:val="00E15CA3"/>
    <w:rsid w:val="00E26CF4"/>
    <w:rsid w:val="00E3329A"/>
    <w:rsid w:val="00E45F3A"/>
    <w:rsid w:val="00E51ED4"/>
    <w:rsid w:val="00E54E33"/>
    <w:rsid w:val="00E609BC"/>
    <w:rsid w:val="00E614A4"/>
    <w:rsid w:val="00E74F76"/>
    <w:rsid w:val="00E7698E"/>
    <w:rsid w:val="00E865D5"/>
    <w:rsid w:val="00E904E0"/>
    <w:rsid w:val="00E9451B"/>
    <w:rsid w:val="00E966D2"/>
    <w:rsid w:val="00EB246E"/>
    <w:rsid w:val="00ED1995"/>
    <w:rsid w:val="00ED7361"/>
    <w:rsid w:val="00EE0438"/>
    <w:rsid w:val="00EE0D44"/>
    <w:rsid w:val="00EE321D"/>
    <w:rsid w:val="00EE4C01"/>
    <w:rsid w:val="00EF4B77"/>
    <w:rsid w:val="00F11F1D"/>
    <w:rsid w:val="00F1344F"/>
    <w:rsid w:val="00F16B3B"/>
    <w:rsid w:val="00F35A69"/>
    <w:rsid w:val="00F409C0"/>
    <w:rsid w:val="00F468FE"/>
    <w:rsid w:val="00F52AD5"/>
    <w:rsid w:val="00F54AEC"/>
    <w:rsid w:val="00F6133F"/>
    <w:rsid w:val="00F92512"/>
    <w:rsid w:val="00F967A5"/>
    <w:rsid w:val="00F9722E"/>
    <w:rsid w:val="00FB4617"/>
    <w:rsid w:val="00FF25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9FE745"/>
  <w15:docId w15:val="{AA940AC8-0D28-4D49-BA01-19B80E50A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88" w:lineRule="auto"/>
    </w:pPr>
    <w:rPr>
      <w:rFonts w:eastAsia="SimSun"/>
      <w:sz w:val="21"/>
      <w:szCs w:val="21"/>
    </w:rPr>
  </w:style>
  <w:style w:type="paragraph" w:styleId="Ttulo1">
    <w:name w:val="heading 1"/>
    <w:basedOn w:val="Normal"/>
    <w:next w:val="Normal"/>
    <w:link w:val="Ttulo1Car"/>
    <w:uiPriority w:val="9"/>
    <w:qFormat/>
    <w:pPr>
      <w:keepNext/>
      <w:keepLines/>
      <w:spacing w:before="360" w:after="40" w:line="240" w:lineRule="auto"/>
      <w:outlineLvl w:val="0"/>
    </w:pPr>
    <w:rPr>
      <w:rFonts w:ascii="Arial" w:hAnsi="Arial"/>
      <w:b/>
      <w:sz w:val="32"/>
      <w:szCs w:val="40"/>
    </w:rPr>
  </w:style>
  <w:style w:type="paragraph" w:styleId="Ttulo2">
    <w:name w:val="heading 2"/>
    <w:basedOn w:val="Normal"/>
    <w:next w:val="Normal"/>
    <w:link w:val="Ttulo2Car"/>
    <w:uiPriority w:val="9"/>
    <w:qFormat/>
    <w:pPr>
      <w:keepNext/>
      <w:keepLines/>
      <w:spacing w:before="40" w:after="0"/>
      <w:outlineLvl w:val="1"/>
    </w:pPr>
    <w:rPr>
      <w:rFonts w:ascii="Calibri Light" w:hAnsi="Calibri Light"/>
      <w:color w:val="2E74B5"/>
      <w:sz w:val="26"/>
      <w:szCs w:val="26"/>
    </w:rPr>
  </w:style>
  <w:style w:type="paragraph" w:styleId="Ttulo3">
    <w:name w:val="heading 3"/>
    <w:basedOn w:val="Normal"/>
    <w:next w:val="Normal"/>
    <w:link w:val="Ttulo3Car"/>
    <w:uiPriority w:val="9"/>
    <w:qFormat/>
    <w:pPr>
      <w:keepNext/>
      <w:keepLines/>
      <w:spacing w:before="40" w:after="0"/>
      <w:outlineLvl w:val="2"/>
    </w:pPr>
    <w:rPr>
      <w:rFonts w:ascii="Calibri Light" w:hAnsi="Calibri Light"/>
      <w:color w:val="1F4D78"/>
      <w:sz w:val="24"/>
      <w:szCs w:val="24"/>
    </w:rPr>
  </w:style>
  <w:style w:type="paragraph" w:styleId="Ttulo4">
    <w:name w:val="heading 4"/>
    <w:basedOn w:val="Normal"/>
    <w:next w:val="Normal"/>
    <w:link w:val="Ttulo4Car"/>
    <w:uiPriority w:val="9"/>
    <w:qFormat/>
    <w:pPr>
      <w:keepNext/>
      <w:keepLines/>
      <w:spacing w:before="40" w:after="0"/>
      <w:outlineLvl w:val="3"/>
    </w:pPr>
    <w:rPr>
      <w:rFonts w:ascii="Calibri Light" w:hAnsi="Calibri Light"/>
      <w:i/>
      <w:iCs/>
      <w:color w:val="2E74B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Arial" w:eastAsia="SimSun" w:hAnsi="Arial" w:cs="SimSun"/>
      <w:b/>
      <w:sz w:val="32"/>
      <w:szCs w:val="40"/>
    </w:rPr>
  </w:style>
  <w:style w:type="paragraph" w:customStyle="1" w:styleId="Default">
    <w:name w:val="Default"/>
    <w:pPr>
      <w:autoSpaceDE w:val="0"/>
      <w:autoSpaceDN w:val="0"/>
      <w:adjustRightInd w:val="0"/>
      <w:spacing w:after="0" w:line="240" w:lineRule="auto"/>
    </w:pPr>
    <w:rPr>
      <w:rFonts w:ascii="Arial" w:eastAsia="SimSun" w:hAnsi="Arial" w:cs="Arial"/>
      <w:color w:val="000000"/>
      <w:sz w:val="24"/>
      <w:szCs w:val="24"/>
      <w:lang w:val="es-ES"/>
    </w:rPr>
  </w:style>
  <w:style w:type="paragraph" w:styleId="Prrafodelista">
    <w:name w:val="List Paragraph"/>
    <w:basedOn w:val="Normal"/>
    <w:uiPriority w:val="34"/>
    <w:qFormat/>
    <w:pPr>
      <w:ind w:left="720"/>
      <w:contextualSpacing/>
    </w:pPr>
  </w:style>
  <w:style w:type="character" w:customStyle="1" w:styleId="tlid-translation">
    <w:name w:val="tlid-translation"/>
    <w:basedOn w:val="Fuentedeprrafopredeter"/>
  </w:style>
  <w:style w:type="character" w:customStyle="1" w:styleId="A5">
    <w:name w:val="A5"/>
    <w:uiPriority w:val="99"/>
    <w:rPr>
      <w:rFonts w:cs="Meridien Roman"/>
      <w:color w:val="000000"/>
      <w:sz w:val="16"/>
      <w:szCs w:val="16"/>
    </w:rPr>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table" w:styleId="Tablaconcuadrcula">
    <w:name w:val="Table Grid"/>
    <w:basedOn w:val="Tablanormal"/>
    <w:uiPriority w:val="39"/>
    <w:pPr>
      <w:spacing w:after="0" w:line="240" w:lineRule="auto"/>
    </w:pPr>
    <w:rPr>
      <w:rFonts w:eastAsia="SimSun"/>
      <w:sz w:val="21"/>
      <w:szCs w:val="21"/>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Pr>
      <w:rFonts w:ascii="Calibri Light" w:eastAsia="SimSun" w:hAnsi="Calibri Light" w:cs="SimSun"/>
      <w:color w:val="2E74B5"/>
      <w:sz w:val="26"/>
      <w:szCs w:val="26"/>
    </w:rPr>
  </w:style>
  <w:style w:type="paragraph" w:styleId="TtuloTDC">
    <w:name w:val="TOC Heading"/>
    <w:basedOn w:val="Ttulo1"/>
    <w:next w:val="Normal"/>
    <w:uiPriority w:val="39"/>
    <w:qFormat/>
    <w:pPr>
      <w:spacing w:before="240" w:after="0" w:line="259" w:lineRule="auto"/>
      <w:outlineLvl w:val="9"/>
    </w:pPr>
    <w:rPr>
      <w:rFonts w:ascii="Calibri Light" w:hAnsi="Calibri Light"/>
      <w:b w:val="0"/>
      <w:color w:val="2E74B5"/>
      <w:szCs w:val="32"/>
      <w:lang w:val="es-ES" w:eastAsia="es-ES"/>
    </w:rPr>
  </w:style>
  <w:style w:type="paragraph" w:styleId="TDC1">
    <w:name w:val="toc 1"/>
    <w:basedOn w:val="Normal"/>
    <w:next w:val="Normal"/>
    <w:uiPriority w:val="39"/>
    <w:pPr>
      <w:tabs>
        <w:tab w:val="right" w:leader="dot" w:pos="8828"/>
      </w:tabs>
      <w:spacing w:after="100"/>
    </w:pPr>
    <w:rPr>
      <w:rFonts w:ascii="Arial" w:hAnsi="Arial" w:cs="Arial"/>
      <w:b/>
      <w:noProof/>
      <w:sz w:val="24"/>
      <w:szCs w:val="24"/>
      <w:lang w:val="es-ES_tradnl"/>
    </w:rPr>
  </w:style>
  <w:style w:type="paragraph" w:styleId="TDC2">
    <w:name w:val="toc 2"/>
    <w:basedOn w:val="Normal"/>
    <w:next w:val="Normal"/>
    <w:uiPriority w:val="39"/>
    <w:pPr>
      <w:tabs>
        <w:tab w:val="right" w:leader="dot" w:pos="8828"/>
      </w:tabs>
      <w:spacing w:after="100"/>
      <w:ind w:left="210"/>
    </w:pPr>
    <w:rPr>
      <w:rFonts w:ascii="Arial" w:hAnsi="Arial" w:cs="Arial"/>
      <w:noProof/>
      <w:lang w:val="es-ES_tradnl"/>
    </w:rPr>
  </w:style>
  <w:style w:type="character" w:styleId="Hipervnculo">
    <w:name w:val="Hyperlink"/>
    <w:basedOn w:val="Fuentedeprrafopredeter"/>
    <w:uiPriority w:val="99"/>
    <w:rPr>
      <w:color w:val="0563C1"/>
      <w:u w:val="single"/>
    </w:rPr>
  </w:style>
  <w:style w:type="paragraph" w:styleId="Encabezado">
    <w:name w:val="header"/>
    <w:basedOn w:val="Normal"/>
    <w:link w:val="EncabezadoCar"/>
    <w:uiPriority w:val="9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Pr>
      <w:rFonts w:eastAsia="SimSun"/>
      <w:sz w:val="21"/>
      <w:szCs w:val="21"/>
    </w:rPr>
  </w:style>
  <w:style w:type="paragraph" w:styleId="Piedepgina">
    <w:name w:val="footer"/>
    <w:basedOn w:val="Normal"/>
    <w:link w:val="PiedepginaCar"/>
    <w:uiPriority w:val="9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Pr>
      <w:rFonts w:eastAsia="SimSun"/>
      <w:sz w:val="21"/>
      <w:szCs w:val="21"/>
    </w:rPr>
  </w:style>
  <w:style w:type="paragraph" w:styleId="Bibliografa">
    <w:name w:val="Bibliography"/>
    <w:basedOn w:val="Normal"/>
    <w:next w:val="Normal"/>
    <w:uiPriority w:val="37"/>
  </w:style>
  <w:style w:type="paragraph" w:styleId="Sinespaciado">
    <w:name w:val="No Spacing"/>
    <w:uiPriority w:val="1"/>
    <w:qFormat/>
    <w:pPr>
      <w:spacing w:after="0" w:line="240" w:lineRule="auto"/>
    </w:pPr>
    <w:rPr>
      <w:rFonts w:eastAsia="SimSun"/>
      <w:sz w:val="21"/>
      <w:szCs w:val="21"/>
    </w:rPr>
  </w:style>
  <w:style w:type="character" w:customStyle="1" w:styleId="author-name">
    <w:name w:val="author-name"/>
    <w:basedOn w:val="Fuentedeprrafopredeter"/>
  </w:style>
  <w:style w:type="character" w:customStyle="1" w:styleId="Ttulo3Car">
    <w:name w:val="Título 3 Car"/>
    <w:basedOn w:val="Fuentedeprrafopredeter"/>
    <w:link w:val="Ttulo3"/>
    <w:uiPriority w:val="9"/>
    <w:rPr>
      <w:rFonts w:ascii="Calibri Light" w:eastAsia="SimSun" w:hAnsi="Calibri Light" w:cs="SimSun"/>
      <w:color w:val="1F4D78"/>
      <w:sz w:val="24"/>
      <w:szCs w:val="24"/>
    </w:rPr>
  </w:style>
  <w:style w:type="character" w:customStyle="1" w:styleId="Ttulo4Car">
    <w:name w:val="Título 4 Car"/>
    <w:basedOn w:val="Fuentedeprrafopredeter"/>
    <w:link w:val="Ttulo4"/>
    <w:uiPriority w:val="9"/>
    <w:rPr>
      <w:rFonts w:ascii="Calibri Light" w:eastAsia="SimSun" w:hAnsi="Calibri Light" w:cs="SimSun"/>
      <w:i/>
      <w:iCs/>
      <w:color w:val="2E74B5"/>
      <w:sz w:val="21"/>
      <w:szCs w:val="21"/>
    </w:rPr>
  </w:style>
  <w:style w:type="paragraph" w:styleId="TDC3">
    <w:name w:val="toc 3"/>
    <w:basedOn w:val="Normal"/>
    <w:next w:val="Normal"/>
    <w:uiPriority w:val="39"/>
    <w:pPr>
      <w:spacing w:after="100"/>
      <w:ind w:left="420"/>
    </w:pPr>
  </w:style>
  <w:style w:type="character" w:styleId="Hipervnculovisitado">
    <w:name w:val="FollowedHyperlink"/>
    <w:basedOn w:val="Fuentedeprrafopredeter"/>
    <w:uiPriority w:val="99"/>
    <w:rPr>
      <w:color w:val="954F72"/>
      <w:u w:val="single"/>
    </w:rPr>
  </w:style>
  <w:style w:type="character" w:styleId="Refdecomentario">
    <w:name w:val="annotation reference"/>
    <w:basedOn w:val="Fuentedeprrafopredeter"/>
    <w:uiPriority w:val="99"/>
    <w:rPr>
      <w:sz w:val="16"/>
      <w:szCs w:val="16"/>
    </w:rPr>
  </w:style>
  <w:style w:type="paragraph" w:styleId="Textocomentario">
    <w:name w:val="annotation text"/>
    <w:basedOn w:val="Normal"/>
    <w:link w:val="TextocomentarioCar"/>
    <w:uiPriority w:val="99"/>
    <w:pPr>
      <w:spacing w:line="240" w:lineRule="auto"/>
    </w:pPr>
    <w:rPr>
      <w:sz w:val="20"/>
      <w:szCs w:val="20"/>
    </w:rPr>
  </w:style>
  <w:style w:type="character" w:customStyle="1" w:styleId="TextocomentarioCar">
    <w:name w:val="Texto comentario Car"/>
    <w:basedOn w:val="Fuentedeprrafopredeter"/>
    <w:link w:val="Textocomentario"/>
    <w:uiPriority w:val="99"/>
    <w:rPr>
      <w:rFonts w:eastAsia="SimSun"/>
      <w:sz w:val="20"/>
      <w:szCs w:val="20"/>
    </w:rPr>
  </w:style>
  <w:style w:type="paragraph" w:styleId="Asuntodelcomentario">
    <w:name w:val="annotation subject"/>
    <w:basedOn w:val="Textocomentario"/>
    <w:next w:val="Textocomentario"/>
    <w:link w:val="AsuntodelcomentarioCar"/>
    <w:uiPriority w:val="99"/>
    <w:rPr>
      <w:b/>
      <w:bCs/>
    </w:rPr>
  </w:style>
  <w:style w:type="character" w:customStyle="1" w:styleId="AsuntodelcomentarioCar">
    <w:name w:val="Asunto del comentario Car"/>
    <w:basedOn w:val="TextocomentarioCar"/>
    <w:link w:val="Asuntodelcomentario"/>
    <w:uiPriority w:val="99"/>
    <w:rPr>
      <w:rFonts w:eastAsia="SimSun"/>
      <w:b/>
      <w:bCs/>
      <w:sz w:val="20"/>
      <w:szCs w:val="20"/>
    </w:rPr>
  </w:style>
  <w:style w:type="paragraph" w:styleId="Textodeglobo">
    <w:name w:val="Balloon Text"/>
    <w:basedOn w:val="Normal"/>
    <w:link w:val="TextodegloboCar"/>
    <w:uiPriority w:val="9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rPr>
      <w:rFonts w:ascii="Segoe UI" w:eastAsia="SimSun" w:hAnsi="Segoe UI" w:cs="Segoe UI"/>
      <w:sz w:val="18"/>
      <w:szCs w:val="18"/>
    </w:rPr>
  </w:style>
  <w:style w:type="paragraph" w:styleId="Descripcin">
    <w:name w:val="caption"/>
    <w:basedOn w:val="Normal"/>
    <w:next w:val="Normal"/>
    <w:uiPriority w:val="35"/>
    <w:qFormat/>
    <w:pPr>
      <w:spacing w:line="240" w:lineRule="auto"/>
    </w:pPr>
    <w:rPr>
      <w:i/>
      <w:iCs/>
      <w:color w:val="44546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5.pn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3.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footer" Target="footer2.xml"/><Relationship Id="rId28"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header" Target="header1.xml"/><Relationship Id="rId27" Type="http://schemas.microsoft.com/office/2007/relationships/hdphoto" Target="media/hdphoto1.wdp"/><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CBE54B-4AFE-49DA-AF22-1F06DDAD2A3F}">
  <ds:schemaRefs>
    <ds:schemaRef ds:uri="http://www.wps.cn/android/officeDocument/2013/mofficeCustomData"/>
  </ds:schemaRefs>
</ds:datastoreItem>
</file>

<file path=customXml/itemProps2.xml><?xml version="1.0" encoding="utf-8"?>
<ds:datastoreItem xmlns:ds="http://schemas.openxmlformats.org/officeDocument/2006/customXml" ds:itemID="{9FDF5C45-9270-4963-9E99-24098A954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1074</TotalTime>
  <Pages>73</Pages>
  <Words>102978</Words>
  <Characters>586981</Characters>
  <Application>Microsoft Office Word</Application>
  <DocSecurity>0</DocSecurity>
  <Lines>4891</Lines>
  <Paragraphs>1377</Paragraphs>
  <ScaleCrop>false</ScaleCrop>
  <HeadingPairs>
    <vt:vector size="2" baseType="variant">
      <vt:variant>
        <vt:lpstr>Título</vt:lpstr>
      </vt:variant>
      <vt:variant>
        <vt:i4>1</vt:i4>
      </vt:variant>
    </vt:vector>
  </HeadingPairs>
  <TitlesOfParts>
    <vt:vector size="1" baseType="lpstr">
      <vt:lpstr/>
    </vt:vector>
  </TitlesOfParts>
  <Company>INCA</Company>
  <LinksUpToDate>false</LinksUpToDate>
  <CharactersWithSpaces>688582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Marilyn</dc:creator>
  <cp:lastModifiedBy>Yuniel Loriga Martínez</cp:lastModifiedBy>
  <cp:revision>311</cp:revision>
  <cp:lastPrinted>2025-04-08T18:44:00Z</cp:lastPrinted>
  <dcterms:created xsi:type="dcterms:W3CDTF">2025-04-06T16:12:00Z</dcterms:created>
  <dcterms:modified xsi:type="dcterms:W3CDTF">2025-04-08T19:32:00Z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id="CwEAk9Hn"/&gt;&lt;style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ICV">
    <vt:lpwstr>db706896dc5f4deaa55ce83a1a4731d0</vt:lpwstr>
  </property>
</Properties>
</file>