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7C776BD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0C7239E2"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15234DE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067120C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3D02C45D"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2E33F05D"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1998EBB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1E72BBD6"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329CD603"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45CAFFB1"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17BFF189"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9A1CC24"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0F2163D6" w14:textId="7DC2090D" w:rsidR="00497013"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r w:rsidR="00EA3EA3" w:rsidRPr="00137927">
        <w:rPr>
          <w:rFonts w:eastAsia="Times New Roman"/>
          <w:b/>
          <w:bCs/>
          <w:sz w:val="40"/>
          <w:szCs w:val="40"/>
          <w:lang w:eastAsia="es-ES_tradnl"/>
        </w:rPr>
        <w:t>EcoMic®</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0634A761"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2D05E252"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55C83276" w14:textId="44C406E4"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sidR="00E67C88">
        <w:rPr>
          <w:rFonts w:ascii="Arial" w:eastAsia="Times New Roman" w:hAnsi="Arial" w:cs="Arial"/>
          <w:b/>
          <w:bCs/>
          <w:sz w:val="28"/>
          <w:szCs w:val="28"/>
          <w:lang w:val="es-ES_tradnl" w:eastAsia="es-ES_tradnl"/>
        </w:rPr>
        <w:t>Ing. Daniel Fernandez Sotolongo</w:t>
      </w:r>
    </w:p>
    <w:p w14:paraId="7C44CE6D"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6B02B92"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F84898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A9D0C3B"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75EB2DDD"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A4B6FFE"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1B14551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61129D2" w14:textId="0D1C12C6" w:rsidR="000C6959" w:rsidRDefault="00497013" w:rsidP="00497013">
      <w:pPr>
        <w:spacing w:after="120"/>
        <w:jc w:val="center"/>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w:t>
      </w:r>
      <w:r w:rsidR="008E1F11">
        <w:rPr>
          <w:rFonts w:ascii="Arial" w:eastAsia="Times New Roman" w:hAnsi="Arial" w:cs="Arial"/>
          <w:b/>
          <w:bCs/>
          <w:sz w:val="28"/>
          <w:szCs w:val="28"/>
          <w:lang w:val="es-ES_tradnl" w:eastAsia="es-ES_tradnl"/>
        </w:rPr>
        <w:t>4</w:t>
      </w:r>
    </w:p>
    <w:p w14:paraId="577919E6" w14:textId="77777777" w:rsidR="000C6959" w:rsidRDefault="000C6959">
      <w:pP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ascii="Arial" w:eastAsia="Times New Roman" w:hAnsi="Arial"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079C562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13A0F453"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20C9E0CE"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7BC211B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5F2E228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02DF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241F9BF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62E7DB11"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73CC0A4B"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75B3C765"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0CF55A1E"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B8EDE15"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5DCE7017" w14:textId="03684862" w:rsidR="00E67C88"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r w:rsidR="00137927" w:rsidRPr="00137927">
        <w:rPr>
          <w:rFonts w:eastAsia="Times New Roman"/>
          <w:b/>
          <w:bCs/>
          <w:sz w:val="40"/>
          <w:szCs w:val="40"/>
          <w:lang w:eastAsia="es-ES_tradnl"/>
        </w:rPr>
        <w:t>EcoMic®</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497013">
      <w:pPr>
        <w:pStyle w:val="Default"/>
        <w:ind w:left="-142" w:right="-377"/>
        <w:jc w:val="both"/>
        <w:rPr>
          <w:rFonts w:eastAsia="Times New Roman"/>
          <w:b/>
          <w:bCs/>
          <w:sz w:val="40"/>
          <w:szCs w:val="40"/>
          <w:lang w:eastAsia="es-ES_tradnl"/>
        </w:rPr>
      </w:pPr>
    </w:p>
    <w:p w14:paraId="2C25FD6F"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8786084"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D1B95F3"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B56DD0C" w14:textId="77777777" w:rsidR="00E67C88" w:rsidRPr="008772F3" w:rsidRDefault="00E67C88"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Pr>
          <w:rFonts w:ascii="Arial" w:eastAsia="Times New Roman" w:hAnsi="Arial" w:cs="Arial"/>
          <w:b/>
          <w:bCs/>
          <w:sz w:val="28"/>
          <w:szCs w:val="28"/>
          <w:lang w:val="es-ES_tradnl" w:eastAsia="es-ES_tradnl"/>
        </w:rPr>
        <w:t>Ing. Daniel Fernandez Sotolongo</w:t>
      </w:r>
    </w:p>
    <w:p w14:paraId="5CB298D9" w14:textId="77777777" w:rsidR="00497013" w:rsidRDefault="00497013" w:rsidP="00497013">
      <w:pPr>
        <w:spacing w:after="120" w:line="276" w:lineRule="auto"/>
        <w:contextualSpacing/>
        <w:jc w:val="both"/>
        <w:rPr>
          <w:rFonts w:ascii="Arial" w:eastAsia="Times New Roman" w:hAnsi="Arial" w:cs="Arial"/>
          <w:b/>
          <w:bCs/>
          <w:sz w:val="28"/>
          <w:szCs w:val="28"/>
          <w:lang w:val="es-ES_tradnl" w:eastAsia="es-ES_tradnl"/>
        </w:rPr>
      </w:pPr>
    </w:p>
    <w:p w14:paraId="4A9EA31C" w14:textId="77777777" w:rsidR="00497013" w:rsidRPr="008772F3" w:rsidRDefault="00497013" w:rsidP="00497013">
      <w:pPr>
        <w:spacing w:after="120" w:line="276" w:lineRule="auto"/>
        <w:contextualSpacing/>
        <w:jc w:val="both"/>
        <w:rPr>
          <w:rFonts w:ascii="Arial" w:eastAsia="Calibri" w:hAnsi="Arial" w:cs="Arial"/>
          <w:sz w:val="28"/>
          <w:szCs w:val="28"/>
        </w:rPr>
      </w:pPr>
      <w:r w:rsidRPr="008772F3">
        <w:rPr>
          <w:rFonts w:ascii="Arial" w:eastAsia="Times New Roman" w:hAnsi="Arial" w:cs="Arial"/>
          <w:b/>
          <w:bCs/>
          <w:sz w:val="28"/>
          <w:szCs w:val="28"/>
          <w:lang w:val="es-ES_tradnl" w:eastAsia="es-ES_tradnl"/>
        </w:rPr>
        <w:t xml:space="preserve">Tutores: </w:t>
      </w:r>
      <w:r w:rsidRPr="008772F3">
        <w:rPr>
          <w:rFonts w:ascii="Arial" w:eastAsia="Calibri" w:hAnsi="Arial" w:cs="Arial"/>
          <w:sz w:val="28"/>
          <w:szCs w:val="28"/>
        </w:rPr>
        <w:t xml:space="preserve">Dr.C. </w:t>
      </w:r>
      <w:r>
        <w:rPr>
          <w:rFonts w:ascii="Arial" w:eastAsia="Calibri" w:hAnsi="Arial" w:cs="Arial"/>
          <w:sz w:val="28"/>
          <w:szCs w:val="28"/>
        </w:rPr>
        <w:t>René Florido Bacallao</w:t>
      </w:r>
    </w:p>
    <w:p w14:paraId="424130D9" w14:textId="77777777" w:rsidR="00E67C88" w:rsidRPr="00E67C88" w:rsidRDefault="00497013" w:rsidP="00E67C88">
      <w:pPr>
        <w:autoSpaceDE w:val="0"/>
        <w:autoSpaceDN w:val="0"/>
        <w:adjustRightInd w:val="0"/>
        <w:spacing w:after="120" w:line="276" w:lineRule="auto"/>
        <w:jc w:val="both"/>
        <w:rPr>
          <w:rFonts w:ascii="Arial" w:eastAsia="Calibri" w:hAnsi="Arial" w:cs="Arial"/>
          <w:sz w:val="28"/>
          <w:szCs w:val="28"/>
        </w:rPr>
      </w:pPr>
      <w:r w:rsidRPr="008772F3">
        <w:rPr>
          <w:rFonts w:ascii="Arial" w:eastAsia="Calibri" w:hAnsi="Arial" w:cs="Arial"/>
          <w:sz w:val="28"/>
          <w:szCs w:val="28"/>
        </w:rPr>
        <w:t xml:space="preserve">               </w:t>
      </w:r>
      <w:r w:rsidR="00E67C88" w:rsidRPr="00E67C88">
        <w:rPr>
          <w:rFonts w:ascii="Arial" w:eastAsia="Calibri" w:hAnsi="Arial" w:cs="Arial"/>
          <w:sz w:val="28"/>
          <w:szCs w:val="28"/>
        </w:rPr>
        <w:t>Ms.C. Osmel Rodríguez González</w:t>
      </w:r>
    </w:p>
    <w:p w14:paraId="49927FC5" w14:textId="59FBDE1B" w:rsidR="00497013" w:rsidRDefault="00497013"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143C8E9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2382C5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700B24B5"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41C1757D" w14:textId="77777777" w:rsidR="000C6959" w:rsidRDefault="00497013" w:rsidP="00497013">
      <w:pPr>
        <w:spacing w:after="120"/>
        <w:jc w:val="cente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2023</w:t>
      </w:r>
    </w:p>
    <w:p w14:paraId="779BBED2" w14:textId="77777777" w:rsidR="00497013" w:rsidRPr="000A5207" w:rsidRDefault="00497013" w:rsidP="00D7244C">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sidRPr="000A5207">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2CF488FC" w14:textId="77777777" w:rsidR="00497013" w:rsidRPr="007D6317" w:rsidRDefault="00497013" w:rsidP="00497013"/>
    <w:p w14:paraId="2DBC84C2"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ascii="Arial" w:hAnsi="Arial" w:cs="Arial"/>
          <w:color w:val="000000"/>
          <w:sz w:val="24"/>
          <w:szCs w:val="24"/>
        </w:rPr>
        <w:instrText>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(Arias et al., 2021; CEPAL, 2022)</w:t>
      </w:r>
      <w:r>
        <w:rPr>
          <w:rFonts w:ascii="Arial" w:hAnsi="Arial" w:cs="Arial"/>
          <w:color w:val="000000"/>
          <w:sz w:val="24"/>
          <w:szCs w:val="24"/>
        </w:rPr>
        <w:fldChar w:fldCharType="end"/>
      </w:r>
      <w:r>
        <w:rPr>
          <w:rFonts w:ascii="Arial" w:hAnsi="Arial" w:cs="Arial"/>
          <w:color w:val="000000"/>
          <w:sz w:val="24"/>
          <w:szCs w:val="24"/>
        </w:rPr>
        <w:t xml:space="preserve">. </w:t>
      </w:r>
    </w:p>
    <w:p w14:paraId="343DCFD5" w14:textId="77777777" w:rsidR="000630B1" w:rsidRDefault="000630B1" w:rsidP="000630B1">
      <w:pPr>
        <w:spacing w:after="0" w:line="360" w:lineRule="auto"/>
        <w:jc w:val="both"/>
        <w:rPr>
          <w:rFonts w:ascii="Arial" w:eastAsia="Calibri" w:hAnsi="Arial" w:cs="Arial"/>
          <w:sz w:val="24"/>
          <w:szCs w:val="24"/>
          <w:lang w:eastAsia="es-ES"/>
        </w:rPr>
      </w:pPr>
    </w:p>
    <w:p w14:paraId="425AF18D"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Entre las necesidades mundiales está el aumento sostenido de la producción de cereales como una alternativa para contribuir a la seguridad alimentaria para cubrir </w:t>
      </w:r>
    </w:p>
    <w:p w14:paraId="35F17987"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las necesidades crecientes de los pueblos, lo que ha propiciado que los productores busquen mayores rendimientos en las áreas improductivas al utilizar especies que se adapten a esas condiciones </w:t>
      </w:r>
      <w:r>
        <w:fldChar w:fldCharType="begin"/>
      </w:r>
      <w:r>
        <w:rPr>
          <w:rFonts w:ascii="Arial" w:hAnsi="Arial" w:cs="Arial"/>
          <w:color w:val="000000"/>
          <w:sz w:val="24"/>
          <w:szCs w:val="24"/>
        </w:rPr>
        <w:instrText>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(Ávila Pérez &amp; Pérez Zaldiva, 2017)</w:t>
      </w:r>
      <w:r>
        <w:rPr>
          <w:rFonts w:ascii="Arial" w:hAnsi="Arial" w:cs="Arial"/>
          <w:color w:val="000000"/>
          <w:sz w:val="24"/>
          <w:szCs w:val="24"/>
        </w:rPr>
        <w:fldChar w:fldCharType="end"/>
      </w:r>
      <w:r>
        <w:rPr>
          <w:rFonts w:ascii="Arial" w:hAnsi="Arial" w:cs="Arial"/>
          <w:color w:val="000000"/>
          <w:sz w:val="24"/>
          <w:szCs w:val="24"/>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ascii="Arial" w:hAnsi="Arial" w:cs="Arial"/>
          <w:sz w:val="24"/>
          <w:szCs w:val="24"/>
        </w:rPr>
        <w:t>suelo</w:t>
      </w:r>
      <w:r>
        <w:rPr>
          <w:rFonts w:ascii="Arial" w:hAnsi="Arial" w:cs="Arial"/>
          <w:sz w:val="24"/>
          <w:szCs w:val="24"/>
        </w:rPr>
        <w:t xml:space="preserve"> </w:t>
      </w:r>
      <w:r>
        <w:fldChar w:fldCharType="begin"/>
      </w:r>
      <w:r>
        <w:rPr>
          <w:rFonts w:ascii="Arial" w:hAnsi="Arial" w:cs="Arial"/>
          <w:color w:val="000000"/>
          <w:sz w:val="24"/>
          <w:szCs w:val="24"/>
        </w:rPr>
        <w:instrText>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(Ruiz-Rodríguez et al., s. f.)</w:t>
      </w:r>
      <w:r>
        <w:rPr>
          <w:rFonts w:ascii="Arial" w:hAnsi="Arial" w:cs="Arial"/>
          <w:color w:val="000000"/>
          <w:sz w:val="24"/>
          <w:szCs w:val="24"/>
        </w:rPr>
        <w:fldChar w:fldCharType="end"/>
      </w:r>
      <w:r>
        <w:rPr>
          <w:rFonts w:ascii="Arial" w:hAnsi="Arial" w:cs="Arial"/>
          <w:color w:val="000000"/>
          <w:sz w:val="24"/>
          <w:szCs w:val="24"/>
        </w:rPr>
        <w:t>.</w:t>
      </w:r>
    </w:p>
    <w:p w14:paraId="0BCFF894"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447FF2A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El cultivo del maíz (</w:t>
      </w:r>
      <w:r>
        <w:rPr>
          <w:rFonts w:ascii="Arial" w:hAnsi="Arial" w:cs="Arial"/>
          <w:i/>
          <w:iCs/>
          <w:color w:val="000000"/>
          <w:sz w:val="24"/>
          <w:szCs w:val="24"/>
        </w:rPr>
        <w:t>Zea mays</w:t>
      </w:r>
      <w:r>
        <w:rPr>
          <w:rFonts w:ascii="Arial" w:hAnsi="Arial" w:cs="Arial"/>
          <w:color w:val="000000"/>
          <w:sz w:val="24"/>
          <w:szCs w:val="24"/>
        </w:rPr>
        <w:t xml:space="preserve"> L.) ha sido generalizado a nivel mundial, en la actualidad ocupa el segundo lugar entre todos los cereales, destacándose su uso para la alimentación animal y humana (Guamán </w:t>
      </w:r>
      <w:r>
        <w:rPr>
          <w:rFonts w:ascii="Arial" w:hAnsi="Arial" w:cs="Arial"/>
          <w:i/>
          <w:iCs/>
          <w:color w:val="000000"/>
          <w:sz w:val="24"/>
          <w:szCs w:val="24"/>
        </w:rPr>
        <w:t>et al</w:t>
      </w:r>
      <w:r>
        <w:rPr>
          <w:rFonts w:ascii="Arial" w:hAnsi="Arial" w:cs="Arial"/>
          <w:color w:val="000000"/>
          <w:sz w:val="24"/>
          <w:szCs w:val="24"/>
        </w:rPr>
        <w:t xml:space="preserve">., 2020). Se adapta a diversas </w:t>
      </w:r>
    </w:p>
    <w:p w14:paraId="7B8C9C93"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condiciones ambientales y no se encuentra entre los de mayor demanda hídrica (Tarazona-Meza </w:t>
      </w:r>
      <w:r>
        <w:rPr>
          <w:rFonts w:ascii="Arial" w:hAnsi="Arial" w:cs="Arial"/>
          <w:i/>
          <w:iCs/>
          <w:color w:val="000000"/>
          <w:sz w:val="24"/>
          <w:szCs w:val="24"/>
        </w:rPr>
        <w:t>et al</w:t>
      </w:r>
      <w:r>
        <w:rPr>
          <w:rFonts w:ascii="Arial" w:hAnsi="Arial" w:cs="Arial"/>
          <w:color w:val="000000"/>
          <w:sz w:val="24"/>
          <w:szCs w:val="24"/>
        </w:rPr>
        <w:t>., 2022). Todo ello es consecuencia de ser una especie con un elevado potencial de rendimiento asociado con a</w:t>
      </w:r>
      <w:bookmarkStart w:id="1" w:name="_GoBack"/>
      <w:bookmarkEnd w:id="1"/>
      <w:r>
        <w:rPr>
          <w:rFonts w:ascii="Arial" w:hAnsi="Arial" w:cs="Arial"/>
          <w:color w:val="000000"/>
          <w:sz w:val="24"/>
          <w:szCs w:val="24"/>
        </w:rPr>
        <w:t>ltos niveles de fotosíntesis.</w:t>
      </w:r>
    </w:p>
    <w:p w14:paraId="5C5F9E2C"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5B43F80B"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598F93B6" w14:textId="77777777" w:rsidR="000630B1" w:rsidRDefault="000630B1" w:rsidP="000630B1">
      <w:pPr>
        <w:spacing w:after="0" w:line="360" w:lineRule="auto"/>
        <w:jc w:val="both"/>
        <w:rPr>
          <w:rFonts w:ascii="Arial" w:hAnsi="Arial" w:cs="Arial"/>
          <w:color w:val="000000"/>
          <w:sz w:val="24"/>
          <w:szCs w:val="24"/>
        </w:rPr>
      </w:pPr>
    </w:p>
    <w:p w14:paraId="7422A58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lastRenderedPageBreak/>
        <w:t xml:space="preserve"> </w:t>
      </w:r>
    </w:p>
    <w:p w14:paraId="703501E8" w14:textId="77777777" w:rsidR="000630B1" w:rsidRDefault="000630B1" w:rsidP="000630B1">
      <w:pPr>
        <w:spacing w:after="0" w:line="360" w:lineRule="auto"/>
        <w:jc w:val="both"/>
        <w:rPr>
          <w:rFonts w:ascii="Arial" w:hAnsi="Arial" w:cs="Arial"/>
          <w:sz w:val="24"/>
          <w:szCs w:val="24"/>
        </w:rPr>
      </w:pPr>
      <w:r>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ascii="Arial" w:eastAsia="Calibri" w:hAnsi="Arial" w:cs="Arial"/>
          <w:sz w:val="24"/>
          <w:szCs w:val="24"/>
          <w:lang w:eastAsia="es-ES"/>
        </w:rPr>
        <w:instrText>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(1)</w:t>
      </w:r>
      <w:r>
        <w:rPr>
          <w:rFonts w:ascii="Arial" w:eastAsia="Calibri" w:hAnsi="Arial" w:cs="Arial"/>
          <w:sz w:val="24"/>
          <w:szCs w:val="24"/>
          <w:lang w:eastAsia="es-ES"/>
        </w:rPr>
        <w:fldChar w:fldCharType="end"/>
      </w:r>
      <w:r>
        <w:rPr>
          <w:rFonts w:ascii="Arial" w:eastAsia="Calibri" w:hAnsi="Arial" w:cs="Arial"/>
          <w:sz w:val="24"/>
          <w:szCs w:val="24"/>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ascii="Arial" w:eastAsia="Calibri" w:hAnsi="Arial" w:cs="Arial"/>
          <w:sz w:val="24"/>
          <w:szCs w:val="24"/>
          <w:lang w:eastAsia="es-ES"/>
        </w:rPr>
        <w:instrText>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(2)</w:t>
      </w:r>
      <w:r>
        <w:rPr>
          <w:rFonts w:ascii="Arial" w:eastAsia="Calibri" w:hAnsi="Arial" w:cs="Arial"/>
          <w:sz w:val="24"/>
          <w:szCs w:val="24"/>
          <w:lang w:eastAsia="es-ES"/>
        </w:rPr>
        <w:fldChar w:fldCharType="end"/>
      </w:r>
      <w:r>
        <w:rPr>
          <w:rFonts w:ascii="Arial" w:eastAsia="Calibri" w:hAnsi="Arial" w:cs="Arial"/>
          <w:sz w:val="24"/>
          <w:szCs w:val="24"/>
          <w:lang w:eastAsia="es-ES"/>
        </w:rPr>
        <w:t>.</w:t>
      </w:r>
    </w:p>
    <w:p w14:paraId="3C9727C7" w14:textId="77777777" w:rsidR="000630B1" w:rsidRDefault="000630B1" w:rsidP="000630B1">
      <w:pPr>
        <w:spacing w:after="0" w:line="360" w:lineRule="auto"/>
        <w:jc w:val="both"/>
        <w:rPr>
          <w:rFonts w:ascii="Arial" w:hAnsi="Arial" w:cs="Arial"/>
          <w:color w:val="000000"/>
          <w:sz w:val="24"/>
          <w:szCs w:val="24"/>
        </w:rPr>
      </w:pPr>
      <w:r>
        <w:rPr>
          <w:rFonts w:ascii="Arial" w:eastAsia="Calibri" w:hAnsi="Arial" w:cs="Arial"/>
          <w:sz w:val="24"/>
          <w:szCs w:val="24"/>
          <w:lang w:val="es-MX" w:eastAsia="es-MX"/>
        </w:rPr>
        <w:t xml:space="preserve">Se debe destacar que el aspecto más </w:t>
      </w:r>
      <w:r>
        <w:rPr>
          <w:rFonts w:ascii="Arial" w:hAnsi="Arial" w:cs="Arial"/>
          <w:color w:val="000000"/>
          <w:sz w:val="24"/>
          <w:szCs w:val="24"/>
        </w:rPr>
        <w:t xml:space="preserve">importante en la evaluación de modelos de cultivo es la determinación de parámetros o coeficientes específicos del cultivo (Hunt y Boote, 1998). </w:t>
      </w:r>
    </w:p>
    <w:p w14:paraId="0DDDD8EF"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se cuenta con coeficientes genéticos para el cultivar de maíz </w:t>
      </w:r>
      <w:r>
        <w:rPr>
          <w:rFonts w:ascii="Arial" w:hAnsi="Arial" w:cs="Arial"/>
          <w:sz w:val="24"/>
          <w:szCs w:val="24"/>
        </w:rPr>
        <w:t>P-7928 el cual muestra un buen ajuste (Osmel tesis), aunque en la actualidad no se puede estimar rendimientos con la utilización hongos micorrízicos arbusculares (HMA).</w:t>
      </w:r>
    </w:p>
    <w:p w14:paraId="12D801EC" w14:textId="77777777" w:rsidR="000630B1" w:rsidRDefault="000630B1" w:rsidP="000630B1">
      <w:pPr>
        <w:spacing w:after="0" w:line="360" w:lineRule="auto"/>
        <w:jc w:val="both"/>
        <w:rPr>
          <w:rFonts w:ascii="Arial" w:hAnsi="Arial" w:cs="Arial"/>
          <w:sz w:val="24"/>
          <w:szCs w:val="24"/>
        </w:rPr>
      </w:pPr>
    </w:p>
    <w:p w14:paraId="03CE7DF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EcoMic® y más aún en la actualidad que se incrementa el uso de bioproductos orgánicos </w:t>
      </w:r>
      <w:r>
        <w:fldChar w:fldCharType="begin"/>
      </w:r>
      <w:r>
        <w:rPr>
          <w:rFonts w:ascii="Arial" w:hAnsi="Arial" w:cs="Arial"/>
          <w:sz w:val="24"/>
          <w:szCs w:val="24"/>
        </w:rPr>
        <w:instrText>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(Cabrales H et al., 2017; Irizar Garza  et al., 2016)</w:t>
      </w:r>
      <w:r>
        <w:rPr>
          <w:rFonts w:ascii="Arial" w:hAnsi="Arial" w:cs="Arial"/>
          <w:sz w:val="24"/>
          <w:szCs w:val="24"/>
        </w:rPr>
        <w:fldChar w:fldCharType="end"/>
      </w:r>
      <w:r>
        <w:rPr>
          <w:rFonts w:ascii="Arial" w:hAnsi="Arial" w:cs="Arial"/>
          <w:sz w:val="24"/>
          <w:szCs w:val="24"/>
        </w:rPr>
        <w:t xml:space="preserve">. </w:t>
      </w:r>
    </w:p>
    <w:p w14:paraId="23C28422" w14:textId="77777777" w:rsidR="000630B1" w:rsidRDefault="000630B1" w:rsidP="000630B1">
      <w:pPr>
        <w:spacing w:after="0" w:line="360" w:lineRule="auto"/>
        <w:jc w:val="both"/>
        <w:rPr>
          <w:rFonts w:ascii="Arial" w:hAnsi="Arial" w:cs="Arial"/>
          <w:sz w:val="24"/>
          <w:szCs w:val="24"/>
        </w:rPr>
      </w:pPr>
    </w:p>
    <w:p w14:paraId="7853D04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 planteado anteriormente hace que surja como problema científico el siguiente:</w:t>
      </w:r>
    </w:p>
    <w:p w14:paraId="426B5D3C"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¿Cómo propiciar un uso racional del biofertilizante EcoMic® para el cultivar de maíz P-7928 y obtener rendimientos satisfactorios?</w:t>
      </w:r>
    </w:p>
    <w:p w14:paraId="2BE4AE6D"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t>Para dar respuesta al problema científico se trazó como objetivo general: Proponer alternativas de manejo con biofertilizante EcoMic® para el cultivar de maíz P-7928 que propicien rendimientos satisfactorios utilizando el modelo DSSAT</w:t>
      </w:r>
    </w:p>
    <w:p w14:paraId="7F044716"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lang w:val="es-US"/>
        </w:rPr>
        <w:t>Hipótesis</w:t>
      </w:r>
    </w:p>
    <w:p w14:paraId="62281FBC"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lastRenderedPageBreak/>
        <w:t>La utilización de alternativas de manejo para el cultivar de maíz P-7928 basada en la aplicación de Ecomic® permiten un uso racional de la fertilización con rendimientos satisfactorios.</w:t>
      </w:r>
    </w:p>
    <w:p w14:paraId="38565C2B" w14:textId="77777777" w:rsidR="000630B1" w:rsidRDefault="000630B1" w:rsidP="000630B1">
      <w:pPr>
        <w:spacing w:after="0" w:line="360" w:lineRule="auto"/>
        <w:jc w:val="both"/>
        <w:rPr>
          <w:rFonts w:ascii="Arial" w:hAnsi="Arial" w:cs="Arial"/>
          <w:sz w:val="24"/>
          <w:szCs w:val="24"/>
          <w:lang w:val="es-US"/>
        </w:rPr>
      </w:pPr>
    </w:p>
    <w:p w14:paraId="641AB489" w14:textId="77777777" w:rsidR="000630B1" w:rsidRDefault="000630B1" w:rsidP="000630B1">
      <w:pPr>
        <w:spacing w:after="0" w:line="360" w:lineRule="auto"/>
        <w:jc w:val="both"/>
        <w:rPr>
          <w:rFonts w:ascii="Arial" w:hAnsi="Arial" w:cs="Arial"/>
          <w:sz w:val="24"/>
          <w:szCs w:val="24"/>
          <w:lang w:val="es-US"/>
        </w:rPr>
      </w:pPr>
    </w:p>
    <w:p w14:paraId="6F8CE095" w14:textId="77777777" w:rsidR="000630B1" w:rsidRDefault="000630B1" w:rsidP="000630B1">
      <w:pPr>
        <w:spacing w:after="0" w:line="360" w:lineRule="auto"/>
        <w:jc w:val="both"/>
        <w:rPr>
          <w:rFonts w:ascii="Arial" w:hAnsi="Arial" w:cs="Arial"/>
          <w:b/>
          <w:bCs/>
          <w:sz w:val="24"/>
          <w:szCs w:val="24"/>
        </w:rPr>
      </w:pPr>
      <w:r>
        <w:rPr>
          <w:rFonts w:ascii="Arial" w:hAnsi="Arial" w:cs="Arial"/>
          <w:sz w:val="24"/>
          <w:szCs w:val="24"/>
        </w:rPr>
        <w:t xml:space="preserve">Se proponen como </w:t>
      </w:r>
      <w:r>
        <w:rPr>
          <w:rFonts w:ascii="Arial" w:hAnsi="Arial" w:cs="Arial"/>
          <w:b/>
          <w:bCs/>
          <w:sz w:val="24"/>
          <w:szCs w:val="24"/>
        </w:rPr>
        <w:t>Objetivos específicos:</w:t>
      </w:r>
    </w:p>
    <w:p w14:paraId="0A9094CA" w14:textId="77777777" w:rsidR="000630B1" w:rsidRDefault="000630B1" w:rsidP="000630B1">
      <w:pPr>
        <w:spacing w:after="0" w:line="360" w:lineRule="auto"/>
        <w:jc w:val="both"/>
        <w:rPr>
          <w:rFonts w:ascii="Arial" w:hAnsi="Arial" w:cs="Arial"/>
          <w:sz w:val="24"/>
          <w:szCs w:val="24"/>
        </w:rPr>
      </w:pPr>
    </w:p>
    <w:p w14:paraId="67A8C925"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Evaluar el comportamiento del </w:t>
      </w:r>
      <w:commentRangeStart w:id="2"/>
      <w:r>
        <w:rPr>
          <w:rFonts w:ascii="Arial" w:hAnsi="Arial" w:cs="Arial"/>
          <w:sz w:val="24"/>
          <w:szCs w:val="24"/>
        </w:rPr>
        <w:t>cultivar</w:t>
      </w:r>
      <w:commentRangeEnd w:id="2"/>
      <w:r>
        <w:commentReference w:id="2"/>
      </w:r>
      <w:r>
        <w:rPr>
          <w:rFonts w:ascii="Arial" w:hAnsi="Arial" w:cs="Arial"/>
          <w:sz w:val="24"/>
          <w:szCs w:val="24"/>
        </w:rPr>
        <w:t xml:space="preserve"> P-7928 utilizando el modelo DSSAT con y sin EcoMic®  </w:t>
      </w:r>
    </w:p>
    <w:p w14:paraId="51398062"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Determinar la variabilidad del rendimiento cultivar P-7928 simulado en el modelo DSSAT y con la aplicación de EcoMic®.</w:t>
      </w:r>
    </w:p>
    <w:p w14:paraId="25FF17AE"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Proponer alternativas de manejo más adecuada para el cultivar de maíz P-7928 utilizando EcoMic®.</w:t>
      </w:r>
    </w:p>
    <w:p w14:paraId="463C2D27" w14:textId="77777777" w:rsidR="000630B1" w:rsidRDefault="000630B1" w:rsidP="000630B1">
      <w:pPr>
        <w:pStyle w:val="Prrafodelista"/>
        <w:spacing w:after="0" w:line="360" w:lineRule="auto"/>
        <w:jc w:val="both"/>
        <w:rPr>
          <w:rFonts w:ascii="Arial" w:hAnsi="Arial" w:cs="Arial"/>
          <w:sz w:val="24"/>
          <w:szCs w:val="24"/>
          <w:lang w:val="es-US"/>
        </w:rPr>
      </w:pPr>
    </w:p>
    <w:p w14:paraId="0D9CFAD3" w14:textId="77777777" w:rsidR="000630B1" w:rsidRDefault="000630B1" w:rsidP="000630B1">
      <w:pPr>
        <w:spacing w:after="0" w:line="360" w:lineRule="auto"/>
        <w:jc w:val="both"/>
        <w:rPr>
          <w:rFonts w:ascii="Arial" w:hAnsi="Arial" w:cs="Arial"/>
          <w:color w:val="000000" w:themeColor="text1"/>
          <w:sz w:val="24"/>
          <w:szCs w:val="24"/>
        </w:rPr>
      </w:pPr>
    </w:p>
    <w:p w14:paraId="5A4F3955"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b/>
          <w:sz w:val="24"/>
          <w:szCs w:val="24"/>
          <w:lang w:val="es-ES_tradnl"/>
        </w:rPr>
        <w:t>Proyecto Asociado:</w:t>
      </w:r>
      <w:r>
        <w:rPr>
          <w:rFonts w:ascii="Arial" w:hAnsi="Arial" w:cs="Arial"/>
          <w:sz w:val="24"/>
          <w:szCs w:val="24"/>
          <w:lang w:val="es-ES_tradnl"/>
        </w:rPr>
        <w:t xml:space="preserve"> Utilización de la modelación como herramienta para predecir el comportamiento de los cultivos de </w:t>
      </w:r>
      <w:r>
        <w:rPr>
          <w:rStyle w:val="object"/>
          <w:rFonts w:ascii="Arial" w:hAnsi="Arial" w:cs="Arial"/>
          <w:sz w:val="24"/>
          <w:szCs w:val="24"/>
          <w:lang w:val="es-ES_tradnl"/>
        </w:rPr>
        <w:t>ma</w:t>
      </w:r>
      <w:r>
        <w:rPr>
          <w:rFonts w:ascii="Arial" w:hAnsi="Arial" w:cs="Arial"/>
          <w:sz w:val="24"/>
          <w:szCs w:val="24"/>
          <w:lang w:val="es-ES_tradnl"/>
        </w:rPr>
        <w:t>íz y sorgo ante los cambios climáticos y trazar estrategias para la adaptación.</w:t>
      </w:r>
    </w:p>
    <w:p w14:paraId="2C575310"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sz w:val="24"/>
          <w:szCs w:val="24"/>
          <w:lang w:val="es-ES_tradnl"/>
        </w:rPr>
        <w:t>Proyecto de Lucy</w:t>
      </w:r>
    </w:p>
    <w:p w14:paraId="2D1A56D8" w14:textId="77777777" w:rsidR="000630B1" w:rsidRDefault="000630B1" w:rsidP="000630B1">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668261A0"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82A11"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0FA29A15" w14:textId="77777777" w:rsidR="000630B1" w:rsidRDefault="000630B1" w:rsidP="000630B1">
      <w:pPr>
        <w:spacing w:after="0" w:line="480" w:lineRule="auto"/>
        <w:jc w:val="both"/>
        <w:rPr>
          <w:rFonts w:ascii="Arial" w:hAnsi="Arial" w:cs="Arial"/>
          <w:sz w:val="24"/>
          <w:szCs w:val="24"/>
        </w:rPr>
      </w:pPr>
    </w:p>
    <w:p w14:paraId="6BFDCB2D"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El maíz (Zea mays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w:t>
      </w:r>
      <w:r>
        <w:rPr>
          <w:rFonts w:ascii="Arial" w:hAnsi="Arial" w:cs="Arial"/>
          <w:sz w:val="24"/>
          <w:szCs w:val="24"/>
        </w:rPr>
        <w:lastRenderedPageBreak/>
        <w:t>sembrados en 75 de dichos países. (</w:t>
      </w:r>
      <w:hyperlink r:id="rId8">
        <w:r>
          <w:rPr>
            <w:rStyle w:val="Hipervnculo"/>
            <w:rFonts w:ascii="Arial" w:hAnsi="Arial" w:cs="Arial"/>
            <w:sz w:val="24"/>
            <w:szCs w:val="24"/>
          </w:rPr>
          <w:t>https://ri.conicet.gov.ar/handle/11336/162758</w:t>
        </w:r>
      </w:hyperlink>
      <w:r>
        <w:rPr>
          <w:rFonts w:ascii="Arial" w:hAnsi="Arial" w:cs="Arial"/>
          <w:sz w:val="24"/>
          <w:szCs w:val="24"/>
        </w:rPr>
        <w:t xml:space="preserve">) </w:t>
      </w:r>
      <w:r>
        <w:fldChar w:fldCharType="begin"/>
      </w:r>
      <w:r>
        <w:rPr>
          <w:rFonts w:ascii="Arial" w:hAnsi="Arial" w:cs="Arial"/>
          <w:sz w:val="24"/>
          <w:szCs w:val="24"/>
        </w:rPr>
        <w:instrText>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szCs w:val="24"/>
        </w:rPr>
        <w:t>(FAOSTAT, 2020)</w:t>
      </w:r>
      <w:r>
        <w:rPr>
          <w:rFonts w:ascii="Arial" w:hAnsi="Arial" w:cs="Arial"/>
          <w:sz w:val="24"/>
          <w:szCs w:val="24"/>
        </w:rPr>
        <w:fldChar w:fldCharType="end"/>
      </w:r>
      <w:r>
        <w:rPr>
          <w:rFonts w:ascii="Arial" w:hAnsi="Arial" w:cs="Arial"/>
          <w:sz w:val="24"/>
          <w:szCs w:val="24"/>
        </w:rPr>
        <w:t xml:space="preserve">. </w:t>
      </w:r>
    </w:p>
    <w:p w14:paraId="02687C5B" w14:textId="77777777" w:rsidR="000630B1" w:rsidRDefault="000630B1" w:rsidP="000630B1">
      <w:pPr>
        <w:spacing w:after="0" w:line="480" w:lineRule="auto"/>
        <w:jc w:val="both"/>
        <w:rPr>
          <w:rFonts w:ascii="Arial" w:hAnsi="Arial" w:cs="Arial"/>
          <w:sz w:val="24"/>
          <w:szCs w:val="24"/>
        </w:rPr>
      </w:pPr>
      <w:r>
        <w:rPr>
          <w:rFonts w:ascii="Calibri" w:hAnsi="Calibri" w:cs="Calibri"/>
        </w:rPr>
        <w:t>Este cultivo es considerado de gran importancia económica a nivel mundial ya sea como alimento humano, por ser uno de los granos alimenticios más antiguos que se conocen, como alimento para el ganado o como materia prima de un gran número de productos industriales como</w:t>
      </w:r>
      <w:r>
        <w:rPr>
          <w:rFonts w:ascii="Arial" w:hAnsi="Arial" w:cs="Arial"/>
          <w:sz w:val="24"/>
          <w:szCs w:val="24"/>
        </w:rPr>
        <w:t xml:space="preserve"> medicamentos, cosméticos o sopas</w:t>
      </w:r>
      <w:r>
        <w:rPr>
          <w:rFonts w:ascii="Calibri" w:hAnsi="Calibri" w:cs="Calibri"/>
        </w:rPr>
        <w:t xml:space="preserve">. </w:t>
      </w:r>
      <w:r>
        <w:rPr>
          <w:rFonts w:ascii="Arial" w:hAnsi="Arial" w:cs="Arial"/>
          <w:sz w:val="24"/>
          <w:szCs w:val="24"/>
        </w:rPr>
        <w:t>(</w:t>
      </w:r>
      <w:hyperlink r:id="rId9">
        <w:r>
          <w:rPr>
            <w:rStyle w:val="Hipervnculo"/>
            <w:rFonts w:ascii="Arial" w:hAnsi="Arial" w:cs="Arial"/>
            <w:sz w:val="24"/>
            <w:szCs w:val="24"/>
          </w:rPr>
          <w:t>https://ri.conicet.gov.ar/handle/11336/162758</w:t>
        </w:r>
      </w:hyperlink>
      <w:r>
        <w:rPr>
          <w:rFonts w:ascii="Arial" w:hAnsi="Arial" w:cs="Arial"/>
          <w:sz w:val="24"/>
          <w:szCs w:val="24"/>
        </w:rPr>
        <w:t>)(</w:t>
      </w:r>
      <w:r>
        <w:fldChar w:fldCharType="begin"/>
      </w:r>
      <w:r>
        <w:rPr>
          <w:rFonts w:ascii="Arial" w:hAnsi="Arial" w:cs="Arial"/>
          <w:sz w:val="24"/>
          <w:szCs w:val="24"/>
        </w:rPr>
        <w:instrText>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Ayala y Dabdab (2020)</w:t>
      </w:r>
      <w:r>
        <w:rPr>
          <w:rFonts w:ascii="Arial" w:hAnsi="Arial" w:cs="Arial"/>
          <w:sz w:val="24"/>
          <w:szCs w:val="24"/>
        </w:rPr>
        <w:fldChar w:fldCharType="end"/>
      </w:r>
    </w:p>
    <w:p w14:paraId="7D775E0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ascii="Arial" w:hAnsi="Arial" w:cs="Arial"/>
          <w:sz w:val="24"/>
          <w:szCs w:val="24"/>
        </w:rPr>
        <w:instrText>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(FAOSTAT, 2020)</w:t>
      </w:r>
      <w:r>
        <w:rPr>
          <w:rFonts w:ascii="Arial" w:hAnsi="Arial" w:cs="Arial"/>
          <w:sz w:val="24"/>
          <w:szCs w:val="24"/>
        </w:rPr>
        <w:fldChar w:fldCharType="end"/>
      </w:r>
      <w:r>
        <w:rPr>
          <w:rFonts w:ascii="Arial" w:hAnsi="Arial" w:cs="Arial"/>
          <w:sz w:val="24"/>
          <w:szCs w:val="24"/>
        </w:rPr>
        <w:t xml:space="preserve">. </w:t>
      </w:r>
    </w:p>
    <w:p w14:paraId="675F7B34" w14:textId="77777777" w:rsidR="000630B1" w:rsidRDefault="000630B1" w:rsidP="000630B1">
      <w:pPr>
        <w:pStyle w:val="Ttulo3"/>
        <w:spacing w:before="0" w:line="480" w:lineRule="auto"/>
        <w:rPr>
          <w:rFonts w:cs="Arial"/>
          <w:b/>
          <w:color w:val="000000" w:themeColor="text1"/>
        </w:rPr>
      </w:pPr>
      <w:bookmarkStart w:id="3" w:name="_Toc148350394"/>
      <w:bookmarkStart w:id="4" w:name="_Toc138712724"/>
      <w:r>
        <w:rPr>
          <w:rFonts w:cs="Arial"/>
          <w:color w:val="000000" w:themeColor="text1"/>
        </w:rPr>
        <w:t>1.5.2 El cultivo del maíz en Cuba</w:t>
      </w:r>
      <w:bookmarkEnd w:id="3"/>
      <w:bookmarkEnd w:id="4"/>
      <w:r>
        <w:rPr>
          <w:rFonts w:cs="Arial"/>
          <w:color w:val="000000" w:themeColor="text1"/>
        </w:rPr>
        <w:t xml:space="preserve"> </w:t>
      </w:r>
    </w:p>
    <w:p w14:paraId="55065514"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ascii="Arial" w:hAnsi="Arial" w:cs="Arial"/>
          <w:sz w:val="24"/>
          <w:szCs w:val="24"/>
          <w:vertAlign w:val="superscript"/>
        </w:rPr>
        <w:t>-1</w:t>
      </w:r>
      <w:r>
        <w:rPr>
          <w:rFonts w:ascii="Arial" w:hAnsi="Arial" w:cs="Arial"/>
          <w:sz w:val="24"/>
          <w:szCs w:val="24"/>
        </w:rPr>
        <w:t xml:space="preserve"> (1,67 t ha</w:t>
      </w:r>
      <w:r>
        <w:rPr>
          <w:rFonts w:ascii="Arial" w:hAnsi="Arial" w:cs="Arial"/>
          <w:sz w:val="24"/>
          <w:szCs w:val="24"/>
          <w:vertAlign w:val="superscript"/>
        </w:rPr>
        <w:t>-1</w:t>
      </w:r>
      <w:r>
        <w:rPr>
          <w:rFonts w:ascii="Arial" w:hAnsi="Arial" w:cs="Arial"/>
          <w:sz w:val="24"/>
          <w:szCs w:val="24"/>
        </w:rPr>
        <w:t xml:space="preserve"> en el sector estatal y 1,94 t ha</w:t>
      </w:r>
      <w:r>
        <w:rPr>
          <w:rFonts w:ascii="Arial" w:hAnsi="Arial" w:cs="Arial"/>
          <w:sz w:val="24"/>
          <w:szCs w:val="24"/>
          <w:vertAlign w:val="superscript"/>
        </w:rPr>
        <w:t>-1</w:t>
      </w:r>
      <w:r>
        <w:rPr>
          <w:rFonts w:ascii="Arial" w:hAnsi="Arial" w:cs="Arial"/>
          <w:sz w:val="24"/>
          <w:szCs w:val="24"/>
        </w:rPr>
        <w:t xml:space="preserve"> en el campesino) </w:t>
      </w:r>
      <w:r>
        <w:fldChar w:fldCharType="begin"/>
      </w:r>
      <w:r>
        <w:rPr>
          <w:rFonts w:ascii="Arial" w:hAnsi="Arial" w:cs="Arial"/>
          <w:sz w:val="24"/>
          <w:szCs w:val="24"/>
        </w:rPr>
        <w:instrText>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w:instrText>
      </w:r>
      <w:r>
        <w:rPr>
          <w:rFonts w:ascii="Arial" w:hAnsi="Arial" w:cs="Arial"/>
          <w:sz w:val="24"/>
          <w:szCs w:val="24"/>
        </w:rPr>
        <w:fldChar w:fldCharType="separate"/>
      </w:r>
      <w:r>
        <w:rPr>
          <w:rFonts w:ascii="Arial" w:hAnsi="Arial" w:cs="Arial"/>
          <w:sz w:val="24"/>
        </w:rPr>
        <w:t>(ONEI, 2022)</w:t>
      </w:r>
      <w:r>
        <w:rPr>
          <w:rFonts w:ascii="Arial" w:hAnsi="Arial" w:cs="Arial"/>
          <w:sz w:val="24"/>
          <w:szCs w:val="24"/>
        </w:rPr>
        <w:fldChar w:fldCharType="end"/>
      </w:r>
      <w:r>
        <w:rPr>
          <w:rFonts w:ascii="Arial" w:hAnsi="Arial" w:cs="Arial"/>
          <w:sz w:val="24"/>
          <w:szCs w:val="24"/>
        </w:rPr>
        <w:t xml:space="preserve">. </w:t>
      </w:r>
    </w:p>
    <w:p w14:paraId="6EFABC46"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ascii="Arial" w:hAnsi="Arial" w:cs="Arial"/>
          <w:sz w:val="24"/>
          <w:szCs w:val="24"/>
        </w:rPr>
        <w:instrText>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 xml:space="preserve">.  </w:t>
      </w:r>
    </w:p>
    <w:p w14:paraId="2415CBBB" w14:textId="77777777" w:rsidR="000630B1" w:rsidRDefault="000630B1" w:rsidP="000630B1">
      <w:pPr>
        <w:pStyle w:val="Ttulo2"/>
      </w:pPr>
      <w:r>
        <w:lastRenderedPageBreak/>
        <w:t xml:space="preserve">Cultivares comerciales del maíz </w:t>
      </w:r>
    </w:p>
    <w:p w14:paraId="733599F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ascii="Arial" w:hAnsi="Arial" w:cs="Arial"/>
          <w:sz w:val="24"/>
          <w:szCs w:val="24"/>
        </w:rPr>
        <w:instrText>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(Acosta </w:t>
      </w:r>
      <w:r>
        <w:rPr>
          <w:rFonts w:ascii="Arial" w:hAnsi="Arial" w:cs="Arial"/>
          <w:i/>
          <w:sz w:val="24"/>
          <w:szCs w:val="24"/>
        </w:rPr>
        <w:t>et al</w:t>
      </w:r>
      <w:r>
        <w:rPr>
          <w:rFonts w:ascii="Arial" w:hAnsi="Arial" w:cs="Arial"/>
          <w:sz w:val="24"/>
          <w:szCs w:val="24"/>
        </w:rPr>
        <w:t>., 2013)</w:t>
      </w:r>
      <w:r>
        <w:rPr>
          <w:rFonts w:ascii="Arial" w:hAnsi="Arial" w:cs="Arial"/>
          <w:sz w:val="24"/>
          <w:szCs w:val="24"/>
        </w:rPr>
        <w:fldChar w:fldCharType="end"/>
      </w:r>
      <w:r>
        <w:rPr>
          <w:rFonts w:ascii="Arial" w:hAnsi="Arial" w:cs="Arial"/>
          <w:sz w:val="24"/>
          <w:szCs w:val="24"/>
        </w:rPr>
        <w:t xml:space="preserve">. Esta diversidad ha sido ampliamente utilizada por el hombre, ya sea de forma empírica, como las que llevan a cabo los productores desde el proceso de domesticación hasta la actualidad. </w:t>
      </w:r>
    </w:p>
    <w:p w14:paraId="6A60EBE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Cuba, se señala la existencia de siete razas de maíz, que se diferencian y clasifican principalmente por los caracteres de la mazorca: Maíz Criollo, Tusón, Argentino, Canilla, White Pop, Yellow Pop y White Dent </w:t>
      </w:r>
      <w:r>
        <w:fldChar w:fldCharType="begin"/>
      </w:r>
      <w:r>
        <w:rPr>
          <w:rFonts w:ascii="Arial" w:hAnsi="Arial" w:cs="Arial"/>
          <w:sz w:val="24"/>
          <w:szCs w:val="24"/>
        </w:rPr>
        <w:instrText>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w:instrText>
      </w:r>
      <w:r>
        <w:rPr>
          <w:rFonts w:ascii="Arial" w:hAnsi="Arial" w:cs="Arial"/>
          <w:sz w:val="24"/>
          <w:szCs w:val="24"/>
        </w:rPr>
        <w:fldChar w:fldCharType="separate"/>
      </w:r>
      <w:r>
        <w:rPr>
          <w:rFonts w:ascii="Arial" w:hAnsi="Arial" w:cs="Arial"/>
          <w:sz w:val="24"/>
          <w:szCs w:val="24"/>
        </w:rPr>
        <w:t>(Martínez et al., 2011)</w:t>
      </w:r>
      <w:r>
        <w:rPr>
          <w:rFonts w:ascii="Arial" w:hAnsi="Arial" w:cs="Arial"/>
          <w:sz w:val="24"/>
          <w:szCs w:val="24"/>
        </w:rPr>
        <w:fldChar w:fldCharType="end"/>
      </w:r>
      <w:r>
        <w:rPr>
          <w:rFonts w:ascii="Arial" w:hAnsi="Arial" w:cs="Arial"/>
          <w:sz w:val="24"/>
          <w:szCs w:val="24"/>
        </w:rPr>
        <w:t>.</w:t>
      </w:r>
    </w:p>
    <w:p w14:paraId="2345EB7C"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Dentro de los principales cultivares comerciales de maíz se encuentran: Francisco Mejorado, VST- 6, P-7928, Tusón, FR-28, INIVIT-4, Rosita, entre otras </w:t>
      </w:r>
      <w:r>
        <w:fldChar w:fldCharType="begin"/>
      </w:r>
      <w:r>
        <w:rPr>
          <w:rFonts w:ascii="Arial" w:hAnsi="Arial" w:cs="Arial"/>
          <w:sz w:val="24"/>
          <w:szCs w:val="24"/>
        </w:rPr>
        <w:instrText>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ascii="Arial" w:hAnsi="Arial" w:cs="Arial"/>
          <w:sz w:val="24"/>
          <w:szCs w:val="24"/>
        </w:rPr>
        <w:fldChar w:fldCharType="separate"/>
      </w:r>
      <w:r>
        <w:rPr>
          <w:rFonts w:ascii="Arial" w:hAnsi="Arial" w:cs="Arial"/>
          <w:sz w:val="24"/>
        </w:rPr>
        <w:t>(MINAG, 2015)</w:t>
      </w:r>
      <w:r>
        <w:rPr>
          <w:rFonts w:ascii="Arial" w:hAnsi="Arial" w:cs="Arial"/>
          <w:sz w:val="24"/>
          <w:szCs w:val="24"/>
        </w:rPr>
        <w:fldChar w:fldCharType="end"/>
      </w:r>
      <w:r>
        <w:rPr>
          <w:rFonts w:ascii="Arial" w:hAnsi="Arial" w:cs="Arial"/>
          <w:sz w:val="24"/>
          <w:szCs w:val="24"/>
        </w:rPr>
        <w:t xml:space="preserve">. Es importante destacar que estas variedades de maíz tienen excelentes características agronómicas y buen rendimiento, adaptados a nuestras condiciones climáticas </w:t>
      </w:r>
      <w:r>
        <w:fldChar w:fldCharType="begin"/>
      </w:r>
      <w:r>
        <w:rPr>
          <w:rFonts w:ascii="Arial" w:hAnsi="Arial" w:cs="Arial"/>
          <w:sz w:val="24"/>
          <w:szCs w:val="24"/>
        </w:rPr>
        <w:instrText>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w:t>
      </w:r>
    </w:p>
    <w:p w14:paraId="4C67B83B" w14:textId="77777777" w:rsidR="000630B1" w:rsidRDefault="000630B1" w:rsidP="000630B1">
      <w:pPr>
        <w:pStyle w:val="Ttulo2"/>
        <w:rPr>
          <w:rStyle w:val="rynqvb"/>
          <w:rFonts w:cs="Arial"/>
          <w:color w:val="000000" w:themeColor="text1"/>
          <w:szCs w:val="24"/>
        </w:rPr>
      </w:pPr>
      <w:bookmarkStart w:id="5" w:name="_Toc148350395"/>
      <w:bookmarkStart w:id="6" w:name="_Toc138712725"/>
      <w:r>
        <w:rPr>
          <w:rStyle w:val="rynqvb"/>
          <w:rFonts w:cs="Arial"/>
          <w:color w:val="000000" w:themeColor="text1"/>
          <w:szCs w:val="24"/>
        </w:rPr>
        <w:t>1.6 Aspectos del crecimiento y desarrollo de la planta de maíz</w:t>
      </w:r>
      <w:bookmarkEnd w:id="5"/>
      <w:bookmarkEnd w:id="6"/>
      <w:r>
        <w:rPr>
          <w:rStyle w:val="rynqvb"/>
          <w:rFonts w:cs="Arial"/>
          <w:color w:val="000000" w:themeColor="text1"/>
          <w:szCs w:val="24"/>
        </w:rPr>
        <w:t xml:space="preserve"> </w:t>
      </w:r>
    </w:p>
    <w:p w14:paraId="421394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maíz tiene varias etapas vegetativas (V) y reproductivas (R).</w:t>
      </w:r>
      <w:r>
        <w:rPr>
          <w:rStyle w:val="hwtze"/>
          <w:rFonts w:ascii="Arial" w:hAnsi="Arial" w:cs="Arial"/>
          <w:sz w:val="24"/>
          <w:szCs w:val="24"/>
        </w:rPr>
        <w:t xml:space="preserve"> </w:t>
      </w:r>
      <w:r>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Pr>
          <w:rStyle w:val="hwtze"/>
          <w:rFonts w:ascii="Arial" w:hAnsi="Arial" w:cs="Arial"/>
          <w:sz w:val="24"/>
          <w:szCs w:val="24"/>
        </w:rPr>
        <w:t xml:space="preserve"> </w:t>
      </w:r>
      <w:r>
        <w:rPr>
          <w:rStyle w:val="rynqvb"/>
          <w:rFonts w:ascii="Arial" w:hAnsi="Arial" w:cs="Arial"/>
          <w:sz w:val="24"/>
          <w:szCs w:val="24"/>
        </w:rPr>
        <w:t>antes de VT (espiga) para el cultivar específico bajo consideración.</w:t>
      </w:r>
      <w:r>
        <w:rPr>
          <w:rStyle w:val="hwtze"/>
          <w:rFonts w:ascii="Arial" w:hAnsi="Arial" w:cs="Arial"/>
          <w:sz w:val="24"/>
          <w:szCs w:val="24"/>
        </w:rPr>
        <w:t xml:space="preserve"> </w:t>
      </w:r>
      <w:r>
        <w:rPr>
          <w:rStyle w:val="rynqvb"/>
          <w:rFonts w:ascii="Arial" w:hAnsi="Arial" w:cs="Arial"/>
          <w:sz w:val="24"/>
          <w:szCs w:val="24"/>
        </w:rPr>
        <w:t>Las etapas primera y última V se designan como VE (emergencia) y VT (espiga).</w:t>
      </w:r>
      <w:r>
        <w:rPr>
          <w:rStyle w:val="hwtze"/>
          <w:rFonts w:ascii="Arial" w:hAnsi="Arial" w:cs="Arial"/>
          <w:sz w:val="24"/>
          <w:szCs w:val="24"/>
        </w:rPr>
        <w:t xml:space="preserve"> </w:t>
      </w:r>
      <w:r>
        <w:rPr>
          <w:rStyle w:val="rynqvb"/>
          <w:rFonts w:ascii="Arial" w:hAnsi="Arial" w:cs="Arial"/>
          <w:sz w:val="24"/>
          <w:szCs w:val="24"/>
        </w:rPr>
        <w:t xml:space="preserve">El (n) fluctuará con factores de genotipo y ambientales. </w:t>
      </w:r>
    </w:p>
    <w:p w14:paraId="043540B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 xml:space="preserve">Para determinar las etapas de desarrollo reproductivo, el enfoque es observar los granos en la mazorca </w:t>
      </w:r>
      <w:r>
        <w:fldChar w:fldCharType="begin"/>
      </w:r>
      <w:r>
        <w:rPr>
          <w:rStyle w:val="rynqvb"/>
          <w:rFonts w:ascii="Arial" w:hAnsi="Arial" w:cs="Arial"/>
          <w:sz w:val="24"/>
          <w:szCs w:val="24"/>
        </w:rPr>
        <w:instrText>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fldChar w:fldCharType="begin"/>
      </w:r>
      <w:r>
        <w:rPr>
          <w:rStyle w:val="rynqvb"/>
          <w:rFonts w:ascii="Arial" w:hAnsi="Arial" w:cs="Arial"/>
          <w:sz w:val="24"/>
          <w:szCs w:val="24"/>
        </w:rPr>
        <w:instrText>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(PIONEER, 2015; CONACYT, 2019)</w:t>
      </w:r>
      <w:r>
        <w:rPr>
          <w:rStyle w:val="rynqvb"/>
          <w:rFonts w:ascii="Arial" w:hAnsi="Arial" w:cs="Arial"/>
          <w:sz w:val="24"/>
          <w:szCs w:val="24"/>
        </w:rPr>
        <w:fldChar w:fldCharType="end"/>
      </w:r>
      <w:r>
        <w:rPr>
          <w:rFonts w:ascii="Arial" w:hAnsi="Arial" w:cs="Arial"/>
          <w:sz w:val="24"/>
          <w:szCs w:val="24"/>
        </w:rPr>
        <w:t>.</w:t>
      </w:r>
    </w:p>
    <w:p w14:paraId="0A000E70" w14:textId="77777777" w:rsidR="000630B1" w:rsidRDefault="000630B1" w:rsidP="000630B1">
      <w:pPr>
        <w:pStyle w:val="Ttulo3"/>
        <w:rPr>
          <w:rStyle w:val="rynqvb"/>
          <w:rFonts w:cs="Arial"/>
          <w:b/>
          <w:color w:val="000000" w:themeColor="text1"/>
        </w:rPr>
      </w:pPr>
      <w:bookmarkStart w:id="7" w:name="_Toc148350396"/>
      <w:bookmarkStart w:id="8" w:name="_Toc138712726"/>
      <w:r>
        <w:rPr>
          <w:rStyle w:val="rynqvb"/>
          <w:rFonts w:cs="Arial"/>
          <w:color w:val="000000" w:themeColor="text1"/>
        </w:rPr>
        <w:t xml:space="preserve">1.6.1 Fase </w:t>
      </w:r>
      <w:r>
        <w:rPr>
          <w:rStyle w:val="rynqvb"/>
        </w:rPr>
        <w:t>vegetativa</w:t>
      </w:r>
      <w:bookmarkEnd w:id="7"/>
      <w:bookmarkEnd w:id="8"/>
    </w:p>
    <w:p w14:paraId="3F369862"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Emergencia y germinación</w:t>
      </w:r>
    </w:p>
    <w:p w14:paraId="2C80BC3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semilla de maíz comienza a germinar al contener como mínimo un 30 % de humedad </w:t>
      </w:r>
      <w:r>
        <w:fldChar w:fldCharType="begin"/>
      </w:r>
      <w:r>
        <w:rPr>
          <w:rStyle w:val="rynqvb"/>
          <w:rFonts w:ascii="Arial" w:hAnsi="Arial" w:cs="Arial"/>
          <w:sz w:val="24"/>
          <w:szCs w:val="24"/>
        </w:rPr>
        <w:instrText>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primera estructura de plántula que emerge de la semilla es la radícula (raíz), seguida por el coleoptilo. Para emerger, el primer entrenudo de la planta de maíz, el mesocotilo se alarga hacia la superficie del suelo y continúa hasta que el coleoptilo alcanza la luz </w:t>
      </w:r>
      <w:r>
        <w:fldChar w:fldCharType="begin"/>
      </w:r>
      <w:r>
        <w:rPr>
          <w:rStyle w:val="rynqvb"/>
          <w:rFonts w:ascii="Arial" w:hAnsi="Arial" w:cs="Arial"/>
          <w:sz w:val="24"/>
          <w:szCs w:val="24"/>
        </w:rPr>
        <w:instrText>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emergencia tiene lugar cuando el brote joven empuja a través de la superficie del suelo.</w:t>
      </w:r>
      <w:r>
        <w:rPr>
          <w:rStyle w:val="hwtze"/>
          <w:rFonts w:ascii="Arial" w:hAnsi="Arial" w:cs="Arial"/>
          <w:sz w:val="24"/>
          <w:szCs w:val="24"/>
        </w:rPr>
        <w:t xml:space="preserve"> </w:t>
      </w:r>
      <w:r>
        <w:rPr>
          <w:rStyle w:val="rynqvb"/>
          <w:rFonts w:ascii="Arial" w:hAnsi="Arial" w:cs="Arial"/>
          <w:sz w:val="24"/>
          <w:szCs w:val="24"/>
        </w:rPr>
        <w:t>Esta puede ocurrir de cuatro a cinco días posteriores a la siembra en condiciones óptimas y hasta 14 días en condiciones frescas o secas.</w:t>
      </w:r>
    </w:p>
    <w:p w14:paraId="61C0A6C6" w14:textId="77777777" w:rsidR="000630B1" w:rsidRDefault="000630B1" w:rsidP="000630B1">
      <w:pPr>
        <w:spacing w:after="0" w:line="480" w:lineRule="auto"/>
        <w:jc w:val="both"/>
        <w:rPr>
          <w:rStyle w:val="hwtze"/>
          <w:rFonts w:ascii="Arial" w:hAnsi="Arial" w:cs="Arial"/>
          <w:sz w:val="24"/>
          <w:szCs w:val="24"/>
        </w:rPr>
      </w:pPr>
      <w:r>
        <w:rPr>
          <w:rStyle w:val="rynqvb"/>
          <w:rFonts w:ascii="Arial" w:hAnsi="Arial" w:cs="Arial"/>
          <w:sz w:val="24"/>
          <w:szCs w:val="24"/>
        </w:rPr>
        <w:t>La primera hoja de la planta de maíz tiene una punta redondeada que es útil para la identificación, las siguientes son puntiagudas.</w:t>
      </w:r>
      <w:r>
        <w:rPr>
          <w:rStyle w:val="hwtze"/>
          <w:rFonts w:ascii="Arial" w:hAnsi="Arial" w:cs="Arial"/>
          <w:sz w:val="24"/>
          <w:szCs w:val="24"/>
        </w:rPr>
        <w:t xml:space="preserve"> </w:t>
      </w:r>
      <w:r>
        <w:rPr>
          <w:rStyle w:val="rynqvb"/>
          <w:rFonts w:ascii="Arial" w:hAnsi="Arial" w:cs="Arial"/>
          <w:sz w:val="24"/>
          <w:szCs w:val="24"/>
        </w:rPr>
        <w:t>Una hoja de maíz consta de tres componentes morfológicos distintos: la lámina, el cuello y la vaina.</w:t>
      </w:r>
      <w:r>
        <w:rPr>
          <w:rStyle w:val="hwtze"/>
          <w:rFonts w:ascii="Arial" w:hAnsi="Arial" w:cs="Arial"/>
          <w:sz w:val="24"/>
          <w:szCs w:val="24"/>
        </w:rPr>
        <w:t xml:space="preserve"> </w:t>
      </w:r>
      <w:r>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ascii="Arial" w:hAnsi="Arial" w:cs="Arial"/>
          <w:sz w:val="24"/>
          <w:szCs w:val="24"/>
        </w:rPr>
        <w:t xml:space="preserve"> </w:t>
      </w:r>
      <w:r>
        <w:rPr>
          <w:rStyle w:val="rynqvb"/>
          <w:rFonts w:ascii="Arial" w:hAnsi="Arial" w:cs="Arial"/>
          <w:sz w:val="24"/>
          <w:szCs w:val="24"/>
        </w:rPr>
        <w:t xml:space="preserve">A partir de V10, se hace difícil determinar la fase porque las hojas inferiores comienzan a caerse de la planta </w:t>
      </w:r>
      <w:r>
        <w:fldChar w:fldCharType="begin"/>
      </w:r>
      <w:r>
        <w:rPr>
          <w:rStyle w:val="rynqvb"/>
          <w:rFonts w:ascii="Arial" w:hAnsi="Arial" w:cs="Arial"/>
          <w:sz w:val="24"/>
          <w:szCs w:val="24"/>
        </w:rPr>
        <w:instrText>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36CAE740"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lastRenderedPageBreak/>
        <w:t xml:space="preserve">Etapa de espiga </w:t>
      </w:r>
    </w:p>
    <w:p w14:paraId="21165C9E"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rynqvb"/>
          <w:rFonts w:ascii="Arial" w:hAnsi="Arial" w:cs="Arial"/>
          <w:sz w:val="24"/>
          <w:szCs w:val="24"/>
        </w:rPr>
        <w:instrText>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Cuando la planta alcanza su altura máxima, comienza la liberación de polen. El tiempo entre VT y R1 puede variar entre cultivares y debido a las condiciones del ambiente.</w:t>
      </w:r>
      <w:r>
        <w:rPr>
          <w:rStyle w:val="hwtze"/>
          <w:rFonts w:ascii="Arial" w:hAnsi="Arial" w:cs="Arial"/>
          <w:sz w:val="24"/>
          <w:szCs w:val="24"/>
        </w:rPr>
        <w:t xml:space="preserve"> </w:t>
      </w:r>
    </w:p>
    <w:p w14:paraId="71EBCF1F" w14:textId="77777777" w:rsidR="000630B1" w:rsidRDefault="000630B1" w:rsidP="000630B1">
      <w:pPr>
        <w:pStyle w:val="Ttulo3"/>
        <w:rPr>
          <w:rStyle w:val="rynqvb"/>
          <w:rFonts w:cs="Arial"/>
          <w:b/>
          <w:color w:val="000000" w:themeColor="text1"/>
        </w:rPr>
      </w:pPr>
      <w:bookmarkStart w:id="9" w:name="_Toc148350397"/>
      <w:bookmarkStart w:id="10" w:name="_Toc138712727"/>
      <w:r>
        <w:rPr>
          <w:rStyle w:val="rynqvb"/>
          <w:rFonts w:cs="Arial"/>
          <w:color w:val="000000" w:themeColor="text1"/>
        </w:rPr>
        <w:t xml:space="preserve">1.6.2 Fase </w:t>
      </w:r>
      <w:r>
        <w:rPr>
          <w:rStyle w:val="rynqvb"/>
        </w:rPr>
        <w:t>reproductiva</w:t>
      </w:r>
      <w:bookmarkEnd w:id="9"/>
      <w:bookmarkEnd w:id="10"/>
      <w:r>
        <w:rPr>
          <w:rStyle w:val="rynqvb"/>
          <w:rFonts w:cs="Arial"/>
          <w:color w:val="000000" w:themeColor="text1"/>
        </w:rPr>
        <w:t xml:space="preserve"> </w:t>
      </w:r>
    </w:p>
    <w:p w14:paraId="7E75BB2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antesis </w:t>
      </w:r>
    </w:p>
    <w:p w14:paraId="059A317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 antesis (R1), surgen los estigmas de las mazorcas, que son</w:t>
      </w:r>
      <w:r>
        <w:rPr>
          <w:rStyle w:val="hwtze"/>
          <w:rFonts w:ascii="Arial" w:hAnsi="Arial" w:cs="Arial"/>
          <w:sz w:val="24"/>
          <w:szCs w:val="24"/>
        </w:rPr>
        <w:t xml:space="preserve"> </w:t>
      </w:r>
      <w:r>
        <w:rPr>
          <w:rStyle w:val="rynqvb"/>
          <w:rFonts w:ascii="Arial" w:hAnsi="Arial" w:cs="Arial"/>
          <w:sz w:val="24"/>
          <w:szCs w:val="24"/>
        </w:rPr>
        <w:t>viables y receptivos al polen durante al menos cinco días.</w:t>
      </w:r>
      <w:r>
        <w:rPr>
          <w:rStyle w:val="hwtze"/>
          <w:rFonts w:ascii="Arial" w:hAnsi="Arial" w:cs="Arial"/>
          <w:sz w:val="24"/>
          <w:szCs w:val="24"/>
        </w:rPr>
        <w:t xml:space="preserve"> </w:t>
      </w:r>
      <w:r>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rynqvb"/>
          <w:rFonts w:ascii="Arial" w:hAnsi="Arial" w:cs="Arial"/>
          <w:sz w:val="24"/>
          <w:szCs w:val="24"/>
        </w:rPr>
        <w:instrText>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768A223"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ampolla </w:t>
      </w:r>
    </w:p>
    <w:p w14:paraId="5420CE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R2 ocurre alrededor de 10 a 12 días después de la antesis.</w:t>
      </w:r>
      <w:r>
        <w:rPr>
          <w:rStyle w:val="hwtze"/>
          <w:rFonts w:ascii="Arial" w:hAnsi="Arial" w:cs="Arial"/>
          <w:sz w:val="24"/>
          <w:szCs w:val="24"/>
        </w:rPr>
        <w:t xml:space="preserve"> </w:t>
      </w:r>
      <w:r>
        <w:rPr>
          <w:rStyle w:val="rynqvb"/>
          <w:rFonts w:ascii="Arial" w:hAnsi="Arial" w:cs="Arial"/>
          <w:sz w:val="24"/>
          <w:szCs w:val="24"/>
        </w:rPr>
        <w:t>En este punto, el grano es visible y se parece a una ampolla y está lleno de un líquido transparente.</w:t>
      </w:r>
      <w:r>
        <w:rPr>
          <w:rStyle w:val="hwtze"/>
          <w:rFonts w:ascii="Arial" w:hAnsi="Arial" w:cs="Arial"/>
          <w:sz w:val="24"/>
          <w:szCs w:val="24"/>
        </w:rPr>
        <w:t xml:space="preserve"> </w:t>
      </w:r>
      <w:r>
        <w:rPr>
          <w:rStyle w:val="rynqvb"/>
          <w:rFonts w:ascii="Arial" w:hAnsi="Arial" w:cs="Arial"/>
          <w:sz w:val="24"/>
          <w:szCs w:val="24"/>
        </w:rPr>
        <w:t xml:space="preserve">En la etapa de ampolla, el embrión es apenas visible y contiene aproximadamente un 85 % de contenido de humedad </w:t>
      </w:r>
      <w:r>
        <w:fldChar w:fldCharType="begin"/>
      </w:r>
      <w:r>
        <w:rPr>
          <w:rStyle w:val="rynqvb"/>
          <w:rFonts w:ascii="Arial" w:hAnsi="Arial" w:cs="Arial"/>
          <w:sz w:val="24"/>
          <w:szCs w:val="24"/>
        </w:rPr>
        <w:instrText>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99F617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lechoso </w:t>
      </w:r>
    </w:p>
    <w:p w14:paraId="426ADEF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tercera etapa reproductiva (R3) ocurre aproximadamente 18-20 días después de la antesis.</w:t>
      </w:r>
      <w:r>
        <w:rPr>
          <w:rStyle w:val="hwtze"/>
          <w:rFonts w:ascii="Arial" w:hAnsi="Arial" w:cs="Arial"/>
          <w:sz w:val="24"/>
          <w:szCs w:val="24"/>
        </w:rPr>
        <w:t xml:space="preserve"> </w:t>
      </w:r>
      <w:r>
        <w:rPr>
          <w:rStyle w:val="rynqvb"/>
          <w:rFonts w:ascii="Arial" w:hAnsi="Arial" w:cs="Arial"/>
          <w:sz w:val="24"/>
          <w:szCs w:val="24"/>
        </w:rPr>
        <w:t>El grano es de color amarillo y el interior contiene un líquido blanco "lechoso".</w:t>
      </w:r>
      <w:r>
        <w:rPr>
          <w:rStyle w:val="hwtze"/>
          <w:rFonts w:ascii="Arial" w:hAnsi="Arial" w:cs="Arial"/>
          <w:sz w:val="24"/>
          <w:szCs w:val="24"/>
        </w:rPr>
        <w:t xml:space="preserve"> </w:t>
      </w:r>
      <w:r>
        <w:rPr>
          <w:rStyle w:val="rynqvb"/>
          <w:rFonts w:ascii="Arial" w:hAnsi="Arial" w:cs="Arial"/>
          <w:sz w:val="24"/>
          <w:szCs w:val="24"/>
        </w:rPr>
        <w:t xml:space="preserve">El contenido de humedad del grano es de aproximadamente 80 % y el almidón comienza a acumularse en el grano </w:t>
      </w:r>
      <w:r>
        <w:fldChar w:fldCharType="begin"/>
      </w:r>
      <w:r>
        <w:rPr>
          <w:rStyle w:val="rynqvb"/>
          <w:rFonts w:ascii="Arial" w:hAnsi="Arial" w:cs="Arial"/>
          <w:sz w:val="24"/>
          <w:szCs w:val="24"/>
        </w:rPr>
        <w:instrText>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8F836D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lastRenderedPageBreak/>
        <w:t xml:space="preserve">Etapa pastoso </w:t>
      </w:r>
    </w:p>
    <w:p w14:paraId="055CCE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(R4) ocurre aproximadamente 24-26 días después de la antesis.</w:t>
      </w:r>
      <w:r>
        <w:rPr>
          <w:rStyle w:val="hwtze"/>
          <w:rFonts w:ascii="Arial" w:hAnsi="Arial" w:cs="Arial"/>
          <w:sz w:val="24"/>
          <w:szCs w:val="24"/>
        </w:rPr>
        <w:t xml:space="preserve"> </w:t>
      </w:r>
      <w:r>
        <w:rPr>
          <w:rStyle w:val="rynqvb"/>
          <w:rFonts w:ascii="Arial" w:hAnsi="Arial" w:cs="Arial"/>
          <w:sz w:val="24"/>
          <w:szCs w:val="24"/>
        </w:rPr>
        <w:t>En este punto, el interior del grano se espesa hasta convertirse en una masa o sustancia pastosa.</w:t>
      </w:r>
      <w:r>
        <w:rPr>
          <w:rStyle w:val="hwtze"/>
          <w:rFonts w:ascii="Arial" w:hAnsi="Arial" w:cs="Arial"/>
          <w:sz w:val="24"/>
          <w:szCs w:val="24"/>
        </w:rPr>
        <w:t xml:space="preserve"> E</w:t>
      </w:r>
      <w:r>
        <w:rPr>
          <w:rStyle w:val="rynqvb"/>
          <w:rFonts w:ascii="Arial" w:hAnsi="Arial" w:cs="Arial"/>
          <w:sz w:val="24"/>
          <w:szCs w:val="24"/>
        </w:rPr>
        <w:t xml:space="preserve">l contenido de humedad del grano es de aproximadamente 70 % </w:t>
      </w:r>
      <w:r>
        <w:fldChar w:fldCharType="begin"/>
      </w:r>
      <w:r>
        <w:rPr>
          <w:rStyle w:val="rynqvb"/>
          <w:rFonts w:ascii="Arial" w:hAnsi="Arial" w:cs="Arial"/>
          <w:sz w:val="24"/>
          <w:szCs w:val="24"/>
        </w:rPr>
        <w:instrText>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El grano está abollado en la parte superior debido a la acumulación de almidón y representa aproximadamente la mitad de la masa seca. </w:t>
      </w:r>
    </w:p>
    <w:p w14:paraId="545D1477"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dentado </w:t>
      </w:r>
    </w:p>
    <w:p w14:paraId="11E70DD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dentada (R5) los granos tienen un contenido de humedad del 60 % y el estrés reduce la masa del grano en este momento.</w:t>
      </w:r>
      <w:r>
        <w:rPr>
          <w:rStyle w:val="hwtze"/>
          <w:rFonts w:ascii="Arial" w:hAnsi="Arial" w:cs="Arial"/>
          <w:sz w:val="24"/>
          <w:szCs w:val="24"/>
        </w:rPr>
        <w:t xml:space="preserve"> O</w:t>
      </w:r>
      <w:r>
        <w:rPr>
          <w:rStyle w:val="rynqvb"/>
          <w:rFonts w:ascii="Arial" w:hAnsi="Arial" w:cs="Arial"/>
          <w:sz w:val="24"/>
          <w:szCs w:val="24"/>
        </w:rPr>
        <w:t>curre aproximadamente 31-33 días después de la antesis.</w:t>
      </w:r>
      <w:r>
        <w:rPr>
          <w:rStyle w:val="hwtze"/>
          <w:rFonts w:ascii="Arial" w:hAnsi="Arial" w:cs="Arial"/>
          <w:sz w:val="24"/>
          <w:szCs w:val="24"/>
        </w:rPr>
        <w:t xml:space="preserve"> </w:t>
      </w:r>
      <w:r>
        <w:rPr>
          <w:rStyle w:val="rynqvb"/>
          <w:rFonts w:ascii="Arial" w:hAnsi="Arial" w:cs="Arial"/>
          <w:sz w:val="24"/>
          <w:szCs w:val="24"/>
        </w:rPr>
        <w:t>Los granos están dentados en la parte superior con la "línea de leche" que separa las porciones líquidas y sólidas (almidón)</w:t>
      </w:r>
      <w:r>
        <w:rPr>
          <w:rStyle w:val="hwtze"/>
          <w:rFonts w:ascii="Arial" w:hAnsi="Arial" w:cs="Arial"/>
          <w:sz w:val="24"/>
          <w:szCs w:val="24"/>
        </w:rPr>
        <w:t xml:space="preserve"> </w:t>
      </w:r>
      <w:r>
        <w:fldChar w:fldCharType="begin"/>
      </w:r>
      <w:r>
        <w:rPr>
          <w:rStyle w:val="rynqvb"/>
          <w:rFonts w:ascii="Arial" w:hAnsi="Arial" w:cs="Arial"/>
          <w:sz w:val="24"/>
          <w:szCs w:val="24"/>
        </w:rPr>
        <w:instrText>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6809FD0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Madurez fisiológica </w:t>
      </w:r>
    </w:p>
    <w:p w14:paraId="623D5AF9"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fldChar w:fldCharType="begin"/>
      </w:r>
      <w:r>
        <w:rPr>
          <w:rStyle w:val="rynqvb"/>
          <w:rFonts w:ascii="Arial" w:hAnsi="Arial" w:cs="Arial"/>
          <w:sz w:val="24"/>
          <w:szCs w:val="24"/>
        </w:rPr>
        <w:instrText>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“capa negra” ocurre después de la madurez fisiológica y sirve como verificación visual de que el grano está maduro.</w:t>
      </w:r>
      <w:r>
        <w:rPr>
          <w:rStyle w:val="hwtze"/>
          <w:rFonts w:ascii="Arial" w:hAnsi="Arial" w:cs="Arial"/>
          <w:sz w:val="24"/>
          <w:szCs w:val="24"/>
        </w:rPr>
        <w:t xml:space="preserve"> </w:t>
      </w:r>
      <w:r>
        <w:rPr>
          <w:rStyle w:val="rynqvb"/>
          <w:rFonts w:ascii="Arial" w:hAnsi="Arial" w:cs="Arial"/>
          <w:sz w:val="24"/>
          <w:szCs w:val="24"/>
        </w:rPr>
        <w:t xml:space="preserve">El número de días necesarios para alcanzar la madurez depende del lugar, la fecha de siembra y el clima al que se somete la planta en una temporada de crecimiento particular </w:t>
      </w:r>
      <w:r>
        <w:fldChar w:fldCharType="begin"/>
      </w:r>
      <w:r>
        <w:rPr>
          <w:rStyle w:val="rynqvb"/>
          <w:rFonts w:ascii="Arial" w:hAnsi="Arial" w:cs="Arial"/>
          <w:sz w:val="24"/>
          <w:szCs w:val="24"/>
        </w:rPr>
        <w:instrText>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(Vanderlip y Fjell, 2007)</w:t>
      </w:r>
      <w:r>
        <w:rPr>
          <w:rStyle w:val="rynqvb"/>
          <w:rFonts w:ascii="Arial" w:hAnsi="Arial" w:cs="Arial"/>
          <w:sz w:val="24"/>
          <w:szCs w:val="24"/>
        </w:rPr>
        <w:fldChar w:fldCharType="end"/>
      </w:r>
      <w:r>
        <w:rPr>
          <w:rStyle w:val="rynqvb"/>
          <w:rFonts w:ascii="Arial" w:hAnsi="Arial" w:cs="Arial"/>
          <w:sz w:val="24"/>
          <w:szCs w:val="24"/>
        </w:rPr>
        <w:t>.</w:t>
      </w:r>
    </w:p>
    <w:p w14:paraId="66D7E356" w14:textId="77777777" w:rsidR="000630B1" w:rsidRDefault="000630B1" w:rsidP="000630B1">
      <w:pPr>
        <w:pStyle w:val="Ttulo2"/>
        <w:spacing w:before="0" w:line="480" w:lineRule="auto"/>
        <w:rPr>
          <w:rStyle w:val="rynqvb"/>
          <w:rFonts w:cs="Arial"/>
          <w:color w:val="000000" w:themeColor="text1"/>
          <w:szCs w:val="24"/>
        </w:rPr>
      </w:pPr>
      <w:bookmarkStart w:id="11" w:name="_Toc148350398"/>
      <w:bookmarkStart w:id="12" w:name="_Toc138712728"/>
      <w:r>
        <w:rPr>
          <w:rStyle w:val="rynqvb"/>
          <w:rFonts w:cs="Arial"/>
          <w:color w:val="000000" w:themeColor="text1"/>
          <w:szCs w:val="24"/>
        </w:rPr>
        <w:t>1.7 Manejo del cultivo</w:t>
      </w:r>
      <w:bookmarkEnd w:id="11"/>
      <w:bookmarkEnd w:id="12"/>
    </w:p>
    <w:p w14:paraId="03395521" w14:textId="77777777" w:rsidR="000630B1" w:rsidRDefault="000630B1" w:rsidP="000630B1">
      <w:pPr>
        <w:pStyle w:val="Ttulo3"/>
        <w:spacing w:before="0" w:line="480" w:lineRule="auto"/>
        <w:rPr>
          <w:rStyle w:val="rynqvb"/>
          <w:rFonts w:cs="Arial"/>
          <w:b/>
          <w:color w:val="000000" w:themeColor="text1"/>
        </w:rPr>
      </w:pPr>
      <w:bookmarkStart w:id="13" w:name="_Toc148350399"/>
      <w:bookmarkStart w:id="14" w:name="_Toc138712729"/>
      <w:r>
        <w:rPr>
          <w:rStyle w:val="rynqvb"/>
          <w:rFonts w:cs="Arial"/>
          <w:color w:val="000000" w:themeColor="text1"/>
        </w:rPr>
        <w:t>1.7.1 Época de siembra</w:t>
      </w:r>
      <w:bookmarkEnd w:id="13"/>
      <w:bookmarkEnd w:id="14"/>
      <w:r>
        <w:rPr>
          <w:rStyle w:val="rynqvb"/>
          <w:rFonts w:cs="Arial"/>
          <w:color w:val="000000" w:themeColor="text1"/>
        </w:rPr>
        <w:t xml:space="preserve"> </w:t>
      </w:r>
    </w:p>
    <w:p w14:paraId="4983824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Es importante tener en cuenta los objetivos de la producción, si es para grano seco o maíz tierno. Para el caso de grano seco hay que considerar que la siembra se </w:t>
      </w:r>
      <w:r>
        <w:rPr>
          <w:rStyle w:val="rynqvb"/>
          <w:rFonts w:ascii="Arial" w:hAnsi="Arial" w:cs="Arial"/>
          <w:sz w:val="24"/>
          <w:szCs w:val="24"/>
        </w:rPr>
        <w:lastRenderedPageBreak/>
        <w:t xml:space="preserve">realice en un momento que garantice la cosecha en condiciones de baja humedad ambiental. La disponibilidad de riego determina también la selección de las fechas de siembra </w:t>
      </w:r>
      <w:r>
        <w:fldChar w:fldCharType="begin"/>
      </w:r>
      <w:r>
        <w:rPr>
          <w:rStyle w:val="rynqvb"/>
          <w:rFonts w:ascii="Arial" w:hAnsi="Arial" w:cs="Arial"/>
          <w:sz w:val="24"/>
          <w:szCs w:val="24"/>
        </w:rPr>
        <w:instrText>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55295C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ascii="Arial" w:hAnsi="Arial" w:cs="Arial"/>
          <w:sz w:val="24"/>
          <w:szCs w:val="24"/>
        </w:rPr>
        <w:instrText>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2EC0E86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ascii="Arial" w:hAnsi="Arial" w:cs="Arial"/>
          <w:sz w:val="24"/>
          <w:szCs w:val="24"/>
        </w:rPr>
        <w:instrText>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39A1C0DE"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Es importante la preparación del suelo y manejo de arvenses para un crecimiento exitoso del cultivo. Se recomiendan distancias de 75 a 90 cm entre los surcos y 20 a 30 cm entre plantas para lograr la población deseada.</w:t>
      </w:r>
      <w:r>
        <w:rPr>
          <w:rStyle w:val="hwtze"/>
          <w:rFonts w:ascii="Arial" w:hAnsi="Arial" w:cs="Arial"/>
          <w:sz w:val="24"/>
          <w:szCs w:val="24"/>
        </w:rPr>
        <w:t xml:space="preserve"> </w:t>
      </w:r>
      <w:r>
        <w:rPr>
          <w:rStyle w:val="rynqvb"/>
          <w:rFonts w:ascii="Arial" w:hAnsi="Arial" w:cs="Arial"/>
          <w:sz w:val="24"/>
          <w:szCs w:val="24"/>
        </w:rPr>
        <w:t xml:space="preserve">La profundidad de plantación es generalmente de 5 a 8 cm, pero esto puede variar según el estado de humedad del suelo </w:t>
      </w:r>
      <w:r>
        <w:fldChar w:fldCharType="begin"/>
      </w:r>
      <w:r>
        <w:rPr>
          <w:rStyle w:val="rynqvb"/>
          <w:rFonts w:ascii="Arial" w:hAnsi="Arial" w:cs="Arial"/>
          <w:sz w:val="24"/>
          <w:szCs w:val="24"/>
        </w:rPr>
        <w:instrText>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0D70D6A0" w14:textId="77777777" w:rsidR="000630B1" w:rsidRDefault="000630B1" w:rsidP="000630B1">
      <w:pPr>
        <w:pStyle w:val="Ttulo3"/>
        <w:spacing w:before="0" w:line="480" w:lineRule="auto"/>
        <w:rPr>
          <w:rStyle w:val="rynqvb"/>
          <w:rFonts w:cs="Arial"/>
          <w:b/>
          <w:color w:val="000000" w:themeColor="text1"/>
        </w:rPr>
      </w:pPr>
      <w:bookmarkStart w:id="15" w:name="_Toc148350400"/>
      <w:bookmarkStart w:id="16" w:name="_Toc138712730"/>
      <w:r>
        <w:rPr>
          <w:rStyle w:val="rynqvb"/>
          <w:rFonts w:cs="Arial"/>
          <w:color w:val="000000" w:themeColor="text1"/>
        </w:rPr>
        <w:t>1.7.2 Siembra</w:t>
      </w:r>
      <w:bookmarkEnd w:id="15"/>
      <w:bookmarkEnd w:id="16"/>
      <w:r>
        <w:rPr>
          <w:rStyle w:val="rynqvb"/>
          <w:rFonts w:cs="Arial"/>
          <w:color w:val="000000" w:themeColor="text1"/>
        </w:rPr>
        <w:t xml:space="preserve"> </w:t>
      </w:r>
    </w:p>
    <w:p w14:paraId="3CE660A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w:t>
      </w:r>
      <w:r>
        <w:rPr>
          <w:rStyle w:val="rynqvb"/>
          <w:rFonts w:ascii="Arial" w:hAnsi="Arial" w:cs="Arial"/>
          <w:sz w:val="24"/>
          <w:szCs w:val="24"/>
        </w:rPr>
        <w:lastRenderedPageBreak/>
        <w:t xml:space="preserve">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ascii="Arial" w:hAnsi="Arial" w:cs="Arial"/>
          <w:sz w:val="24"/>
          <w:szCs w:val="24"/>
        </w:rPr>
        <w:instrText>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6D17177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uniformidad en la profundidad de siembra y del tamaño de la semilla son de gran importancia para lograr una emergencia uniforme y evitar atrasos en el desarrollo de las plantas.  </w:t>
      </w:r>
    </w:p>
    <w:p w14:paraId="29ED56C1" w14:textId="77777777" w:rsidR="000630B1" w:rsidRDefault="000630B1" w:rsidP="000630B1">
      <w:pPr>
        <w:pStyle w:val="Ttulo3"/>
        <w:spacing w:before="0" w:line="480" w:lineRule="auto"/>
        <w:rPr>
          <w:rStyle w:val="rynqvb"/>
          <w:rFonts w:cs="Arial"/>
          <w:b/>
          <w:color w:val="000000" w:themeColor="text1"/>
        </w:rPr>
      </w:pPr>
      <w:bookmarkStart w:id="17" w:name="_Toc148350401"/>
      <w:bookmarkStart w:id="18" w:name="_Toc138712731"/>
      <w:commentRangeStart w:id="19"/>
      <w:r>
        <w:rPr>
          <w:rStyle w:val="rynqvb"/>
          <w:rFonts w:cs="Arial"/>
          <w:color w:val="000000" w:themeColor="text1"/>
        </w:rPr>
        <w:t>1.7.3 Fertilización</w:t>
      </w:r>
      <w:bookmarkEnd w:id="17"/>
      <w:bookmarkEnd w:id="18"/>
      <w:commentRangeEnd w:id="19"/>
      <w:r>
        <w:commentReference w:id="19"/>
      </w:r>
    </w:p>
    <w:p w14:paraId="1125E815"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Con relación a la fertilización este cultivo consume aproximadamente de 100 a 150 kg ha</w:t>
      </w:r>
      <w:r>
        <w:rPr>
          <w:rFonts w:ascii="Arial" w:hAnsi="Arial" w:cs="Arial"/>
          <w:sz w:val="24"/>
          <w:szCs w:val="24"/>
          <w:vertAlign w:val="superscript"/>
        </w:rPr>
        <w:t>-1</w:t>
      </w:r>
      <w:r>
        <w:rPr>
          <w:rFonts w:ascii="Arial" w:hAnsi="Arial" w:cs="Arial"/>
          <w:sz w:val="24"/>
          <w:szCs w:val="24"/>
        </w:rPr>
        <w:t xml:space="preserve"> de N para producir unas cinco t ha</w:t>
      </w:r>
      <w:r>
        <w:rPr>
          <w:rFonts w:ascii="Arial" w:hAnsi="Arial" w:cs="Arial"/>
          <w:sz w:val="24"/>
          <w:szCs w:val="24"/>
          <w:vertAlign w:val="superscript"/>
        </w:rPr>
        <w:t>-1</w:t>
      </w:r>
      <w:r>
        <w:rPr>
          <w:rFonts w:ascii="Arial" w:hAnsi="Arial" w:cs="Arial"/>
          <w:sz w:val="24"/>
          <w:szCs w:val="24"/>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ascii="Arial" w:hAnsi="Arial" w:cs="Arial"/>
          <w:sz w:val="24"/>
          <w:szCs w:val="24"/>
        </w:rPr>
        <w:instrText>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 xml:space="preserve"> </w:t>
      </w:r>
      <w:r>
        <w:rPr>
          <w:rFonts w:ascii="Arial" w:hAnsi="Arial" w:cs="Arial"/>
          <w:color w:val="FF0000"/>
          <w:sz w:val="24"/>
          <w:szCs w:val="24"/>
        </w:rPr>
        <w:t>más bibliografía</w:t>
      </w:r>
      <w:r>
        <w:rPr>
          <w:rFonts w:ascii="Arial" w:hAnsi="Arial" w:cs="Arial"/>
          <w:sz w:val="24"/>
          <w:szCs w:val="24"/>
        </w:rPr>
        <w:t xml:space="preserve">. </w:t>
      </w:r>
    </w:p>
    <w:p w14:paraId="7645296B"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ascii="Arial" w:hAnsi="Arial" w:cs="Arial"/>
          <w:sz w:val="24"/>
          <w:szCs w:val="24"/>
        </w:rPr>
        <w:instrText>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w:t>
      </w:r>
    </w:p>
    <w:p w14:paraId="46396403" w14:textId="77777777" w:rsidR="000630B1" w:rsidRDefault="000630B1" w:rsidP="000630B1">
      <w:pPr>
        <w:spacing w:after="0" w:line="480" w:lineRule="auto"/>
        <w:jc w:val="both"/>
        <w:rPr>
          <w:rFonts w:ascii="Arial" w:hAnsi="Arial" w:cs="Arial"/>
          <w:b/>
          <w:color w:val="000000" w:themeColor="text1"/>
          <w:sz w:val="24"/>
          <w:szCs w:val="24"/>
        </w:rPr>
      </w:pPr>
      <w:r>
        <w:rPr>
          <w:rStyle w:val="rynqvb"/>
          <w:rFonts w:ascii="Arial" w:hAnsi="Arial" w:cs="Arial"/>
          <w:b/>
          <w:color w:val="000000" w:themeColor="text1"/>
          <w:sz w:val="24"/>
          <w:szCs w:val="24"/>
        </w:rPr>
        <w:t xml:space="preserve">1.7.4 </w:t>
      </w:r>
      <w:r>
        <w:rPr>
          <w:rFonts w:ascii="Arial" w:hAnsi="Arial" w:cs="Arial"/>
          <w:b/>
          <w:bCs/>
          <w:color w:val="000000" w:themeColor="text1"/>
          <w:sz w:val="24"/>
          <w:szCs w:val="24"/>
        </w:rPr>
        <w:t xml:space="preserve">Riego </w:t>
      </w:r>
    </w:p>
    <w:p w14:paraId="22BE9F82" w14:textId="77777777" w:rsidR="000630B1" w:rsidRDefault="000630B1" w:rsidP="000630B1">
      <w:pPr>
        <w:pStyle w:val="Default"/>
        <w:spacing w:line="480" w:lineRule="auto"/>
        <w:jc w:val="both"/>
        <w:rPr>
          <w:color w:val="auto"/>
        </w:rPr>
      </w:pPr>
      <w:r>
        <w:rPr>
          <w:color w:val="auto"/>
        </w:rPr>
        <w:lastRenderedPageBreak/>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rPr>
          <w:color w:val="auto"/>
        </w:rPr>
        <w:t xml:space="preserve">(Santiago </w:t>
      </w:r>
      <w:r>
        <w:rPr>
          <w:i/>
          <w:color w:val="auto"/>
        </w:rPr>
        <w:t>et al</w:t>
      </w:r>
      <w:r>
        <w:rPr>
          <w:color w:val="auto"/>
        </w:rPr>
        <w:t>., 2022)</w:t>
      </w:r>
      <w:r>
        <w:rPr>
          <w:color w:val="auto"/>
        </w:rPr>
        <w:fldChar w:fldCharType="end"/>
      </w:r>
      <w:r>
        <w:rPr>
          <w:color w:val="auto"/>
        </w:rPr>
        <w:t>.</w:t>
      </w:r>
    </w:p>
    <w:p w14:paraId="05F9FE98" w14:textId="77777777" w:rsidR="000630B1" w:rsidRDefault="000630B1" w:rsidP="000630B1">
      <w:pPr>
        <w:pStyle w:val="Ttulo2"/>
        <w:spacing w:before="0" w:line="480" w:lineRule="auto"/>
        <w:rPr>
          <w:rStyle w:val="rynqvb"/>
          <w:rFonts w:cs="Arial"/>
          <w:szCs w:val="24"/>
        </w:rPr>
      </w:pPr>
      <w:bookmarkStart w:id="20" w:name="_Toc148350402"/>
      <w:bookmarkStart w:id="21" w:name="_Toc138712732"/>
      <w:r>
        <w:rPr>
          <w:rStyle w:val="rynqvb"/>
          <w:rFonts w:cs="Arial"/>
          <w:szCs w:val="24"/>
        </w:rPr>
        <w:t>1.8 Factores que afectan el crecimiento del maíz</w:t>
      </w:r>
      <w:bookmarkEnd w:id="20"/>
      <w:bookmarkEnd w:id="21"/>
    </w:p>
    <w:p w14:paraId="62A8C1D1"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cultivo de maíz, es de crecimiento rápido, tiene un mayor rendimiento con temperaturas moderadas y un suministro abundante de agua.</w:t>
      </w:r>
      <w:r>
        <w:rPr>
          <w:rStyle w:val="hwtze"/>
          <w:rFonts w:ascii="Arial" w:hAnsi="Arial" w:cs="Arial"/>
          <w:sz w:val="24"/>
          <w:szCs w:val="24"/>
        </w:rPr>
        <w:t xml:space="preserve"> </w:t>
      </w:r>
      <w:r>
        <w:rPr>
          <w:rStyle w:val="rynqvb"/>
          <w:rFonts w:ascii="Arial" w:hAnsi="Arial" w:cs="Arial"/>
          <w:sz w:val="24"/>
          <w:szCs w:val="24"/>
        </w:rPr>
        <w:t>La temperatura diurna ideal para el crecimiento normal del maíz debe ser de 26 °C a 30 °C, pero se pueden tolerar temperaturas más altas con la aplicación de riego.</w:t>
      </w:r>
      <w:r>
        <w:rPr>
          <w:rStyle w:val="hwtze"/>
          <w:rFonts w:ascii="Arial" w:hAnsi="Arial" w:cs="Arial"/>
          <w:sz w:val="24"/>
          <w:szCs w:val="24"/>
        </w:rPr>
        <w:t xml:space="preserve"> </w:t>
      </w:r>
    </w:p>
    <w:p w14:paraId="7F205C64"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ascii="Arial" w:hAnsi="Arial" w:cs="Arial"/>
          <w:sz w:val="24"/>
          <w:szCs w:val="24"/>
        </w:rPr>
        <w:instrText>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(Muchow y Davis, 1988; Fageria, 2007)</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78576FF" w14:textId="77777777" w:rsidR="000630B1" w:rsidRDefault="000630B1" w:rsidP="000630B1">
      <w:pPr>
        <w:pStyle w:val="Default"/>
        <w:spacing w:line="480" w:lineRule="auto"/>
        <w:jc w:val="both"/>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w:t>
      </w:r>
      <w:r>
        <w:rPr>
          <w:color w:val="auto"/>
        </w:rPr>
        <w:lastRenderedPageBreak/>
        <w:t xml:space="preserve">afectado si se produce sequía en este período. Durante el llenado de granos, el principal efecto de la sequía es reducir el tamaño de estos </w:t>
      </w:r>
      <w:r>
        <w:fldChar w:fldCharType="begin"/>
      </w:r>
      <w:r>
        <w:rPr>
          <w:color w:val="auto"/>
        </w:rPr>
        <w:instrText>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rPr>
          <w:color w:val="auto"/>
        </w:rPr>
        <w:t>(Giménez, 2012)</w:t>
      </w:r>
      <w:r>
        <w:rPr>
          <w:color w:val="auto"/>
        </w:rPr>
        <w:fldChar w:fldCharType="end"/>
      </w:r>
      <w:r>
        <w:rPr>
          <w:color w:val="auto"/>
        </w:rPr>
        <w:t>.</w:t>
      </w:r>
    </w:p>
    <w:p w14:paraId="7632C21D" w14:textId="77777777" w:rsidR="000630B1" w:rsidRDefault="000630B1" w:rsidP="000630B1">
      <w:pPr>
        <w:pStyle w:val="Default"/>
        <w:spacing w:line="480" w:lineRule="auto"/>
        <w:jc w:val="both"/>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144DDC8E" w14:textId="77777777" w:rsidR="000630B1" w:rsidRDefault="000630B1" w:rsidP="000630B1">
      <w:pPr>
        <w:rPr>
          <w:rFonts w:ascii="Arial" w:hAnsi="Arial" w:cs="Arial"/>
          <w:sz w:val="24"/>
        </w:rPr>
      </w:pPr>
    </w:p>
    <w:p w14:paraId="0A12FD8B" w14:textId="77777777" w:rsidR="000630B1" w:rsidRDefault="000630B1" w:rsidP="000630B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aplicación del biofertilizantes EcoMic® en el cultivar de maíz.</w:t>
      </w:r>
    </w:p>
    <w:p w14:paraId="15957BB1" w14:textId="77777777" w:rsidR="000630B1" w:rsidRPr="0070358D" w:rsidRDefault="000630B1" w:rsidP="000630B1">
      <w:pPr>
        <w:pStyle w:val="Default"/>
        <w:spacing w:line="480" w:lineRule="auto"/>
        <w:jc w:val="both"/>
        <w:rPr>
          <w:color w:val="auto"/>
        </w:rPr>
      </w:pPr>
      <w:r w:rsidRPr="0070358D">
        <w:rPr>
          <w:color w:val="auto"/>
        </w:rPr>
        <w:t>En la actualidad en Cuba se hace necesario la utilización de biofertilizantes basados en hongos micorrízico arbusculares (HMA), debido a la poca existencia de fertilizante químico y la necesidad de garantizar rendimientos altos y son reconocidos por incrementar la producción agrícola de modo sustentable de forma ecológica (entreun 15 y 50%). ( Ramón, Ilen)</w:t>
      </w:r>
    </w:p>
    <w:p w14:paraId="22B6DFA3" w14:textId="77777777" w:rsidR="000630B1" w:rsidRPr="0070358D" w:rsidRDefault="000630B1" w:rsidP="000630B1">
      <w:pPr>
        <w:pStyle w:val="Default"/>
        <w:spacing w:line="480" w:lineRule="auto"/>
        <w:jc w:val="both"/>
        <w:rPr>
          <w:color w:val="auto"/>
        </w:rPr>
      </w:pPr>
      <w:r w:rsidRPr="0070358D">
        <w:rPr>
          <w:color w:val="auto"/>
        </w:rPr>
        <w:t>El uso de biofertilizantes y productos bioactivos es una práctica común en la agricultura actual, entre los principales beneficios del EcoMic® se debe mencionar el aumento de la capacidad de absorción del sistema radical fundamentalmente en suelos tropicales deficientes en fósforo asimilable, permiten absorberagua a potenciales más bajos que los pelosra dicales, mejoran las propiedades físicas, aumentan la formación de agregados y aumenta la tolerancia a metales pesados y patógenos radicales. (Gertrudis, Roselys).</w:t>
      </w:r>
    </w:p>
    <w:p w14:paraId="5CAE3BBE" w14:textId="77777777" w:rsidR="000630B1" w:rsidRPr="0070358D" w:rsidRDefault="000630B1" w:rsidP="000630B1">
      <w:pPr>
        <w:pStyle w:val="Default"/>
        <w:spacing w:line="480" w:lineRule="auto"/>
        <w:jc w:val="both"/>
        <w:rPr>
          <w:color w:val="auto"/>
        </w:rPr>
      </w:pPr>
      <w:r w:rsidRPr="0070358D">
        <w:rPr>
          <w:color w:val="auto"/>
        </w:rPr>
        <w:t xml:space="preserve">Debido a la importancia del cultivo del maíz y la necesidad de hacer un uso racional de los recursos; suelo, agua, biofertilizante EcoMic® para obtener rendimientos </w:t>
      </w:r>
      <w:r w:rsidRPr="0070358D">
        <w:rPr>
          <w:color w:val="auto"/>
        </w:rPr>
        <w:lastRenderedPageBreak/>
        <w:t>altos, se requiere realizar simulaciones que estimen la mejor combinación de estos recursos.</w:t>
      </w:r>
    </w:p>
    <w:p w14:paraId="2336C576"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modelos de simulación de cultivos</w:t>
      </w:r>
    </w:p>
    <w:p w14:paraId="074206C1" w14:textId="77777777" w:rsidR="000630B1" w:rsidRDefault="000630B1" w:rsidP="000630B1">
      <w:pPr>
        <w:spacing w:after="0" w:line="360" w:lineRule="auto"/>
        <w:jc w:val="both"/>
        <w:rPr>
          <w:rFonts w:ascii="Arial" w:hAnsi="Arial" w:cs="Arial"/>
          <w:color w:val="C00000"/>
          <w:sz w:val="24"/>
          <w:szCs w:val="24"/>
        </w:rPr>
      </w:pPr>
    </w:p>
    <w:p w14:paraId="0B09C726" w14:textId="77777777" w:rsidR="000630B1" w:rsidRDefault="000630B1" w:rsidP="000630B1">
      <w:pPr>
        <w:pStyle w:val="Default"/>
        <w:spacing w:line="480" w:lineRule="auto"/>
        <w:jc w:val="both"/>
        <w:rPr>
          <w:color w:val="auto"/>
        </w:rPr>
      </w:pPr>
      <w:r>
        <w:rPr>
          <w:color w:val="auto"/>
        </w:rPr>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fldChar w:fldCharType="begin"/>
      </w:r>
      <w:r>
        <w:rPr>
          <w:color w:val="auto"/>
        </w:rPr>
        <w:instrText>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rPr>
          <w:color w:val="auto"/>
        </w:rPr>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1129B6A7" w14:textId="77777777" w:rsidR="000630B1" w:rsidRDefault="000630B1" w:rsidP="000630B1">
      <w:pPr>
        <w:spacing w:after="0" w:line="360" w:lineRule="auto"/>
        <w:jc w:val="both"/>
        <w:rPr>
          <w:rFonts w:ascii="Arial" w:hAnsi="Arial" w:cs="Arial"/>
          <w:color w:val="C00000"/>
          <w:sz w:val="24"/>
          <w:szCs w:val="24"/>
        </w:rPr>
      </w:pPr>
    </w:p>
    <w:p w14:paraId="0850E0D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 modelo de cultivo representa, de manera sencilla y sintética, los procesos fisiológicos y ecológicos del crecimiento y desarrollo de las plantas utilizando ecuaciones matemáticas </w:t>
      </w:r>
      <w:r>
        <w:fldChar w:fldCharType="begin"/>
      </w:r>
      <w:r>
        <w:rPr>
          <w:rFonts w:ascii="Arial" w:hAnsi="Arial" w:cs="Arial"/>
          <w:sz w:val="24"/>
          <w:szCs w:val="24"/>
        </w:rPr>
        <w:instrText>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(Gálvez </w:t>
      </w:r>
      <w:r>
        <w:rPr>
          <w:rFonts w:ascii="Arial" w:hAnsi="Arial" w:cs="Arial"/>
          <w:i/>
          <w:sz w:val="24"/>
          <w:szCs w:val="24"/>
        </w:rPr>
        <w:t>et al</w:t>
      </w:r>
      <w:r>
        <w:rPr>
          <w:rFonts w:ascii="Arial" w:hAnsi="Arial" w:cs="Arial"/>
          <w:sz w:val="24"/>
          <w:szCs w:val="24"/>
        </w:rPr>
        <w:t>., 2010)</w:t>
      </w:r>
      <w:r>
        <w:rPr>
          <w:rFonts w:ascii="Arial" w:hAnsi="Arial" w:cs="Arial"/>
          <w:sz w:val="24"/>
          <w:szCs w:val="24"/>
        </w:rPr>
        <w:fldChar w:fldCharType="end"/>
      </w:r>
      <w:r>
        <w:rPr>
          <w:rFonts w:ascii="Arial" w:hAnsi="Arial" w:cs="Arial"/>
          <w:sz w:val="24"/>
          <w:szCs w:val="24"/>
        </w:rPr>
        <w:t>.</w:t>
      </w:r>
    </w:p>
    <w:p w14:paraId="21CE461D" w14:textId="77777777" w:rsidR="000630B1" w:rsidRDefault="000630B1" w:rsidP="000630B1">
      <w:pPr>
        <w:spacing w:after="0" w:line="360" w:lineRule="auto"/>
        <w:jc w:val="both"/>
        <w:rPr>
          <w:rFonts w:ascii="Arial" w:hAnsi="Arial" w:cs="Arial"/>
          <w:sz w:val="24"/>
          <w:szCs w:val="24"/>
        </w:rPr>
      </w:pPr>
    </w:p>
    <w:p w14:paraId="01648E3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ascii="Arial" w:hAnsi="Arial" w:cs="Arial"/>
          <w:sz w:val="24"/>
          <w:szCs w:val="24"/>
        </w:rPr>
        <w:instrText>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ascii="Arial" w:hAnsi="Arial" w:cs="Arial"/>
          <w:sz w:val="24"/>
          <w:szCs w:val="24"/>
        </w:rPr>
        <w:fldChar w:fldCharType="separate"/>
      </w:r>
      <w:r>
        <w:rPr>
          <w:rFonts w:ascii="Arial" w:hAnsi="Arial" w:cs="Arial"/>
          <w:sz w:val="24"/>
        </w:rPr>
        <w:t>(Murthy, 2011)</w:t>
      </w:r>
      <w:r>
        <w:rPr>
          <w:rFonts w:ascii="Arial" w:hAnsi="Arial" w:cs="Arial"/>
          <w:sz w:val="24"/>
          <w:szCs w:val="24"/>
        </w:rPr>
        <w:fldChar w:fldCharType="end"/>
      </w:r>
      <w:r>
        <w:rPr>
          <w:rFonts w:ascii="Arial" w:hAnsi="Arial" w:cs="Arial"/>
          <w:sz w:val="24"/>
          <w:szCs w:val="24"/>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w:t>
      </w:r>
      <w:r>
        <w:rPr>
          <w:rFonts w:ascii="Arial" w:hAnsi="Arial" w:cs="Arial"/>
          <w:sz w:val="24"/>
          <w:szCs w:val="24"/>
        </w:rPr>
        <w:lastRenderedPageBreak/>
        <w:t xml:space="preserve">desarrollo de estos y sus rendimientos; durante tres décadas esos modelos se han aplicado, fundamentalmente, en países de clima templado por los beneficios que aportan. </w:t>
      </w:r>
    </w:p>
    <w:p w14:paraId="09B1B3D9" w14:textId="77777777" w:rsidR="000630B1" w:rsidRDefault="000630B1" w:rsidP="000630B1">
      <w:pPr>
        <w:spacing w:after="0" w:line="360" w:lineRule="auto"/>
        <w:jc w:val="both"/>
        <w:rPr>
          <w:color w:val="C00000"/>
          <w:sz w:val="23"/>
          <w:szCs w:val="23"/>
        </w:rPr>
      </w:pPr>
    </w:p>
    <w:p w14:paraId="014D3EB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0B6B97E9" w14:textId="77777777" w:rsidR="000630B1" w:rsidRDefault="000630B1" w:rsidP="000630B1">
      <w:pPr>
        <w:spacing w:after="0" w:line="360" w:lineRule="auto"/>
        <w:jc w:val="both"/>
        <w:rPr>
          <w:rFonts w:ascii="Arial" w:hAnsi="Arial" w:cs="Arial"/>
          <w:color w:val="C00000"/>
          <w:sz w:val="24"/>
          <w:szCs w:val="24"/>
        </w:rPr>
      </w:pPr>
    </w:p>
    <w:p w14:paraId="39AF81E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ascii="Arial" w:hAnsi="Arial" w:cs="Arial"/>
          <w:sz w:val="24"/>
          <w:szCs w:val="24"/>
        </w:rPr>
        <w:instrText>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w:instrText>
      </w:r>
      <w:r>
        <w:rPr>
          <w:rFonts w:ascii="Arial" w:hAnsi="Arial" w:cs="Arial"/>
          <w:sz w:val="24"/>
          <w:szCs w:val="24"/>
        </w:rPr>
        <w:fldChar w:fldCharType="separate"/>
      </w:r>
      <w:r>
        <w:rPr>
          <w:rFonts w:ascii="Arial" w:hAnsi="Arial" w:cs="Arial"/>
          <w:sz w:val="24"/>
        </w:rPr>
        <w:t>(Barrett y Nearing, 1998)</w:t>
      </w:r>
      <w:r>
        <w:rPr>
          <w:rFonts w:ascii="Arial" w:hAnsi="Arial" w:cs="Arial"/>
          <w:sz w:val="24"/>
          <w:szCs w:val="24"/>
        </w:rPr>
        <w:fldChar w:fldCharType="end"/>
      </w:r>
      <w:r>
        <w:rPr>
          <w:rFonts w:ascii="Arial" w:hAnsi="Arial" w:cs="Arial"/>
          <w:sz w:val="24"/>
          <w:szCs w:val="24"/>
        </w:rPr>
        <w:t xml:space="preserve">. </w:t>
      </w:r>
    </w:p>
    <w:p w14:paraId="1D18383E"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ascii="Arial" w:hAnsi="Arial" w:cs="Arial"/>
          <w:sz w:val="24"/>
          <w:szCs w:val="24"/>
        </w:rPr>
        <w:instrText>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ascii="Arial" w:hAnsi="Arial" w:cs="Arial"/>
          <w:sz w:val="24"/>
          <w:szCs w:val="24"/>
        </w:rPr>
        <w:fldChar w:fldCharType="separate"/>
      </w:r>
      <w:r>
        <w:rPr>
          <w:rFonts w:ascii="Arial" w:hAnsi="Arial" w:cs="Arial"/>
          <w:sz w:val="24"/>
        </w:rPr>
        <w:t>(Guevara, 2007)</w:t>
      </w:r>
      <w:r>
        <w:rPr>
          <w:rFonts w:ascii="Arial" w:hAnsi="Arial" w:cs="Arial"/>
          <w:sz w:val="24"/>
          <w:szCs w:val="24"/>
        </w:rPr>
        <w:fldChar w:fldCharType="end"/>
      </w:r>
      <w:r>
        <w:rPr>
          <w:rFonts w:ascii="Arial" w:hAnsi="Arial" w:cs="Arial"/>
          <w:sz w:val="24"/>
          <w:szCs w:val="24"/>
        </w:rPr>
        <w:t>.</w:t>
      </w:r>
    </w:p>
    <w:p w14:paraId="45325F84" w14:textId="77777777" w:rsidR="000630B1" w:rsidRDefault="000630B1" w:rsidP="000630B1">
      <w:pPr>
        <w:spacing w:after="0" w:line="360" w:lineRule="auto"/>
        <w:jc w:val="both"/>
        <w:rPr>
          <w:rFonts w:ascii="Arial" w:hAnsi="Arial" w:cs="Arial"/>
          <w:color w:val="C00000"/>
          <w:sz w:val="24"/>
          <w:szCs w:val="24"/>
        </w:rPr>
      </w:pPr>
    </w:p>
    <w:p w14:paraId="38871F4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w:t>
      </w:r>
      <w:r>
        <w:rPr>
          <w:rFonts w:ascii="Arial" w:hAnsi="Arial" w:cs="Arial"/>
          <w:sz w:val="24"/>
          <w:szCs w:val="24"/>
        </w:rPr>
        <w:lastRenderedPageBreak/>
        <w:t xml:space="preserve">ayudar a la comprensión de interacciones genéticas-fisiológicas-ambientales con una integración interdisciplinaria. </w:t>
      </w:r>
    </w:p>
    <w:p w14:paraId="32C69AF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ascii="Arial" w:hAnsi="Arial" w:cs="Arial"/>
          <w:sz w:val="24"/>
          <w:szCs w:val="24"/>
        </w:rPr>
        <w:instrText>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w:instrText>
      </w:r>
      <w:r>
        <w:rPr>
          <w:rFonts w:ascii="Arial" w:hAnsi="Arial" w:cs="Arial"/>
          <w:sz w:val="24"/>
          <w:szCs w:val="24"/>
        </w:rPr>
        <w:fldChar w:fldCharType="separate"/>
      </w:r>
      <w:r>
        <w:rPr>
          <w:rFonts w:ascii="Arial" w:hAnsi="Arial" w:cs="Arial"/>
          <w:sz w:val="24"/>
        </w:rPr>
        <w:t>(Meira y Guevara, 2000;</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Martín </w:t>
      </w:r>
      <w:r>
        <w:rPr>
          <w:rFonts w:ascii="Arial" w:hAnsi="Arial" w:cs="Arial"/>
          <w:i/>
          <w:sz w:val="24"/>
          <w:szCs w:val="24"/>
        </w:rPr>
        <w:t>et al</w:t>
      </w:r>
      <w:r>
        <w:rPr>
          <w:rFonts w:ascii="Arial" w:hAnsi="Arial" w:cs="Arial"/>
          <w:sz w:val="24"/>
          <w:szCs w:val="24"/>
        </w:rPr>
        <w:t>., 2014</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Anwar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a; </w:t>
      </w:r>
      <w:r>
        <w:fldChar w:fldCharType="begin"/>
      </w:r>
      <w:r w:rsidRPr="001E5715">
        <w:rPr>
          <w:rFonts w:ascii="Arial" w:hAnsi="Arial" w:cs="Arial"/>
          <w:sz w:val="24"/>
          <w:szCs w:val="24"/>
          <w:lang w:val="en-US"/>
        </w:rPr>
        <w:instrText>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2015b</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Mohanty </w:t>
      </w:r>
      <w:r w:rsidRPr="001E5715">
        <w:rPr>
          <w:rFonts w:ascii="Arial" w:hAnsi="Arial" w:cs="Arial"/>
          <w:i/>
          <w:sz w:val="24"/>
          <w:lang w:val="en-US"/>
        </w:rPr>
        <w:t>et al</w:t>
      </w:r>
      <w:r w:rsidRPr="001E5715">
        <w:rPr>
          <w:rFonts w:ascii="Arial" w:hAnsi="Arial" w:cs="Arial"/>
          <w:sz w:val="24"/>
          <w:lang w:val="en-US"/>
        </w:rPr>
        <w:t>., 2012)</w:t>
      </w:r>
      <w:r>
        <w:rPr>
          <w:rFonts w:ascii="Arial" w:hAnsi="Arial" w:cs="Arial"/>
          <w:sz w:val="24"/>
          <w:szCs w:val="24"/>
        </w:rPr>
        <w:fldChar w:fldCharType="end"/>
      </w:r>
      <w:r w:rsidRPr="001E5715">
        <w:rPr>
          <w:rFonts w:ascii="Arial" w:hAnsi="Arial" w:cs="Arial"/>
          <w:sz w:val="24"/>
          <w:szCs w:val="24"/>
          <w:lang w:val="en-US"/>
        </w:rPr>
        <w:t xml:space="preserve">. </w:t>
      </w:r>
      <w:r>
        <w:rPr>
          <w:rFonts w:ascii="Arial" w:hAnsi="Arial" w:cs="Arial"/>
          <w:sz w:val="24"/>
          <w:szCs w:val="24"/>
        </w:rPr>
        <w:t>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0834B35B" w14:textId="77777777" w:rsidR="000630B1" w:rsidRDefault="000630B1" w:rsidP="000630B1">
      <w:pPr>
        <w:spacing w:after="0" w:line="360" w:lineRule="auto"/>
        <w:jc w:val="both"/>
        <w:rPr>
          <w:rFonts w:ascii="Arial" w:hAnsi="Arial" w:cs="Arial"/>
          <w:color w:val="C00000"/>
          <w:sz w:val="24"/>
          <w:szCs w:val="24"/>
        </w:rPr>
      </w:pPr>
    </w:p>
    <w:p w14:paraId="68D15C8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42D8C41F" w14:textId="77777777" w:rsidR="000630B1" w:rsidRDefault="000630B1" w:rsidP="000630B1">
      <w:pPr>
        <w:spacing w:after="0" w:line="360" w:lineRule="auto"/>
        <w:jc w:val="both"/>
        <w:rPr>
          <w:rFonts w:ascii="Arial" w:hAnsi="Arial" w:cs="Arial"/>
          <w:sz w:val="24"/>
          <w:szCs w:val="24"/>
        </w:rPr>
      </w:pPr>
    </w:p>
    <w:p w14:paraId="10E8C1D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ascii="Arial" w:hAnsi="Arial" w:cs="Arial"/>
          <w:sz w:val="24"/>
          <w:szCs w:val="24"/>
        </w:rPr>
        <w:instrText>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w:instrText>
      </w:r>
      <w:r>
        <w:rPr>
          <w:rFonts w:ascii="Arial" w:hAnsi="Arial" w:cs="Arial"/>
          <w:sz w:val="24"/>
          <w:szCs w:val="24"/>
        </w:rPr>
        <w:fldChar w:fldCharType="separate"/>
      </w:r>
      <w:r>
        <w:rPr>
          <w:rFonts w:ascii="Arial" w:hAnsi="Arial" w:cs="Arial"/>
          <w:sz w:val="24"/>
          <w:szCs w:val="24"/>
        </w:rPr>
        <w:t>(Gálvez, 2008</w:t>
      </w:r>
      <w:r>
        <w:rPr>
          <w:rFonts w:ascii="Arial" w:hAnsi="Arial" w:cs="Arial"/>
          <w:sz w:val="24"/>
          <w:szCs w:val="24"/>
        </w:rPr>
        <w:fldChar w:fldCharType="end"/>
      </w:r>
      <w:r>
        <w:fldChar w:fldCharType="begin"/>
      </w:r>
      <w:r>
        <w:rPr>
          <w:rFonts w:ascii="Arial" w:hAnsi="Arial" w:cs="Arial"/>
          <w:sz w:val="24"/>
          <w:szCs w:val="24"/>
        </w:rPr>
        <w:instrText>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 Dong </w:t>
      </w:r>
      <w:r>
        <w:rPr>
          <w:rFonts w:ascii="Arial" w:hAnsi="Arial" w:cs="Arial"/>
          <w:i/>
          <w:sz w:val="24"/>
        </w:rPr>
        <w:t>et al</w:t>
      </w:r>
      <w:r>
        <w:rPr>
          <w:rFonts w:ascii="Arial" w:hAnsi="Arial" w:cs="Arial"/>
          <w:sz w:val="24"/>
        </w:rPr>
        <w:t>., 2014)</w:t>
      </w:r>
      <w:r>
        <w:rPr>
          <w:rFonts w:ascii="Arial" w:hAnsi="Arial" w:cs="Arial"/>
          <w:sz w:val="24"/>
          <w:szCs w:val="24"/>
        </w:rPr>
        <w:fldChar w:fldCharType="end"/>
      </w:r>
      <w:r>
        <w:rPr>
          <w:rFonts w:ascii="Arial" w:hAnsi="Arial" w:cs="Arial"/>
          <w:sz w:val="24"/>
          <w:szCs w:val="24"/>
        </w:rPr>
        <w:t>.</w:t>
      </w:r>
    </w:p>
    <w:p w14:paraId="4C6204A4" w14:textId="77777777" w:rsidR="000630B1" w:rsidRDefault="000630B1" w:rsidP="000630B1">
      <w:pPr>
        <w:spacing w:after="0" w:line="360" w:lineRule="auto"/>
        <w:jc w:val="both"/>
        <w:rPr>
          <w:rFonts w:ascii="Arial" w:hAnsi="Arial" w:cs="Arial"/>
          <w:b/>
          <w:bCs/>
          <w:color w:val="C00000"/>
          <w:sz w:val="24"/>
          <w:szCs w:val="24"/>
        </w:rPr>
      </w:pPr>
    </w:p>
    <w:p w14:paraId="6758DAB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w:t>
      </w:r>
      <w:r>
        <w:rPr>
          <w:rFonts w:ascii="Arial" w:hAnsi="Arial" w:cs="Arial"/>
          <w:sz w:val="24"/>
          <w:szCs w:val="24"/>
        </w:rPr>
        <w:lastRenderedPageBreak/>
        <w:t xml:space="preserve">grupo </w:t>
      </w:r>
      <w:r>
        <w:fldChar w:fldCharType="begin"/>
      </w:r>
      <w:r>
        <w:rPr>
          <w:rFonts w:ascii="Arial" w:hAnsi="Arial" w:cs="Arial"/>
          <w:sz w:val="24"/>
          <w:szCs w:val="24"/>
        </w:rPr>
        <w:instrText>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w:instrText>
      </w:r>
      <w:r>
        <w:rPr>
          <w:rFonts w:ascii="Arial" w:hAnsi="Arial" w:cs="Arial"/>
          <w:sz w:val="24"/>
          <w:szCs w:val="24"/>
        </w:rPr>
        <w:fldChar w:fldCharType="separate"/>
      </w:r>
      <w:r>
        <w:rPr>
          <w:rFonts w:ascii="Arial" w:hAnsi="Arial" w:cs="Arial"/>
          <w:sz w:val="24"/>
          <w:szCs w:val="24"/>
        </w:rPr>
        <w:t>(Duran-Peralta et al., 2022)</w:t>
      </w:r>
      <w:r>
        <w:rPr>
          <w:rFonts w:ascii="Arial" w:hAnsi="Arial" w:cs="Arial"/>
          <w:sz w:val="24"/>
          <w:szCs w:val="24"/>
        </w:rPr>
        <w:fldChar w:fldCharType="end"/>
      </w:r>
      <w:r>
        <w:rPr>
          <w:rFonts w:ascii="Arial" w:hAnsi="Arial" w:cs="Arial"/>
          <w:sz w:val="24"/>
          <w:szCs w:val="24"/>
        </w:rPr>
        <w:t xml:space="preserve">. Los modelos de simulación se clasifican en dos grandes grupos: empíricos y mecanicistas. </w:t>
      </w:r>
    </w:p>
    <w:p w14:paraId="56CCC30D" w14:textId="77777777" w:rsidR="000630B1" w:rsidRDefault="000630B1" w:rsidP="000630B1">
      <w:pPr>
        <w:spacing w:after="0" w:line="360" w:lineRule="auto"/>
        <w:jc w:val="both"/>
        <w:rPr>
          <w:rFonts w:ascii="Arial" w:hAnsi="Arial" w:cs="Arial"/>
          <w:color w:val="C00000"/>
          <w:sz w:val="24"/>
          <w:szCs w:val="24"/>
        </w:rPr>
      </w:pPr>
    </w:p>
    <w:p w14:paraId="0863B89F" w14:textId="77777777" w:rsidR="000630B1" w:rsidRDefault="000630B1" w:rsidP="000630B1">
      <w:pPr>
        <w:spacing w:after="0" w:line="360" w:lineRule="auto"/>
        <w:jc w:val="both"/>
        <w:rPr>
          <w:rFonts w:ascii="TimesNewRoman" w:eastAsia="TimesNewRoman" w:hAnsi="TimesNewRoman" w:cs="TimesNewRoman"/>
          <w:sz w:val="24"/>
          <w:szCs w:val="24"/>
        </w:rPr>
      </w:pPr>
      <w:r>
        <w:rPr>
          <w:rFonts w:ascii="Arial" w:hAnsi="Arial" w:cs="Arial"/>
          <w:sz w:val="24"/>
          <w:szCs w:val="24"/>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ascii="Arial" w:hAnsi="Arial" w:cs="Arial"/>
          <w:sz w:val="24"/>
          <w:szCs w:val="24"/>
        </w:rPr>
        <w:instrText>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ascii="Arial" w:hAnsi="Arial" w:cs="Arial"/>
          <w:sz w:val="24"/>
          <w:szCs w:val="24"/>
        </w:rPr>
        <w:fldChar w:fldCharType="separate"/>
      </w:r>
      <w:r>
        <w:rPr>
          <w:rFonts w:ascii="Arial" w:hAnsi="Arial" w:cs="Arial"/>
          <w:sz w:val="24"/>
          <w:szCs w:val="24"/>
        </w:rPr>
        <w:t>(Villegas et al., 2004)</w:t>
      </w:r>
      <w:r>
        <w:rPr>
          <w:rFonts w:ascii="Arial" w:hAnsi="Arial" w:cs="Arial"/>
          <w:sz w:val="24"/>
          <w:szCs w:val="24"/>
        </w:rPr>
        <w:fldChar w:fldCharType="end"/>
      </w:r>
      <w:r>
        <w:rPr>
          <w:rFonts w:ascii="Arial" w:hAnsi="Arial" w:cs="Arial"/>
          <w:sz w:val="24"/>
          <w:szCs w:val="24"/>
        </w:rPr>
        <w:t xml:space="preserve">. </w:t>
      </w:r>
      <w:r>
        <w:rPr>
          <w:rFonts w:ascii="Arial" w:eastAsia="TimesNewRoman" w:hAnsi="Arial" w:cs="Arial"/>
          <w:sz w:val="24"/>
          <w:szCs w:val="24"/>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sz w:val="24"/>
          <w:szCs w:val="24"/>
        </w:rPr>
        <w:t xml:space="preserve"> </w:t>
      </w:r>
    </w:p>
    <w:p w14:paraId="74AE58A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ascii="Arial" w:hAnsi="Arial" w:cs="Arial"/>
          <w:sz w:val="24"/>
          <w:szCs w:val="24"/>
        </w:rPr>
        <w:instrText>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Estos modelos son un poderoso medio para describir y resumir datos.</w:t>
      </w:r>
    </w:p>
    <w:p w14:paraId="5F8B8436" w14:textId="77777777" w:rsidR="000630B1" w:rsidRDefault="000630B1" w:rsidP="000630B1">
      <w:pPr>
        <w:spacing w:after="0" w:line="360" w:lineRule="auto"/>
        <w:jc w:val="both"/>
        <w:rPr>
          <w:rFonts w:ascii="Arial" w:hAnsi="Arial" w:cs="Arial"/>
          <w:sz w:val="24"/>
          <w:szCs w:val="24"/>
        </w:rPr>
      </w:pPr>
    </w:p>
    <w:p w14:paraId="065BF68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Un modelo mecanicista es el conjunto o sistema de ecuaciones</w:t>
      </w:r>
    </w:p>
    <w:p w14:paraId="110DEDB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ascii="Arial" w:hAnsi="Arial" w:cs="Arial"/>
          <w:sz w:val="24"/>
          <w:szCs w:val="24"/>
        </w:rPr>
        <w:instrText>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xml:space="preserve">. </w:t>
      </w:r>
    </w:p>
    <w:p w14:paraId="5E6465C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los modelos mecanísticos,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mecanísticos es que ellos pueden ser transferidos a otro </w:t>
      </w:r>
      <w:r>
        <w:rPr>
          <w:rFonts w:ascii="Arial" w:hAnsi="Arial" w:cs="Arial"/>
          <w:sz w:val="24"/>
          <w:szCs w:val="24"/>
        </w:rPr>
        <w:lastRenderedPageBreak/>
        <w:t xml:space="preserve">conjunto de condiciones y, por lo tanto, ofrecen más posibilidades para manipular y mejorar el sistema, lo que lo hace ideal para construir diversos escenarios </w:t>
      </w:r>
      <w:r>
        <w:fldChar w:fldCharType="begin"/>
      </w:r>
      <w:r>
        <w:rPr>
          <w:rFonts w:ascii="Arial" w:hAnsi="Arial" w:cs="Arial"/>
          <w:sz w:val="24"/>
          <w:szCs w:val="24"/>
        </w:rPr>
        <w:instrText>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w:instrText>
      </w:r>
      <w:r>
        <w:rPr>
          <w:rFonts w:ascii="Arial" w:hAnsi="Arial" w:cs="Arial"/>
          <w:sz w:val="24"/>
          <w:szCs w:val="24"/>
        </w:rPr>
        <w:fldChar w:fldCharType="separate"/>
      </w:r>
      <w:r>
        <w:rPr>
          <w:rFonts w:ascii="Arial" w:hAnsi="Arial" w:cs="Arial"/>
          <w:sz w:val="24"/>
          <w:szCs w:val="24"/>
        </w:rPr>
        <w:t>(De Wit, 1986</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ascii="Arial" w:hAnsi="Arial" w:cs="Arial"/>
          <w:sz w:val="24"/>
          <w:szCs w:val="24"/>
        </w:rPr>
        <w:fldChar w:fldCharType="separate"/>
      </w:r>
      <w:r>
        <w:rPr>
          <w:rFonts w:ascii="Arial" w:hAnsi="Arial" w:cs="Arial"/>
          <w:sz w:val="24"/>
          <w:szCs w:val="24"/>
        </w:rPr>
        <w:t>Link, 2005)</w:t>
      </w:r>
      <w:r>
        <w:rPr>
          <w:rFonts w:ascii="Arial" w:hAnsi="Arial" w:cs="Arial"/>
          <w:sz w:val="24"/>
          <w:szCs w:val="24"/>
        </w:rPr>
        <w:fldChar w:fldCharType="end"/>
      </w:r>
      <w:r>
        <w:rPr>
          <w:rFonts w:ascii="Arial" w:hAnsi="Arial" w:cs="Arial"/>
          <w:sz w:val="24"/>
          <w:szCs w:val="24"/>
        </w:rPr>
        <w:t xml:space="preserve">. </w:t>
      </w:r>
    </w:p>
    <w:p w14:paraId="4CA28D1E" w14:textId="77777777" w:rsidR="000630B1" w:rsidRDefault="000630B1" w:rsidP="000630B1">
      <w:pPr>
        <w:spacing w:after="0" w:line="360" w:lineRule="auto"/>
        <w:jc w:val="both"/>
        <w:rPr>
          <w:rFonts w:ascii="Arial" w:hAnsi="Arial" w:cs="Arial"/>
          <w:sz w:val="24"/>
          <w:szCs w:val="24"/>
        </w:rPr>
      </w:pPr>
    </w:p>
    <w:p w14:paraId="130C865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de cultivos necesitan ser calibrados y validados para poder realizar simulaciones de la respuesta del cultivo a determinados factores.</w:t>
      </w:r>
    </w:p>
    <w:p w14:paraId="628AE4FD" w14:textId="77777777" w:rsidR="000630B1" w:rsidRDefault="000630B1" w:rsidP="000630B1">
      <w:pPr>
        <w:spacing w:after="0" w:line="360" w:lineRule="auto"/>
        <w:jc w:val="both"/>
        <w:rPr>
          <w:rFonts w:ascii="Arial" w:hAnsi="Arial" w:cs="Arial"/>
          <w:color w:val="C00000"/>
          <w:sz w:val="24"/>
          <w:szCs w:val="24"/>
        </w:rPr>
      </w:pPr>
    </w:p>
    <w:p w14:paraId="057FA3E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Calibración</w:t>
      </w:r>
    </w:p>
    <w:p w14:paraId="0CBF1D79" w14:textId="77777777" w:rsidR="000630B1" w:rsidRDefault="000630B1" w:rsidP="000630B1">
      <w:pPr>
        <w:spacing w:after="0" w:line="360" w:lineRule="auto"/>
        <w:jc w:val="both"/>
        <w:rPr>
          <w:rStyle w:val="tlid-translation"/>
        </w:rPr>
      </w:pPr>
      <w:r>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fldChar w:fldCharType="begin"/>
      </w:r>
      <w:r>
        <w:rPr>
          <w:rStyle w:val="tlid-translation"/>
          <w:rFonts w:ascii="Arial" w:hAnsi="Arial" w:cs="Arial"/>
          <w:sz w:val="24"/>
          <w:szCs w:val="24"/>
        </w:rPr>
        <w:instrText>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ascii="Arial" w:hAnsi="Arial" w:cs="Arial"/>
          <w:sz w:val="24"/>
          <w:szCs w:val="24"/>
        </w:rPr>
        <w:fldChar w:fldCharType="separate"/>
      </w:r>
      <w:r>
        <w:rPr>
          <w:rFonts w:ascii="Arial" w:hAnsi="Arial" w:cs="Arial"/>
          <w:sz w:val="24"/>
          <w:szCs w:val="24"/>
        </w:rPr>
        <w:t>(Trombetta et al., 2016)</w:t>
      </w:r>
      <w:r>
        <w:rPr>
          <w:rStyle w:val="tlid-translation"/>
          <w:rFonts w:ascii="Arial" w:hAnsi="Arial" w:cs="Arial"/>
          <w:sz w:val="24"/>
          <w:szCs w:val="24"/>
        </w:rPr>
        <w:fldChar w:fldCharType="end"/>
      </w:r>
      <w:r>
        <w:rPr>
          <w:rStyle w:val="tlid-translation"/>
          <w:rFonts w:ascii="Arial" w:hAnsi="Arial" w:cs="Arial"/>
          <w:sz w:val="24"/>
          <w:szCs w:val="24"/>
        </w:rPr>
        <w:t>.</w:t>
      </w:r>
    </w:p>
    <w:p w14:paraId="1ADA74EA" w14:textId="77777777" w:rsidR="000630B1" w:rsidRDefault="000630B1" w:rsidP="000630B1">
      <w:pPr>
        <w:spacing w:after="0" w:line="360" w:lineRule="auto"/>
        <w:jc w:val="both"/>
        <w:rPr>
          <w:rStyle w:val="tlid-translation"/>
          <w:rFonts w:ascii="Arial" w:hAnsi="Arial" w:cs="Arial"/>
          <w:sz w:val="24"/>
          <w:szCs w:val="24"/>
        </w:rPr>
      </w:pPr>
    </w:p>
    <w:p w14:paraId="49C3F333" w14:textId="77777777" w:rsidR="000630B1" w:rsidRDefault="000630B1" w:rsidP="000630B1">
      <w:pPr>
        <w:spacing w:after="0" w:line="360" w:lineRule="auto"/>
        <w:jc w:val="both"/>
        <w:rPr>
          <w:rFonts w:eastAsia="Times New Roman"/>
          <w:color w:val="C00000"/>
          <w:lang w:eastAsia="es-ES"/>
        </w:rPr>
      </w:pPr>
      <w:r>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Pr>
          <w:rFonts w:ascii="Arial" w:hAnsi="Arial" w:cs="Arial"/>
          <w:sz w:val="24"/>
          <w:szCs w:val="24"/>
        </w:rPr>
        <w:t xml:space="preserve">la raíz cuadrada del cuadrado medio del error (RMSE), </w:t>
      </w:r>
      <w:r>
        <w:rPr>
          <w:rFonts w:ascii="Arial" w:eastAsiaTheme="minorEastAsia" w:hAnsi="Arial" w:cs="Arial"/>
          <w:sz w:val="24"/>
          <w:szCs w:val="24"/>
        </w:rPr>
        <w:t>el RMSE normalizado (RMSEn) y el índice de Willmott (d).</w:t>
      </w:r>
      <w:r>
        <w:rPr>
          <w:rStyle w:val="tlid-translation"/>
          <w:rFonts w:ascii="Arial" w:hAnsi="Arial" w:cs="Arial"/>
          <w:sz w:val="24"/>
          <w:szCs w:val="24"/>
        </w:rPr>
        <w:t xml:space="preserve"> Un modelo de simulación puede ser calibrado hasta que cumpla con todos estos criterios.</w:t>
      </w:r>
    </w:p>
    <w:p w14:paraId="7D55BC39" w14:textId="77777777" w:rsidR="000630B1" w:rsidRDefault="000630B1" w:rsidP="000630B1">
      <w:pPr>
        <w:spacing w:after="0" w:line="360" w:lineRule="auto"/>
        <w:rPr>
          <w:rFonts w:ascii="Arial" w:hAnsi="Arial" w:cs="Arial"/>
          <w:color w:val="C00000"/>
          <w:sz w:val="24"/>
          <w:szCs w:val="24"/>
        </w:rPr>
      </w:pPr>
    </w:p>
    <w:p w14:paraId="5D22C899"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Validación</w:t>
      </w:r>
    </w:p>
    <w:p w14:paraId="1A767305"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validación es una de las principales etapas de un estudio de simulación </w:t>
      </w:r>
      <w:r>
        <w:fldChar w:fldCharType="begin"/>
      </w:r>
      <w:r>
        <w:rPr>
          <w:rFonts w:ascii="Arial" w:hAnsi="Arial" w:cs="Arial"/>
          <w:sz w:val="24"/>
          <w:szCs w:val="24"/>
        </w:rPr>
        <w:instrText>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ascii="Arial" w:hAnsi="Arial" w:cs="Arial"/>
          <w:sz w:val="24"/>
          <w:szCs w:val="24"/>
        </w:rPr>
        <w:fldChar w:fldCharType="separate"/>
      </w:r>
      <w:r>
        <w:rPr>
          <w:rFonts w:ascii="Arial" w:hAnsi="Arial" w:cs="Arial"/>
          <w:sz w:val="24"/>
          <w:szCs w:val="24"/>
        </w:rPr>
        <w:t>(Ahmed et al., 2016)</w:t>
      </w:r>
      <w:r>
        <w:rPr>
          <w:rFonts w:ascii="Arial" w:hAnsi="Arial" w:cs="Arial"/>
          <w:sz w:val="24"/>
          <w:szCs w:val="24"/>
        </w:rPr>
        <w:fldChar w:fldCharType="end"/>
      </w:r>
      <w:r>
        <w:rPr>
          <w:rFonts w:ascii="Arial" w:hAnsi="Arial" w:cs="Arial"/>
          <w:sz w:val="24"/>
          <w:szCs w:val="24"/>
        </w:rPr>
        <w:t>, ya que permite determinar deficiencias en la calibración del modelo.</w:t>
      </w:r>
    </w:p>
    <w:p w14:paraId="4D274DB3" w14:textId="77777777" w:rsidR="000630B1" w:rsidRDefault="000630B1" w:rsidP="000630B1">
      <w:pPr>
        <w:spacing w:after="0" w:line="360" w:lineRule="auto"/>
        <w:rPr>
          <w:rFonts w:ascii="Times New Roman PSMT" w:hAnsi="Times New Roman PSMT" w:cs="Times New Roman PSMT"/>
        </w:rPr>
      </w:pPr>
    </w:p>
    <w:p w14:paraId="77DC9F6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Una forma muy común de validar los modelos es observando la exactitud con que este predice datos históricos utilizando los estadígrafos descritos anteriormente. </w:t>
      </w:r>
    </w:p>
    <w:p w14:paraId="65DCD271" w14:textId="77777777" w:rsidR="000630B1" w:rsidRDefault="000630B1" w:rsidP="000630B1">
      <w:pPr>
        <w:spacing w:after="0" w:line="360" w:lineRule="auto"/>
        <w:jc w:val="both"/>
        <w:rPr>
          <w:rFonts w:ascii="Arial" w:hAnsi="Arial" w:cs="Arial"/>
          <w:color w:val="C00000"/>
          <w:sz w:val="24"/>
          <w:szCs w:val="24"/>
        </w:rPr>
      </w:pPr>
    </w:p>
    <w:p w14:paraId="63821B9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Simulación</w:t>
      </w:r>
    </w:p>
    <w:p w14:paraId="1168F78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Pr>
          <w:rFonts w:ascii="Arial" w:hAnsi="Arial" w:cs="Arial"/>
          <w:sz w:val="24"/>
          <w:szCs w:val="24"/>
        </w:rPr>
        <w:instrText>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w:instrText>
      </w:r>
      <w:r>
        <w:rPr>
          <w:rFonts w:ascii="Arial" w:hAnsi="Arial" w:cs="Arial"/>
          <w:sz w:val="24"/>
          <w:szCs w:val="24"/>
        </w:rPr>
        <w:fldChar w:fldCharType="separate"/>
      </w:r>
      <w:r>
        <w:rPr>
          <w:rFonts w:ascii="Arial" w:hAnsi="Arial" w:cs="Arial"/>
          <w:sz w:val="24"/>
          <w:szCs w:val="24"/>
        </w:rPr>
        <w:t>(Torres et al., 2002)</w:t>
      </w:r>
      <w:r>
        <w:rPr>
          <w:rFonts w:ascii="Arial" w:hAnsi="Arial" w:cs="Arial"/>
          <w:sz w:val="24"/>
          <w:szCs w:val="24"/>
        </w:rPr>
        <w:fldChar w:fldCharType="end"/>
      </w:r>
      <w:r>
        <w:rPr>
          <w:rFonts w:ascii="Arial" w:hAnsi="Arial" w:cs="Arial"/>
          <w:sz w:val="24"/>
          <w:szCs w:val="24"/>
        </w:rPr>
        <w:t xml:space="preserve">. </w:t>
      </w:r>
    </w:p>
    <w:p w14:paraId="02EBB136" w14:textId="77777777" w:rsidR="000630B1" w:rsidRDefault="000630B1" w:rsidP="000630B1">
      <w:pPr>
        <w:spacing w:after="0" w:line="360" w:lineRule="auto"/>
        <w:jc w:val="both"/>
        <w:rPr>
          <w:rFonts w:ascii="Arial" w:hAnsi="Arial" w:cs="Arial"/>
          <w:color w:val="C00000"/>
          <w:sz w:val="24"/>
          <w:szCs w:val="24"/>
        </w:rPr>
      </w:pPr>
    </w:p>
    <w:p w14:paraId="26FA119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simulación una técnica utilizada para imitar el funcionamiento de sistemas o procesos reales mediante programas de ordenador. Para estudiar el sistema suele ser necesario hacer algunas suposiciones sobre su forma de operar. </w:t>
      </w:r>
    </w:p>
    <w:p w14:paraId="62810DA4" w14:textId="77777777" w:rsidR="000630B1" w:rsidRDefault="000630B1" w:rsidP="000630B1">
      <w:pPr>
        <w:spacing w:after="0" w:line="360" w:lineRule="auto"/>
        <w:jc w:val="both"/>
        <w:rPr>
          <w:rFonts w:ascii="Arial" w:hAnsi="Arial" w:cs="Arial"/>
          <w:color w:val="C00000"/>
          <w:sz w:val="24"/>
          <w:szCs w:val="24"/>
        </w:rPr>
      </w:pPr>
    </w:p>
    <w:p w14:paraId="0BF54A3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C2DAAB9" w14:textId="77777777" w:rsidR="000630B1" w:rsidRDefault="000630B1" w:rsidP="000630B1">
      <w:pPr>
        <w:spacing w:after="0" w:line="360" w:lineRule="auto"/>
        <w:jc w:val="both"/>
        <w:rPr>
          <w:rFonts w:ascii="Arial" w:hAnsi="Arial" w:cs="Arial"/>
          <w:color w:val="C00000"/>
          <w:sz w:val="24"/>
          <w:szCs w:val="24"/>
        </w:rPr>
      </w:pPr>
    </w:p>
    <w:p w14:paraId="5EFB6D9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6EA9549C" w14:textId="77777777" w:rsidR="000630B1" w:rsidRDefault="000630B1" w:rsidP="000630B1">
      <w:pPr>
        <w:spacing w:after="0" w:line="360" w:lineRule="auto"/>
        <w:jc w:val="both"/>
        <w:rPr>
          <w:color w:val="C00000"/>
        </w:rPr>
      </w:pPr>
    </w:p>
    <w:p w14:paraId="711FDB6E" w14:textId="77777777" w:rsidR="000630B1" w:rsidRDefault="000630B1" w:rsidP="000630B1">
      <w:pPr>
        <w:spacing w:after="0" w:line="360" w:lineRule="auto"/>
        <w:jc w:val="both"/>
        <w:rPr>
          <w:rFonts w:ascii="Arial" w:eastAsia="TimesNewRoman" w:hAnsi="Arial" w:cs="Arial"/>
          <w:sz w:val="24"/>
          <w:szCs w:val="24"/>
        </w:rPr>
      </w:pPr>
      <w:r>
        <w:rPr>
          <w:rFonts w:ascii="Arial" w:eastAsia="TimesNewRoman" w:hAnsi="Arial" w:cs="Arial"/>
          <w:sz w:val="24"/>
          <w:szCs w:val="24"/>
        </w:rPr>
        <w:t xml:space="preserve">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CERES-Wheat </w:t>
      </w:r>
      <w:r>
        <w:fldChar w:fldCharType="begin"/>
      </w:r>
      <w:r>
        <w:rPr>
          <w:rFonts w:ascii="Arial" w:eastAsia="TimesNewRoman" w:hAnsi="Arial" w:cs="Arial"/>
          <w:sz w:val="24"/>
          <w:szCs w:val="24"/>
        </w:rPr>
        <w:instrText>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(Hodges y Ritchie, 1991)</w:t>
      </w:r>
      <w:r>
        <w:rPr>
          <w:rFonts w:ascii="Arial" w:eastAsia="TimesNewRoman" w:hAnsi="Arial" w:cs="Arial"/>
          <w:sz w:val="24"/>
          <w:szCs w:val="24"/>
        </w:rPr>
        <w:fldChar w:fldCharType="end"/>
      </w:r>
      <w:r>
        <w:rPr>
          <w:rFonts w:ascii="Arial" w:eastAsia="TimesNewRoman" w:hAnsi="Arial" w:cs="Arial"/>
          <w:sz w:val="24"/>
          <w:szCs w:val="24"/>
        </w:rPr>
        <w:t xml:space="preserve"> y CERES-Maize </w:t>
      </w:r>
      <w:r>
        <w:fldChar w:fldCharType="begin"/>
      </w:r>
      <w:r>
        <w:rPr>
          <w:rFonts w:ascii="Arial" w:eastAsia="TimesNewRoman" w:hAnsi="Arial" w:cs="Arial"/>
          <w:sz w:val="24"/>
          <w:szCs w:val="24"/>
        </w:rPr>
        <w:instrText>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(Ritchie et al., 1989)</w:t>
      </w:r>
      <w:r>
        <w:rPr>
          <w:rFonts w:ascii="Arial" w:eastAsia="TimesNewRoman" w:hAnsi="Arial" w:cs="Arial"/>
          <w:sz w:val="24"/>
          <w:szCs w:val="24"/>
        </w:rPr>
        <w:fldChar w:fldCharType="end"/>
      </w:r>
      <w:r>
        <w:rPr>
          <w:rFonts w:ascii="Arial" w:eastAsia="TimesNewRoman" w:hAnsi="Arial" w:cs="Arial"/>
          <w:sz w:val="24"/>
          <w:szCs w:val="24"/>
        </w:rPr>
        <w:t xml:space="preserve">, para trigo y maíz, respectivamente. Para el caso del arroz existen CERES-Rice </w:t>
      </w:r>
      <w:r>
        <w:fldChar w:fldCharType="begin"/>
      </w:r>
      <w:r>
        <w:rPr>
          <w:rFonts w:ascii="Arial" w:eastAsia="TimesNewRoman" w:hAnsi="Arial" w:cs="Arial"/>
          <w:sz w:val="24"/>
          <w:szCs w:val="24"/>
        </w:rPr>
        <w:instrText>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(Singh et al., 1993)</w:t>
      </w:r>
      <w:r>
        <w:rPr>
          <w:rFonts w:ascii="Arial" w:eastAsia="TimesNewRoman" w:hAnsi="Arial" w:cs="Arial"/>
          <w:sz w:val="24"/>
          <w:szCs w:val="24"/>
        </w:rPr>
        <w:fldChar w:fldCharType="end"/>
      </w:r>
      <w:r>
        <w:rPr>
          <w:rFonts w:ascii="Arial" w:eastAsia="TimesNewRoman" w:hAnsi="Arial" w:cs="Arial"/>
          <w:sz w:val="24"/>
          <w:szCs w:val="24"/>
        </w:rPr>
        <w:t xml:space="preserve"> y Oryza2000 </w:t>
      </w:r>
      <w:r>
        <w:fldChar w:fldCharType="begin"/>
      </w:r>
      <w:r>
        <w:rPr>
          <w:rFonts w:ascii="Arial" w:eastAsia="TimesNewRoman" w:hAnsi="Arial" w:cs="Arial"/>
          <w:sz w:val="24"/>
          <w:szCs w:val="24"/>
        </w:rPr>
        <w:instrText>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(Bouman, 2001)</w:t>
      </w:r>
      <w:r>
        <w:rPr>
          <w:rFonts w:ascii="Arial" w:eastAsia="TimesNewRoman" w:hAnsi="Arial" w:cs="Arial"/>
          <w:sz w:val="24"/>
          <w:szCs w:val="24"/>
        </w:rPr>
        <w:fldChar w:fldCharType="end"/>
      </w:r>
      <w:r>
        <w:rPr>
          <w:rFonts w:ascii="Arial" w:eastAsia="TimesNewRoman" w:hAnsi="Arial" w:cs="Arial"/>
          <w:sz w:val="24"/>
          <w:szCs w:val="24"/>
        </w:rPr>
        <w:t xml:space="preserve">, entre otros. </w:t>
      </w:r>
    </w:p>
    <w:p w14:paraId="6E32076A" w14:textId="77777777" w:rsidR="000630B1" w:rsidRDefault="000630B1" w:rsidP="000630B1">
      <w:pPr>
        <w:spacing w:after="0" w:line="360" w:lineRule="auto"/>
        <w:jc w:val="both"/>
        <w:rPr>
          <w:rFonts w:ascii="Arial" w:eastAsia="TimesNewRoman" w:hAnsi="Arial" w:cs="Arial"/>
          <w:color w:val="C00000"/>
          <w:sz w:val="24"/>
          <w:szCs w:val="24"/>
        </w:rPr>
      </w:pPr>
    </w:p>
    <w:p w14:paraId="10536279" w14:textId="77777777" w:rsidR="000630B1" w:rsidRDefault="000630B1" w:rsidP="000630B1">
      <w:pPr>
        <w:spacing w:after="0" w:line="360" w:lineRule="auto"/>
        <w:jc w:val="both"/>
        <w:rPr>
          <w:rFonts w:ascii="Arial" w:hAnsi="Arial" w:cs="Arial"/>
          <w:color w:val="C00000"/>
          <w:sz w:val="24"/>
          <w:szCs w:val="24"/>
        </w:rPr>
      </w:pPr>
      <w:r>
        <w:rPr>
          <w:rFonts w:ascii="Arial" w:eastAsia="TimesNewRoman" w:hAnsi="Arial" w:cs="Arial"/>
          <w:sz w:val="24"/>
          <w:szCs w:val="24"/>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ascii="Arial" w:eastAsia="TimesNewRoman" w:hAnsi="Arial" w:cs="Arial"/>
          <w:sz w:val="24"/>
          <w:szCs w:val="24"/>
        </w:rPr>
        <w:instrText>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eastAsia="TimesNewRoman" w:hAnsi="Arial" w:cs="Arial"/>
          <w:sz w:val="24"/>
          <w:szCs w:val="24"/>
        </w:rPr>
        <w:fldChar w:fldCharType="end"/>
      </w:r>
      <w:r>
        <w:rPr>
          <w:rFonts w:ascii="Arial" w:eastAsia="TimesNewRoman" w:hAnsi="Arial" w:cs="Arial"/>
          <w:sz w:val="24"/>
          <w:szCs w:val="24"/>
        </w:rPr>
        <w:t xml:space="preserve">, EPIC </w:t>
      </w:r>
      <w:r>
        <w:fldChar w:fldCharType="begin"/>
      </w:r>
      <w:r>
        <w:rPr>
          <w:rFonts w:ascii="Arial" w:eastAsia="TimesNewRoman" w:hAnsi="Arial" w:cs="Arial"/>
          <w:sz w:val="24"/>
          <w:szCs w:val="24"/>
        </w:rPr>
        <w:instrText>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(C. A. Jones et al., 1991)</w:t>
      </w:r>
      <w:r>
        <w:rPr>
          <w:rFonts w:ascii="Arial" w:eastAsia="TimesNewRoman" w:hAnsi="Arial" w:cs="Arial"/>
          <w:sz w:val="24"/>
          <w:szCs w:val="24"/>
        </w:rPr>
        <w:fldChar w:fldCharType="end"/>
      </w:r>
      <w:r>
        <w:rPr>
          <w:rFonts w:ascii="Arial" w:eastAsia="TimesNewRoman" w:hAnsi="Arial" w:cs="Arial"/>
          <w:sz w:val="24"/>
          <w:szCs w:val="24"/>
        </w:rPr>
        <w:t xml:space="preserve">, CROPSYST </w:t>
      </w:r>
      <w:r>
        <w:fldChar w:fldCharType="begin"/>
      </w:r>
      <w:r>
        <w:rPr>
          <w:rFonts w:ascii="Arial" w:eastAsia="TimesNewRoman" w:hAnsi="Arial" w:cs="Arial"/>
          <w:sz w:val="24"/>
          <w:szCs w:val="24"/>
        </w:rPr>
        <w:instrText>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(Stöckle et al., 2003)</w:t>
      </w:r>
      <w:r>
        <w:rPr>
          <w:rFonts w:ascii="Arial" w:eastAsia="TimesNewRoman" w:hAnsi="Arial" w:cs="Arial"/>
          <w:sz w:val="24"/>
          <w:szCs w:val="24"/>
        </w:rPr>
        <w:fldChar w:fldCharType="end"/>
      </w:r>
      <w:r>
        <w:rPr>
          <w:rFonts w:ascii="Arial" w:eastAsia="TimesNewRoman" w:hAnsi="Arial" w:cs="Arial"/>
          <w:sz w:val="24"/>
          <w:szCs w:val="24"/>
        </w:rPr>
        <w:t xml:space="preserve">, APSIM </w:t>
      </w:r>
      <w:r>
        <w:fldChar w:fldCharType="begin"/>
      </w:r>
      <w:r w:rsidRPr="001E5715">
        <w:rPr>
          <w:rFonts w:ascii="Arial" w:eastAsia="TimesNewRoman" w:hAnsi="Arial" w:cs="Arial"/>
          <w:sz w:val="24"/>
          <w:szCs w:val="24"/>
        </w:rPr>
        <w:instrText>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ascii="Arial" w:eastAsia="TimesNewRoman" w:hAnsi="Arial" w:cs="Arial"/>
          <w:sz w:val="24"/>
          <w:szCs w:val="24"/>
          <w:lang w:val="en-US"/>
        </w:rPr>
        <w:fldChar w:fldCharType="separate"/>
      </w:r>
      <w:r>
        <w:rPr>
          <w:rFonts w:ascii="Arial" w:hAnsi="Arial" w:cs="Arial"/>
          <w:sz w:val="24"/>
          <w:szCs w:val="24"/>
        </w:rPr>
        <w:t>(Keating et al., 2003)</w:t>
      </w:r>
      <w:r>
        <w:rPr>
          <w:rFonts w:ascii="Arial" w:eastAsia="TimesNewRoman" w:hAnsi="Arial" w:cs="Arial"/>
          <w:sz w:val="24"/>
          <w:szCs w:val="24"/>
          <w:lang w:val="en-US"/>
        </w:rPr>
        <w:fldChar w:fldCharType="end"/>
      </w:r>
      <w:r>
        <w:rPr>
          <w:rFonts w:ascii="Arial" w:eastAsia="TimesNewRoman" w:hAnsi="Arial" w:cs="Arial"/>
          <w:sz w:val="24"/>
          <w:szCs w:val="24"/>
        </w:rPr>
        <w:t xml:space="preserve"> y STICS </w:t>
      </w:r>
      <w:r>
        <w:fldChar w:fldCharType="begin"/>
      </w:r>
      <w:r>
        <w:rPr>
          <w:rFonts w:ascii="Arial" w:eastAsia="TimesNewRoman" w:hAnsi="Arial" w:cs="Arial"/>
          <w:sz w:val="24"/>
          <w:szCs w:val="24"/>
        </w:rPr>
        <w:instrText>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(Brisson </w:t>
      </w:r>
      <w:r>
        <w:rPr>
          <w:rFonts w:ascii="Arial" w:hAnsi="Arial" w:cs="Arial"/>
          <w:i/>
          <w:sz w:val="24"/>
        </w:rPr>
        <w:t>et al</w:t>
      </w:r>
      <w:r>
        <w:rPr>
          <w:rFonts w:ascii="Arial" w:hAnsi="Arial" w:cs="Arial"/>
          <w:sz w:val="24"/>
        </w:rPr>
        <w:t>., 1998</w:t>
      </w:r>
      <w:r>
        <w:rPr>
          <w:rFonts w:ascii="Arial" w:eastAsia="TimesNewRoman" w:hAnsi="Arial" w:cs="Arial"/>
          <w:sz w:val="24"/>
          <w:szCs w:val="24"/>
        </w:rPr>
        <w:fldChar w:fldCharType="end"/>
      </w:r>
      <w:r>
        <w:rPr>
          <w:rFonts w:ascii="Arial" w:eastAsia="TimesNewRoman" w:hAnsi="Arial" w:cs="Arial"/>
          <w:sz w:val="24"/>
          <w:szCs w:val="24"/>
        </w:rPr>
        <w:t>), inclusive muchos de estos modelos son de libres acceso y utilización</w:t>
      </w:r>
      <w:r>
        <w:rPr>
          <w:rFonts w:ascii="Arial" w:eastAsia="TimesNewRoman" w:hAnsi="Arial" w:cs="Arial"/>
          <w:color w:val="C00000"/>
          <w:sz w:val="24"/>
          <w:szCs w:val="24"/>
        </w:rPr>
        <w:t>.</w:t>
      </w:r>
    </w:p>
    <w:p w14:paraId="69F58443" w14:textId="77777777" w:rsidR="000630B1" w:rsidRDefault="000630B1" w:rsidP="000630B1">
      <w:pPr>
        <w:spacing w:after="0" w:line="360" w:lineRule="auto"/>
        <w:rPr>
          <w:rFonts w:ascii="Arial" w:hAnsi="Arial" w:cs="Arial"/>
          <w:color w:val="C00000"/>
          <w:sz w:val="24"/>
          <w:szCs w:val="24"/>
        </w:rPr>
      </w:pPr>
    </w:p>
    <w:p w14:paraId="0ADFE30C" w14:textId="77777777" w:rsidR="000630B1" w:rsidRDefault="000630B1" w:rsidP="000630B1">
      <w:pPr>
        <w:pStyle w:val="Ttulo3"/>
        <w:spacing w:before="0" w:line="360" w:lineRule="auto"/>
        <w:jc w:val="both"/>
        <w:rPr>
          <w:rFonts w:cs="Arial"/>
        </w:rPr>
      </w:pPr>
      <w:bookmarkStart w:id="22" w:name="_Toc4070412"/>
      <w:r>
        <w:rPr>
          <w:rFonts w:cs="Arial"/>
        </w:rPr>
        <w:lastRenderedPageBreak/>
        <w:t>1.2.1. Modelo DSSAT</w:t>
      </w:r>
      <w:bookmarkEnd w:id="22"/>
    </w:p>
    <w:p w14:paraId="4A15FBA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ascii="Arial" w:hAnsi="Arial" w:cs="Arial"/>
          <w:i/>
          <w:iCs/>
          <w:sz w:val="24"/>
          <w:szCs w:val="24"/>
        </w:rPr>
        <w:t>software shell</w:t>
      </w:r>
      <w:r>
        <w:rPr>
          <w:rFonts w:ascii="Arial" w:hAnsi="Arial" w:cs="Arial"/>
          <w:sz w:val="24"/>
          <w:szCs w:val="24"/>
        </w:rPr>
        <w:t>) conocido como DSSAT.</w:t>
      </w:r>
    </w:p>
    <w:p w14:paraId="48633923" w14:textId="77777777" w:rsidR="000630B1" w:rsidRDefault="000630B1" w:rsidP="000630B1">
      <w:pPr>
        <w:spacing w:after="0" w:line="360" w:lineRule="auto"/>
        <w:jc w:val="both"/>
        <w:rPr>
          <w:rFonts w:ascii="Arial" w:hAnsi="Arial" w:cs="Arial"/>
          <w:sz w:val="24"/>
          <w:szCs w:val="24"/>
        </w:rPr>
      </w:pPr>
    </w:p>
    <w:p w14:paraId="2193D1E7" w14:textId="77777777" w:rsidR="000630B1" w:rsidRDefault="000630B1" w:rsidP="000630B1">
      <w:pPr>
        <w:spacing w:after="0" w:line="360" w:lineRule="auto"/>
        <w:jc w:val="both"/>
        <w:rPr>
          <w:rFonts w:ascii="Arial" w:eastAsia="TimesNewRoman" w:hAnsi="Arial" w:cs="Arial"/>
          <w:sz w:val="24"/>
          <w:szCs w:val="24"/>
        </w:rPr>
      </w:pPr>
      <w:r>
        <w:rPr>
          <w:rFonts w:ascii="Arial" w:hAnsi="Arial" w:cs="Arial"/>
          <w:sz w:val="24"/>
          <w:szCs w:val="24"/>
        </w:rPr>
        <w:t xml:space="preserve">El modelo de crecimiento de cultivos DSSAT </w:t>
      </w:r>
      <w:r>
        <w:fldChar w:fldCharType="begin"/>
      </w:r>
      <w:r>
        <w:rPr>
          <w:rFonts w:ascii="Arial" w:hAnsi="Arial" w:cs="Arial"/>
          <w:sz w:val="24"/>
          <w:szCs w:val="24"/>
        </w:rPr>
        <w:instrText>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r>
        <w:rPr>
          <w:rFonts w:ascii="Arial" w:hAnsi="Arial" w:cs="Arial"/>
          <w:sz w:val="24"/>
          <w:szCs w:val="24"/>
        </w:rPr>
        <w:t xml:space="preserve"> es un </w:t>
      </w:r>
      <w:r>
        <w:rPr>
          <w:rFonts w:ascii="Arial" w:eastAsia="TimesNewRoman" w:hAnsi="Arial" w:cs="Arial"/>
          <w:sz w:val="24"/>
          <w:szCs w:val="24"/>
        </w:rPr>
        <w:t>modelo comercial,</w:t>
      </w:r>
      <w:r>
        <w:rPr>
          <w:rFonts w:ascii="Arial" w:hAnsi="Arial" w:cs="Arial"/>
          <w:sz w:val="24"/>
          <w:szCs w:val="24"/>
        </w:rPr>
        <w:t xml:space="preserve"> basado en Windows, </w:t>
      </w:r>
      <w:r>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Pr>
          <w:rFonts w:ascii="Arial" w:hAnsi="Arial" w:cs="Arial"/>
          <w:sz w:val="24"/>
          <w:szCs w:val="24"/>
        </w:rPr>
        <w:t xml:space="preserve">incluye herramientas y programas de utilidad para el manejo de suelos, recursos hídricos, clima, coeficientes genéticos, datos de cultivos y plagas. </w:t>
      </w:r>
      <w:r>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3EE84AC2" w14:textId="77777777" w:rsidR="000630B1" w:rsidRDefault="000630B1" w:rsidP="000630B1">
      <w:pPr>
        <w:spacing w:after="0" w:line="360" w:lineRule="auto"/>
        <w:jc w:val="both"/>
        <w:rPr>
          <w:rFonts w:ascii="Arial" w:eastAsia="TimesNewRoman" w:hAnsi="Arial" w:cs="Arial"/>
          <w:sz w:val="24"/>
          <w:szCs w:val="24"/>
        </w:rPr>
      </w:pPr>
    </w:p>
    <w:p w14:paraId="7088C506" w14:textId="77777777" w:rsidR="000630B1" w:rsidRDefault="000630B1" w:rsidP="000630B1">
      <w:pPr>
        <w:spacing w:after="0" w:line="360" w:lineRule="auto"/>
        <w:jc w:val="both"/>
        <w:rPr>
          <w:rFonts w:ascii="Arial" w:hAnsi="Arial" w:cs="Arial"/>
          <w:sz w:val="24"/>
          <w:szCs w:val="24"/>
        </w:rPr>
      </w:pPr>
      <w:r>
        <w:rPr>
          <w:rFonts w:ascii="Arial" w:eastAsia="TimesNewRoman" w:hAnsi="Arial" w:cs="Arial"/>
          <w:sz w:val="24"/>
          <w:szCs w:val="24"/>
        </w:rPr>
        <w:t xml:space="preserve">El programa está compuesto por cinco módulos, cuyo centro son los </w:t>
      </w:r>
      <w:r>
        <w:rPr>
          <w:rFonts w:ascii="Arial" w:eastAsia="TimesNewRoman,Bold" w:hAnsi="Arial" w:cs="Arial"/>
          <w:bCs/>
          <w:sz w:val="24"/>
          <w:szCs w:val="24"/>
        </w:rPr>
        <w:t xml:space="preserve">modelos de cultivo </w:t>
      </w:r>
      <w:r>
        <w:rPr>
          <w:rFonts w:ascii="Arial" w:eastAsia="TimesNewRoman" w:hAnsi="Arial" w:cs="Arial"/>
          <w:sz w:val="24"/>
          <w:szCs w:val="24"/>
        </w:rPr>
        <w:t xml:space="preserve">y se relacionan con las </w:t>
      </w:r>
      <w:r>
        <w:rPr>
          <w:rFonts w:ascii="Arial" w:eastAsia="TimesNewRoman,Bold" w:hAnsi="Arial" w:cs="Arial"/>
          <w:bCs/>
          <w:sz w:val="24"/>
          <w:szCs w:val="24"/>
        </w:rPr>
        <w:t xml:space="preserve">bases de datos </w:t>
      </w:r>
      <w:r>
        <w:rPr>
          <w:rFonts w:ascii="Arial" w:eastAsia="TimesNewRoman" w:hAnsi="Arial" w:cs="Arial"/>
          <w:sz w:val="24"/>
          <w:szCs w:val="24"/>
        </w:rPr>
        <w:t xml:space="preserve">de clima, suelo, genética, entre otras; </w:t>
      </w:r>
      <w:r>
        <w:rPr>
          <w:rFonts w:ascii="Arial" w:eastAsia="TimesNewRoman,Bold" w:hAnsi="Arial" w:cs="Arial"/>
          <w:bCs/>
          <w:sz w:val="24"/>
          <w:szCs w:val="24"/>
        </w:rPr>
        <w:t>el software de soporte</w:t>
      </w:r>
      <w:r>
        <w:rPr>
          <w:rFonts w:ascii="Arial" w:eastAsia="TimesNewRoman" w:hAnsi="Arial" w:cs="Arial"/>
          <w:sz w:val="24"/>
          <w:szCs w:val="24"/>
        </w:rPr>
        <w:t xml:space="preserve">; </w:t>
      </w:r>
      <w:r>
        <w:rPr>
          <w:rFonts w:ascii="Arial" w:eastAsia="TimesNewRoman,Bold" w:hAnsi="Arial" w:cs="Arial"/>
          <w:bCs/>
          <w:sz w:val="24"/>
          <w:szCs w:val="24"/>
        </w:rPr>
        <w:t xml:space="preserve">aplicaciones </w:t>
      </w:r>
      <w:r>
        <w:rPr>
          <w:rFonts w:ascii="Arial" w:eastAsia="TimesNewRoman" w:hAnsi="Arial" w:cs="Arial"/>
          <w:sz w:val="24"/>
          <w:szCs w:val="24"/>
        </w:rPr>
        <w:t xml:space="preserve">que incluyen relación con SIG y análisis estadísticos y, finalmente, la </w:t>
      </w:r>
      <w:r>
        <w:rPr>
          <w:rFonts w:ascii="Arial" w:eastAsia="TimesNewRoman,Bold" w:hAnsi="Arial" w:cs="Arial"/>
          <w:bCs/>
          <w:sz w:val="24"/>
          <w:szCs w:val="24"/>
        </w:rPr>
        <w:t>interface con el usuario</w:t>
      </w:r>
      <w:r>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FB5B22" w14:textId="77777777" w:rsidR="000630B1" w:rsidRDefault="000630B1" w:rsidP="000630B1">
      <w:pPr>
        <w:spacing w:after="0" w:line="360" w:lineRule="auto"/>
        <w:jc w:val="both"/>
        <w:rPr>
          <w:rFonts w:ascii="Arial" w:hAnsi="Arial" w:cs="Arial"/>
          <w:sz w:val="24"/>
          <w:szCs w:val="24"/>
        </w:rPr>
      </w:pPr>
    </w:p>
    <w:p w14:paraId="4AE40D2E" w14:textId="77777777" w:rsidR="000630B1" w:rsidRDefault="000630B1" w:rsidP="000630B1">
      <w:pPr>
        <w:spacing w:after="0" w:line="360" w:lineRule="auto"/>
        <w:jc w:val="both"/>
        <w:rPr>
          <w:rFonts w:ascii="Arial" w:hAnsi="Arial" w:cs="Arial"/>
          <w:sz w:val="24"/>
          <w:szCs w:val="24"/>
        </w:rPr>
      </w:pPr>
      <w:r>
        <w:rPr>
          <w:rStyle w:val="tlid-translation"/>
          <w:rFonts w:ascii="Arial" w:hAnsi="Arial" w:cs="Arial"/>
          <w:sz w:val="24"/>
          <w:szCs w:val="24"/>
        </w:rPr>
        <w:t xml:space="preserve">DSSAT se ha utilizado cada vez más como una herramienta para comparar el rendimiento de diferentes sistemas de cultivo y </w:t>
      </w:r>
      <w:r>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fldChar w:fldCharType="begin"/>
      </w:r>
      <w:r>
        <w:rPr>
          <w:rFonts w:ascii="Arial" w:hAnsi="Arial" w:cs="Arial"/>
          <w:sz w:val="24"/>
          <w:szCs w:val="24"/>
        </w:rPr>
        <w:instrText>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(Corbeels et al., 2016)</w:t>
      </w:r>
      <w:r>
        <w:rPr>
          <w:rFonts w:ascii="Arial" w:hAnsi="Arial" w:cs="Arial"/>
          <w:sz w:val="24"/>
          <w:szCs w:val="24"/>
        </w:rPr>
        <w:fldChar w:fldCharType="end"/>
      </w:r>
      <w:r>
        <w:rPr>
          <w:rFonts w:ascii="Arial" w:hAnsi="Arial" w:cs="Arial"/>
          <w:sz w:val="24"/>
          <w:szCs w:val="24"/>
        </w:rPr>
        <w:t xml:space="preserve">. Es necesario comprender que el comportamiento de crecimiento y el rendimiento de los principales cultivares de arroz dependen, principalmente, de los </w:t>
      </w:r>
      <w:r>
        <w:rPr>
          <w:rFonts w:ascii="Arial" w:hAnsi="Arial" w:cs="Arial"/>
          <w:sz w:val="24"/>
          <w:szCs w:val="24"/>
        </w:rPr>
        <w:lastRenderedPageBreak/>
        <w:t xml:space="preserve">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Pr>
          <w:rFonts w:ascii="Arial" w:hAnsi="Arial" w:cs="Arial"/>
          <w:sz w:val="24"/>
          <w:szCs w:val="24"/>
        </w:rPr>
        <w:instrText>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ascii="Arial" w:hAnsi="Arial" w:cs="Arial"/>
          <w:sz w:val="24"/>
          <w:szCs w:val="24"/>
        </w:rPr>
        <w:fldChar w:fldCharType="separate"/>
      </w:r>
      <w:r>
        <w:rPr>
          <w:rFonts w:ascii="Arial" w:hAnsi="Arial" w:cs="Arial"/>
          <w:sz w:val="24"/>
          <w:szCs w:val="24"/>
        </w:rPr>
        <w:t>(Rodríguez González et al., 2021)</w:t>
      </w:r>
      <w:r>
        <w:rPr>
          <w:rFonts w:ascii="Arial" w:hAnsi="Arial" w:cs="Arial"/>
          <w:sz w:val="24"/>
          <w:szCs w:val="24"/>
        </w:rPr>
        <w:fldChar w:fldCharType="end"/>
      </w:r>
      <w:r>
        <w:rPr>
          <w:rFonts w:ascii="Arial" w:hAnsi="Arial" w:cs="Arial"/>
          <w:sz w:val="24"/>
          <w:szCs w:val="24"/>
        </w:rPr>
        <w:t>.</w:t>
      </w:r>
    </w:p>
    <w:p w14:paraId="29DA71C8" w14:textId="77777777" w:rsidR="000630B1" w:rsidRDefault="000630B1" w:rsidP="000630B1">
      <w:pPr>
        <w:spacing w:after="0" w:line="360" w:lineRule="auto"/>
        <w:jc w:val="both"/>
        <w:rPr>
          <w:rFonts w:ascii="Arial" w:hAnsi="Arial" w:cs="Arial"/>
          <w:sz w:val="24"/>
          <w:szCs w:val="24"/>
        </w:rPr>
      </w:pPr>
    </w:p>
    <w:p w14:paraId="3C4BD7D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modelo ha sido probado en una amplia gama de entornos por la Red Internacional de Sitios de Referencia para la Transferencia de Tecnología Agrícola (IBSNAT) </w:t>
      </w:r>
      <w:r>
        <w:fldChar w:fldCharType="begin"/>
      </w:r>
      <w:r>
        <w:rPr>
          <w:rFonts w:ascii="Arial" w:hAnsi="Arial" w:cs="Arial"/>
          <w:sz w:val="24"/>
          <w:szCs w:val="24"/>
        </w:rPr>
        <w:instrText>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ascii="Arial" w:hAnsi="Arial" w:cs="Arial"/>
          <w:sz w:val="24"/>
          <w:szCs w:val="24"/>
        </w:rPr>
        <w:fldChar w:fldCharType="separate"/>
      </w:r>
      <w:r>
        <w:rPr>
          <w:rFonts w:ascii="Arial" w:hAnsi="Arial" w:cs="Arial"/>
          <w:sz w:val="24"/>
          <w:szCs w:val="24"/>
        </w:rPr>
        <w:t>(Singh et al., 1988)</w:t>
      </w:r>
      <w:r>
        <w:rPr>
          <w:rFonts w:ascii="Arial" w:hAnsi="Arial" w:cs="Arial"/>
          <w:sz w:val="24"/>
          <w:szCs w:val="24"/>
        </w:rPr>
        <w:fldChar w:fldCharType="end"/>
      </w:r>
      <w:r>
        <w:rPr>
          <w:rFonts w:ascii="Arial" w:hAnsi="Arial" w:cs="Arial"/>
          <w:sz w:val="24"/>
          <w:szCs w:val="24"/>
        </w:rPr>
        <w:t xml:space="preserve">. Incorpora coeficientes que explican las variaciones genotípicas en términos de fenología, fisiología y atributos genéticos </w:t>
      </w:r>
      <w:r>
        <w:fldChar w:fldCharType="begin"/>
      </w:r>
      <w:r>
        <w:rPr>
          <w:rFonts w:ascii="Arial" w:hAnsi="Arial" w:cs="Arial"/>
          <w:sz w:val="24"/>
          <w:szCs w:val="24"/>
        </w:rPr>
        <w:instrText>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ascii="Arial" w:hAnsi="Arial" w:cs="Arial"/>
          <w:sz w:val="24"/>
          <w:szCs w:val="24"/>
        </w:rPr>
        <w:fldChar w:fldCharType="separate"/>
      </w:r>
      <w:r>
        <w:rPr>
          <w:rFonts w:ascii="Arial" w:hAnsi="Arial" w:cs="Arial"/>
          <w:sz w:val="24"/>
          <w:szCs w:val="24"/>
        </w:rPr>
        <w:t>(Hunt et al., 1989)</w:t>
      </w:r>
      <w:r>
        <w:rPr>
          <w:rFonts w:ascii="Arial" w:hAnsi="Arial" w:cs="Arial"/>
          <w:sz w:val="24"/>
          <w:szCs w:val="24"/>
        </w:rPr>
        <w:fldChar w:fldCharType="end"/>
      </w:r>
      <w:r>
        <w:rPr>
          <w:rFonts w:ascii="Arial" w:hAnsi="Arial" w:cs="Arial"/>
          <w:sz w:val="24"/>
          <w:szCs w:val="24"/>
        </w:rPr>
        <w:t xml:space="preserve">. Estos coeficientes genéticos se requieren como entradas del modelo y varían ampliamente entre las diferentes variedades </w:t>
      </w:r>
      <w:r>
        <w:fldChar w:fldCharType="begin"/>
      </w:r>
      <w:r>
        <w:rPr>
          <w:rFonts w:ascii="Arial" w:hAnsi="Arial" w:cs="Arial"/>
          <w:sz w:val="24"/>
          <w:szCs w:val="24"/>
        </w:rPr>
        <w:instrText>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(Abou El-Enin et al., 2016)</w:t>
      </w:r>
      <w:r>
        <w:rPr>
          <w:rFonts w:ascii="Arial" w:hAnsi="Arial" w:cs="Arial"/>
          <w:sz w:val="24"/>
          <w:szCs w:val="24"/>
        </w:rPr>
        <w:fldChar w:fldCharType="end"/>
      </w:r>
      <w:r>
        <w:rPr>
          <w:rFonts w:ascii="Arial" w:hAnsi="Arial" w:cs="Arial"/>
          <w:sz w:val="24"/>
          <w:szCs w:val="24"/>
        </w:rPr>
        <w:t>.</w:t>
      </w:r>
    </w:p>
    <w:p w14:paraId="44A4AA00" w14:textId="77777777" w:rsidR="000630B1" w:rsidRDefault="000630B1" w:rsidP="000630B1">
      <w:pPr>
        <w:spacing w:after="0" w:line="360" w:lineRule="auto"/>
        <w:jc w:val="both"/>
        <w:rPr>
          <w:rFonts w:ascii="Arial" w:hAnsi="Arial" w:cs="Arial"/>
          <w:sz w:val="24"/>
          <w:szCs w:val="24"/>
        </w:rPr>
      </w:pPr>
    </w:p>
    <w:p w14:paraId="7C1A99BD" w14:textId="77777777" w:rsidR="000630B1" w:rsidRDefault="000630B1" w:rsidP="000630B1">
      <w:pPr>
        <w:shd w:val="clear" w:color="auto" w:fill="FFFFFF"/>
        <w:spacing w:after="0" w:line="360" w:lineRule="auto"/>
        <w:jc w:val="both"/>
        <w:rPr>
          <w:rFonts w:ascii="Arial" w:hAnsi="Arial" w:cs="Arial"/>
          <w:color w:val="C00000"/>
          <w:sz w:val="24"/>
          <w:szCs w:val="24"/>
        </w:rPr>
      </w:pPr>
      <w:r>
        <w:rPr>
          <w:rFonts w:ascii="Arial" w:hAnsi="Arial" w:cs="Arial"/>
          <w:sz w:val="24"/>
          <w:szCs w:val="24"/>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2388DC67" w14:textId="77777777" w:rsidR="000630B1" w:rsidRDefault="000630B1" w:rsidP="000630B1">
      <w:pPr>
        <w:spacing w:after="0" w:line="360" w:lineRule="auto"/>
        <w:jc w:val="both"/>
        <w:rPr>
          <w:rFonts w:ascii="Arial" w:hAnsi="Arial" w:cs="Arial"/>
          <w:color w:val="C00000"/>
          <w:sz w:val="24"/>
          <w:szCs w:val="24"/>
        </w:rPr>
      </w:pPr>
      <w:r>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ascii="Arial" w:hAnsi="Arial" w:cs="Arial"/>
          <w:color w:val="C00000"/>
          <w:sz w:val="24"/>
          <w:szCs w:val="24"/>
        </w:rPr>
        <w:instrText>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color w:val="C00000"/>
          <w:sz w:val="24"/>
          <w:szCs w:val="24"/>
        </w:rPr>
        <w:fldChar w:fldCharType="separate"/>
      </w:r>
      <w:r>
        <w:rPr>
          <w:rFonts w:ascii="Arial" w:hAnsi="Arial" w:cs="Arial"/>
          <w:sz w:val="24"/>
          <w:szCs w:val="24"/>
        </w:rPr>
        <w:t>(Corbeels et al., 2016)</w:t>
      </w:r>
      <w:r>
        <w:rPr>
          <w:rFonts w:ascii="Arial" w:hAnsi="Arial" w:cs="Arial"/>
          <w:color w:val="C00000"/>
          <w:sz w:val="24"/>
          <w:szCs w:val="24"/>
        </w:rPr>
        <w:fldChar w:fldCharType="end"/>
      </w:r>
      <w:r>
        <w:rPr>
          <w:rFonts w:ascii="Arial" w:hAnsi="Arial" w:cs="Arial"/>
          <w:color w:val="C00000"/>
          <w:sz w:val="24"/>
          <w:szCs w:val="24"/>
        </w:rPr>
        <w:t>.</w:t>
      </w:r>
    </w:p>
    <w:p w14:paraId="547C0EE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g">
            <w:drawing>
              <wp:anchor distT="0" distB="10160" distL="0" distR="26670" simplePos="0" relativeHeight="251664384" behindDoc="0" locked="0" layoutInCell="1" allowOverlap="1" wp14:anchorId="469C0AAD" wp14:editId="6B526F94">
                <wp:simplePos x="0" y="0"/>
                <wp:positionH relativeFrom="column">
                  <wp:posOffset>722630</wp:posOffset>
                </wp:positionH>
                <wp:positionV relativeFrom="page">
                  <wp:posOffset>2001520</wp:posOffset>
                </wp:positionV>
                <wp:extent cx="4754880" cy="3285490"/>
                <wp:effectExtent l="6350" t="6985" r="6350" b="6350"/>
                <wp:wrapNone/>
                <wp:docPr id="6" name="Grupo 3"/>
                <wp:cNvGraphicFramePr/>
                <a:graphic xmlns:a="http://schemas.openxmlformats.org/drawingml/2006/main">
                  <a:graphicData uri="http://schemas.microsoft.com/office/word/2010/wordprocessingGroup">
                    <wpg:wgp>
                      <wpg:cNvGrpSpPr/>
                      <wpg:grpSpPr>
                        <a:xfrm>
                          <a:off x="0" y="0"/>
                          <a:ext cx="4754880" cy="3285360"/>
                          <a:chOff x="0" y="0"/>
                          <a:chExt cx="4754880" cy="3285360"/>
                        </a:xfrm>
                      </wpg:grpSpPr>
                      <wps:wsp>
                        <wps:cNvPr id="8" name="Llamada de flecha hacia abajo 8"/>
                        <wps:cNvSpPr/>
                        <wps:spPr>
                          <a:xfrm>
                            <a:off x="0" y="0"/>
                            <a:ext cx="4702680" cy="1423080"/>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65600" y="2303280"/>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wgp>
                  </a:graphicData>
                </a:graphic>
              </wp:anchor>
            </w:drawing>
          </mc:Choice>
          <mc:Fallback>
            <w:pict>
              <v:group w14:anchorId="469C0AAD" id="Grupo 3" o:spid="_x0000_s1026" style="position:absolute;left:0;text-align:left;margin-left:56.9pt;margin-top:157.6pt;width:374.4pt;height:258.7pt;z-index:251664384;mso-wrap-distance-left:0;mso-wrap-distance-right:2.1pt;mso-wrap-distance-bottom:.8pt;mso-position-vertical-relative:page" coordsize="47548,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27" type="#_x0000_t80" style="position:absolute;width:47026;height:1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" adj="14035,9166,16200,9983" filled="f" strokecolor="#43729d" strokeweight="1pt">
                  <v:textbox inset="0,0,0,0">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656;top:23032;width:45892;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w10:wrap anchory="page"/>
              </v:group>
            </w:pict>
          </mc:Fallback>
        </mc:AlternateContent>
      </w:r>
    </w:p>
    <w:p w14:paraId="365438DD" w14:textId="77777777" w:rsidR="000630B1" w:rsidRDefault="000630B1" w:rsidP="000630B1">
      <w:pPr>
        <w:spacing w:after="0" w:line="360" w:lineRule="auto"/>
        <w:jc w:val="center"/>
        <w:rPr>
          <w:rFonts w:ascii="Arial" w:hAnsi="Arial" w:cs="Arial"/>
          <w:color w:val="C00000"/>
          <w:sz w:val="24"/>
          <w:szCs w:val="24"/>
        </w:rPr>
      </w:pPr>
    </w:p>
    <w:p w14:paraId="58164FAC" w14:textId="77777777" w:rsidR="000630B1" w:rsidRDefault="000630B1" w:rsidP="000630B1">
      <w:pPr>
        <w:spacing w:after="0" w:line="360" w:lineRule="auto"/>
        <w:jc w:val="both"/>
        <w:rPr>
          <w:rFonts w:ascii="Arial" w:hAnsi="Arial" w:cs="Arial"/>
          <w:color w:val="C00000"/>
          <w:sz w:val="24"/>
          <w:szCs w:val="24"/>
        </w:rPr>
      </w:pPr>
    </w:p>
    <w:p w14:paraId="6AFB6E12" w14:textId="77777777" w:rsidR="000630B1" w:rsidRDefault="000630B1" w:rsidP="000630B1">
      <w:pPr>
        <w:spacing w:after="0" w:line="360" w:lineRule="auto"/>
        <w:jc w:val="both"/>
        <w:rPr>
          <w:rFonts w:ascii="Arial" w:hAnsi="Arial" w:cs="Arial"/>
          <w:color w:val="C00000"/>
          <w:sz w:val="24"/>
          <w:szCs w:val="24"/>
        </w:rPr>
      </w:pPr>
    </w:p>
    <w:p w14:paraId="4ABA9AA8" w14:textId="77777777" w:rsidR="000630B1" w:rsidRDefault="000630B1" w:rsidP="000630B1">
      <w:pPr>
        <w:spacing w:after="0" w:line="360" w:lineRule="auto"/>
        <w:jc w:val="both"/>
        <w:rPr>
          <w:rFonts w:ascii="Arial" w:hAnsi="Arial" w:cs="Arial"/>
          <w:color w:val="C00000"/>
          <w:sz w:val="24"/>
          <w:szCs w:val="24"/>
        </w:rPr>
      </w:pPr>
    </w:p>
    <w:p w14:paraId="73CBEB1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106045" distL="0" distR="10795" simplePos="0" relativeHeight="251665408" behindDoc="0" locked="0" layoutInCell="1" allowOverlap="1" wp14:anchorId="548F6DB6" wp14:editId="1D70BD28">
                <wp:simplePos x="0" y="0"/>
                <wp:positionH relativeFrom="column">
                  <wp:posOffset>1050290</wp:posOffset>
                </wp:positionH>
                <wp:positionV relativeFrom="paragraph">
                  <wp:posOffset>158750</wp:posOffset>
                </wp:positionV>
                <wp:extent cx="4123690" cy="656590"/>
                <wp:effectExtent l="6985" t="6985" r="6985" b="89535"/>
                <wp:wrapNone/>
                <wp:docPr id="4" name="Llamada rectangular redondeada 7"/>
                <wp:cNvGraphicFramePr/>
                <a:graphic xmlns:a="http://schemas.openxmlformats.org/drawingml/2006/main">
                  <a:graphicData uri="http://schemas.microsoft.com/office/word/2010/wordprocessingShape">
                    <wps:wsp>
                      <wps:cNvSpPr/>
                      <wps:spPr>
                        <a:xfrm>
                          <a:off x="0" y="0"/>
                          <a:ext cx="4123800" cy="65664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wps:txbx>
                      <wps:bodyPr anchor="ctr">
                        <a:prstTxWarp prst="textNoShape">
                          <a:avLst/>
                        </a:prstTxWarp>
                        <a:noAutofit/>
                      </wps:bodyPr>
                    </wps:wsp>
                  </a:graphicData>
                </a:graphic>
              </wp:anchor>
            </w:drawing>
          </mc:Choice>
          <mc:Fallback>
            <w:pict>
              <v:shapetype w14:anchorId="548F6D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7pt;z-index:251665408;visibility:visible;mso-wrap-style:square;mso-wrap-distance-left:0;mso-wrap-distance-top:0;mso-wrap-distance-right:.85pt;mso-wrap-distance-bottom:8.3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" adj="6300,24300" strokeweight="1pt">
                <v:textbo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v:textbox>
              </v:shape>
            </w:pict>
          </mc:Fallback>
        </mc:AlternateContent>
      </w:r>
    </w:p>
    <w:p w14:paraId="71066C7A" w14:textId="77777777" w:rsidR="000630B1" w:rsidRDefault="000630B1" w:rsidP="000630B1">
      <w:pPr>
        <w:spacing w:after="0" w:line="360" w:lineRule="auto"/>
        <w:jc w:val="both"/>
        <w:rPr>
          <w:rFonts w:ascii="Arial" w:hAnsi="Arial" w:cs="Arial"/>
          <w:color w:val="C00000"/>
          <w:sz w:val="24"/>
          <w:szCs w:val="24"/>
        </w:rPr>
      </w:pPr>
    </w:p>
    <w:p w14:paraId="1E7C7B3C" w14:textId="77777777" w:rsidR="000630B1" w:rsidRDefault="000630B1" w:rsidP="000630B1">
      <w:pPr>
        <w:spacing w:after="0" w:line="360" w:lineRule="auto"/>
        <w:jc w:val="both"/>
        <w:rPr>
          <w:rFonts w:ascii="Arial" w:hAnsi="Arial" w:cs="Arial"/>
          <w:color w:val="C00000"/>
          <w:sz w:val="24"/>
          <w:szCs w:val="24"/>
        </w:rPr>
      </w:pPr>
    </w:p>
    <w:p w14:paraId="28906A77" w14:textId="77777777" w:rsidR="000630B1" w:rsidRDefault="000630B1" w:rsidP="000630B1">
      <w:pPr>
        <w:spacing w:after="0" w:line="360" w:lineRule="auto"/>
        <w:jc w:val="both"/>
        <w:rPr>
          <w:rFonts w:ascii="Arial" w:hAnsi="Arial" w:cs="Arial"/>
          <w:color w:val="C00000"/>
          <w:sz w:val="24"/>
          <w:szCs w:val="24"/>
        </w:rPr>
      </w:pPr>
    </w:p>
    <w:p w14:paraId="47511D83" w14:textId="77777777" w:rsidR="000630B1" w:rsidRDefault="000630B1" w:rsidP="000630B1">
      <w:pPr>
        <w:spacing w:after="0" w:line="360" w:lineRule="auto"/>
        <w:jc w:val="both"/>
        <w:rPr>
          <w:rFonts w:ascii="Arial" w:hAnsi="Arial" w:cs="Arial"/>
          <w:color w:val="C00000"/>
          <w:sz w:val="24"/>
          <w:szCs w:val="24"/>
        </w:rPr>
      </w:pPr>
    </w:p>
    <w:p w14:paraId="0DE612F8" w14:textId="77777777" w:rsidR="000630B1" w:rsidRDefault="000630B1" w:rsidP="000630B1">
      <w:pPr>
        <w:spacing w:after="0" w:line="360" w:lineRule="auto"/>
        <w:jc w:val="both"/>
        <w:rPr>
          <w:rFonts w:ascii="Arial" w:hAnsi="Arial" w:cs="Arial"/>
          <w:color w:val="C00000"/>
          <w:sz w:val="24"/>
          <w:szCs w:val="24"/>
        </w:rPr>
      </w:pPr>
    </w:p>
    <w:p w14:paraId="4E72688B" w14:textId="77777777" w:rsidR="000630B1" w:rsidRDefault="000630B1" w:rsidP="000630B1">
      <w:pPr>
        <w:spacing w:after="0" w:line="360" w:lineRule="auto"/>
        <w:jc w:val="both"/>
        <w:rPr>
          <w:rFonts w:ascii="Arial" w:hAnsi="Arial" w:cs="Arial"/>
          <w:color w:val="C00000"/>
          <w:sz w:val="24"/>
          <w:szCs w:val="24"/>
        </w:rPr>
      </w:pPr>
    </w:p>
    <w:p w14:paraId="16217C08" w14:textId="77777777" w:rsidR="000630B1" w:rsidRDefault="000630B1" w:rsidP="000630B1">
      <w:pPr>
        <w:spacing w:after="0" w:line="360" w:lineRule="auto"/>
        <w:jc w:val="both"/>
        <w:rPr>
          <w:rFonts w:ascii="Arial" w:hAnsi="Arial" w:cs="Arial"/>
          <w:color w:val="C00000"/>
          <w:sz w:val="24"/>
          <w:szCs w:val="24"/>
        </w:rPr>
      </w:pPr>
    </w:p>
    <w:p w14:paraId="1DA00916"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Figura 1: Estructura de DSSAT </w:t>
      </w:r>
      <w:r>
        <w:fldChar w:fldCharType="begin"/>
      </w:r>
      <w:r>
        <w:rPr>
          <w:rFonts w:ascii="Arial" w:hAnsi="Arial" w:cs="Arial"/>
          <w:sz w:val="24"/>
          <w:szCs w:val="24"/>
        </w:rPr>
        <w:instrText>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p>
    <w:p w14:paraId="1F89641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Fuente: Elaboración propia</w:t>
      </w:r>
    </w:p>
    <w:p w14:paraId="74D18AB0" w14:textId="77777777" w:rsidR="000630B1" w:rsidRDefault="000630B1" w:rsidP="000630B1">
      <w:pPr>
        <w:spacing w:after="0" w:line="360" w:lineRule="auto"/>
        <w:jc w:val="both"/>
        <w:rPr>
          <w:rFonts w:ascii="Arial" w:hAnsi="Arial" w:cs="Arial"/>
          <w:color w:val="C00000"/>
          <w:sz w:val="24"/>
          <w:szCs w:val="24"/>
        </w:rPr>
      </w:pPr>
    </w:p>
    <w:p w14:paraId="25C274F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300D8796" w14:textId="77777777" w:rsidR="000630B1" w:rsidRDefault="000630B1" w:rsidP="000630B1">
      <w:pPr>
        <w:spacing w:after="0" w:line="360" w:lineRule="auto"/>
        <w:jc w:val="both"/>
        <w:rPr>
          <w:rFonts w:ascii="Arial" w:hAnsi="Arial" w:cs="Arial"/>
          <w:sz w:val="24"/>
          <w:szCs w:val="24"/>
        </w:rPr>
      </w:pPr>
    </w:p>
    <w:p w14:paraId="1217624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26212C82" w14:textId="77777777" w:rsidR="000630B1" w:rsidRDefault="000630B1" w:rsidP="000630B1">
      <w:pPr>
        <w:spacing w:after="0" w:line="360" w:lineRule="auto"/>
        <w:rPr>
          <w:rFonts w:ascii="Arial" w:hAnsi="Arial" w:cs="Arial"/>
          <w:sz w:val="24"/>
          <w:szCs w:val="24"/>
        </w:rPr>
      </w:pPr>
    </w:p>
    <w:p w14:paraId="61B54959"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02CBB82C" w14:textId="77777777" w:rsidR="000630B1" w:rsidRDefault="000630B1" w:rsidP="000630B1">
      <w:pPr>
        <w:spacing w:after="0" w:line="360" w:lineRule="auto"/>
        <w:rPr>
          <w:rFonts w:ascii="Arial" w:hAnsi="Arial" w:cs="Arial"/>
          <w:sz w:val="24"/>
          <w:szCs w:val="24"/>
        </w:rPr>
      </w:pPr>
    </w:p>
    <w:p w14:paraId="5C65257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2F5BD40D" w14:textId="77777777" w:rsidR="000630B1" w:rsidRDefault="000630B1" w:rsidP="000630B1"/>
    <w:p w14:paraId="70E2C49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cultivo-bioproducto-agua-ambiente. </w:t>
      </w:r>
    </w:p>
    <w:p w14:paraId="266F358C" w14:textId="301FD0EC" w:rsidR="00F725CE" w:rsidRPr="00A6097C" w:rsidRDefault="00F725CE" w:rsidP="00A6097C">
      <w:pPr>
        <w:autoSpaceDE w:val="0"/>
        <w:autoSpaceDN w:val="0"/>
        <w:adjustRightInd w:val="0"/>
        <w:spacing w:after="0" w:line="360" w:lineRule="auto"/>
        <w:jc w:val="both"/>
        <w:rPr>
          <w:rFonts w:ascii="Arial" w:hAnsi="Arial" w:cs="Arial"/>
          <w:sz w:val="24"/>
          <w:szCs w:val="24"/>
        </w:rPr>
      </w:pPr>
      <w:r w:rsidRPr="00A6097C">
        <w:rPr>
          <w:rFonts w:ascii="Arial" w:hAnsi="Arial" w:cs="Arial"/>
          <w:sz w:val="24"/>
          <w:szCs w:val="24"/>
        </w:rPr>
        <w:t xml:space="preserve"> </w:t>
      </w:r>
    </w:p>
    <w:p w14:paraId="196BD8F0" w14:textId="77777777" w:rsidR="00252DF7" w:rsidRDefault="00252DF7">
      <w:pPr>
        <w:rPr>
          <w:rFonts w:ascii="Arial" w:eastAsiaTheme="majorEastAsia" w:hAnsi="Arial" w:cstheme="majorBidi"/>
          <w:b/>
          <w:bCs/>
          <w:sz w:val="28"/>
          <w:szCs w:val="28"/>
        </w:rPr>
      </w:pPr>
      <w:r>
        <w:br w:type="page"/>
      </w:r>
    </w:p>
    <w:p w14:paraId="189A6978" w14:textId="5F4FF4B6" w:rsidR="00A16170" w:rsidRPr="001877EF" w:rsidRDefault="00A16170" w:rsidP="001877EF">
      <w:pPr>
        <w:pStyle w:val="Ttulo1"/>
      </w:pPr>
      <w:r w:rsidRPr="001877EF">
        <w:lastRenderedPageBreak/>
        <w:t>CAPÍTULO 2. MATERIALES Y MÉTODOS</w:t>
      </w:r>
    </w:p>
    <w:p w14:paraId="5B86D535" w14:textId="4CD27919" w:rsidR="009C09B4" w:rsidRDefault="009C09B4" w:rsidP="009C09B4">
      <w:pPr>
        <w:spacing w:before="120" w:after="0" w:line="360" w:lineRule="auto"/>
        <w:jc w:val="both"/>
        <w:rPr>
          <w:rFonts w:ascii="Arial" w:hAnsi="Arial" w:cs="Arial"/>
          <w:sz w:val="24"/>
          <w:szCs w:val="24"/>
        </w:rPr>
      </w:pPr>
      <w:r>
        <w:rPr>
          <w:rFonts w:ascii="Arial" w:hAnsi="Arial" w:cs="Arial"/>
          <w:sz w:val="24"/>
          <w:szCs w:val="24"/>
        </w:rPr>
        <w:t xml:space="preserve">En la investigación se utilizaron dos experimentos, el primero en </w:t>
      </w:r>
      <w:r w:rsidRPr="009C09B4">
        <w:rPr>
          <w:rFonts w:ascii="Arial" w:hAnsi="Arial" w:cs="Arial"/>
          <w:sz w:val="24"/>
          <w:szCs w:val="24"/>
        </w:rPr>
        <w:t>la Finca “El Mulato”, ubicada a 23°00'34.6"LN y 82°08'20.5"LO, a una altura de 122 m.s.n.m., que pertenece a la CCS Orlando Cuellar del Municipio San José de las La</w:t>
      </w:r>
      <w:r>
        <w:rPr>
          <w:rFonts w:ascii="Arial" w:hAnsi="Arial" w:cs="Arial"/>
          <w:sz w:val="24"/>
          <w:szCs w:val="24"/>
        </w:rPr>
        <w:t xml:space="preserve">jas, de la provincia Mayabeque. El </w:t>
      </w:r>
      <w:r w:rsidR="00EE6312">
        <w:rPr>
          <w:rFonts w:ascii="Arial" w:hAnsi="Arial" w:cs="Arial"/>
          <w:sz w:val="24"/>
          <w:szCs w:val="24"/>
        </w:rPr>
        <w:t>experimento fue</w:t>
      </w:r>
      <w:r>
        <w:rPr>
          <w:rFonts w:ascii="Arial" w:hAnsi="Arial" w:cs="Arial"/>
          <w:sz w:val="24"/>
          <w:szCs w:val="24"/>
        </w:rPr>
        <w:t xml:space="preserve"> sembrado </w:t>
      </w:r>
      <w:r w:rsidRPr="00EE6312">
        <w:rPr>
          <w:rFonts w:ascii="Arial" w:hAnsi="Arial" w:cs="Arial"/>
          <w:sz w:val="24"/>
          <w:szCs w:val="24"/>
        </w:rPr>
        <w:t>en el período abril–julio de 2016, con 25,59 ± 1,81°C de temperatura promedio, 77,82 ± 6,40 % de humedad relativa y 620,7 mm de precipitaciones acumuladas</w:t>
      </w:r>
      <w:r w:rsidR="00EE6312">
        <w:rPr>
          <w:rFonts w:ascii="Arial" w:hAnsi="Arial" w:cs="Arial"/>
          <w:sz w:val="24"/>
          <w:szCs w:val="24"/>
        </w:rPr>
        <w:t>.</w:t>
      </w:r>
    </w:p>
    <w:p w14:paraId="649185B7" w14:textId="713ED601" w:rsidR="00386826" w:rsidRPr="007171E7" w:rsidRDefault="00386826" w:rsidP="00386826">
      <w:pPr>
        <w:autoSpaceDE w:val="0"/>
        <w:autoSpaceDN w:val="0"/>
        <w:adjustRightInd w:val="0"/>
        <w:spacing w:after="0" w:line="240" w:lineRule="auto"/>
        <w:jc w:val="both"/>
        <w:rPr>
          <w:rFonts w:ascii="Arial" w:hAnsi="Arial" w:cs="Arial"/>
          <w:sz w:val="24"/>
          <w:szCs w:val="24"/>
        </w:rPr>
      </w:pPr>
      <w:r w:rsidRPr="007171E7">
        <w:rPr>
          <w:rFonts w:ascii="Arial" w:hAnsi="Arial" w:cs="Arial"/>
          <w:sz w:val="24"/>
          <w:szCs w:val="24"/>
        </w:rPr>
        <w:t xml:space="preserve">Tabla </w:t>
      </w:r>
      <w:r w:rsidR="005D6EB7">
        <w:rPr>
          <w:rFonts w:ascii="Arial" w:hAnsi="Arial" w:cs="Arial"/>
          <w:sz w:val="24"/>
          <w:szCs w:val="24"/>
        </w:rPr>
        <w:t>1.</w:t>
      </w:r>
      <w:r w:rsidRPr="007171E7">
        <w:rPr>
          <w:rFonts w:ascii="Arial" w:hAnsi="Arial" w:cs="Arial"/>
          <w:sz w:val="24"/>
          <w:szCs w:val="24"/>
        </w:rPr>
        <w:t xml:space="preserve"> Fechas de siembra utilizadas en los experimentos</w:t>
      </w:r>
      <w:r>
        <w:rPr>
          <w:rFonts w:ascii="Arial" w:hAnsi="Arial" w:cs="Arial"/>
          <w:sz w:val="24"/>
          <w:szCs w:val="24"/>
        </w:rPr>
        <w:t xml:space="preserve"> para la calibración del cultivar P-7928</w:t>
      </w:r>
    </w:p>
    <w:tbl>
      <w:tblPr>
        <w:tblStyle w:val="Tabladecuadrcula5oscura-nfasis4"/>
        <w:tblW w:w="0" w:type="auto"/>
        <w:jc w:val="center"/>
        <w:tblLook w:val="04A0" w:firstRow="1" w:lastRow="0" w:firstColumn="1" w:lastColumn="0" w:noHBand="0" w:noVBand="1"/>
      </w:tblPr>
      <w:tblGrid>
        <w:gridCol w:w="657"/>
        <w:gridCol w:w="1181"/>
        <w:gridCol w:w="1185"/>
        <w:gridCol w:w="1849"/>
      </w:tblGrid>
      <w:tr w:rsidR="00386826" w14:paraId="75071CFF" w14:textId="77777777" w:rsidTr="003868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3DC3AE53" w14:textId="77777777" w:rsidR="00386826" w:rsidRPr="005D6EB7" w:rsidRDefault="00386826" w:rsidP="005D6EB7">
            <w:r w:rsidRPr="005D6EB7">
              <w:t>No</w:t>
            </w:r>
          </w:p>
        </w:tc>
        <w:tc>
          <w:tcPr>
            <w:tcW w:w="1181" w:type="dxa"/>
          </w:tcPr>
          <w:p w14:paraId="17036EC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Día</w:t>
            </w:r>
          </w:p>
        </w:tc>
        <w:tc>
          <w:tcPr>
            <w:tcW w:w="986" w:type="dxa"/>
          </w:tcPr>
          <w:p w14:paraId="79BCE2B0"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Mes</w:t>
            </w:r>
          </w:p>
        </w:tc>
        <w:tc>
          <w:tcPr>
            <w:tcW w:w="1849" w:type="dxa"/>
          </w:tcPr>
          <w:p w14:paraId="5E516E7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Año</w:t>
            </w:r>
          </w:p>
        </w:tc>
      </w:tr>
      <w:tr w:rsidR="00386826" w14:paraId="081300FB" w14:textId="77777777" w:rsidTr="003868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2CF06011" w14:textId="77777777" w:rsidR="00386826" w:rsidRPr="005D6EB7" w:rsidRDefault="00386826" w:rsidP="005D6EB7">
            <w:r w:rsidRPr="005D6EB7">
              <w:t>1</w:t>
            </w:r>
          </w:p>
        </w:tc>
        <w:tc>
          <w:tcPr>
            <w:tcW w:w="1181" w:type="dxa"/>
            <w:vAlign w:val="center"/>
          </w:tcPr>
          <w:p w14:paraId="1CA248B7" w14:textId="169863B5"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14 (104)</w:t>
            </w:r>
          </w:p>
        </w:tc>
        <w:tc>
          <w:tcPr>
            <w:tcW w:w="986" w:type="dxa"/>
            <w:vAlign w:val="center"/>
          </w:tcPr>
          <w:p w14:paraId="18CC5479" w14:textId="77777777"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noviembre</w:t>
            </w:r>
          </w:p>
        </w:tc>
        <w:tc>
          <w:tcPr>
            <w:tcW w:w="1849" w:type="dxa"/>
            <w:vAlign w:val="center"/>
          </w:tcPr>
          <w:p w14:paraId="71D15E13" w14:textId="77777777"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2008</w:t>
            </w:r>
          </w:p>
        </w:tc>
      </w:tr>
      <w:tr w:rsidR="00386826" w14:paraId="1BA07DAA" w14:textId="77777777" w:rsidTr="00386826">
        <w:trPr>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5C195D3F" w14:textId="77777777" w:rsidR="00386826" w:rsidRPr="005D6EB7" w:rsidRDefault="00386826" w:rsidP="005D6EB7">
            <w:r w:rsidRPr="005D6EB7">
              <w:t>2</w:t>
            </w:r>
          </w:p>
        </w:tc>
        <w:tc>
          <w:tcPr>
            <w:tcW w:w="1181" w:type="dxa"/>
            <w:vAlign w:val="center"/>
          </w:tcPr>
          <w:p w14:paraId="541B1F57"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12</w:t>
            </w:r>
          </w:p>
        </w:tc>
        <w:tc>
          <w:tcPr>
            <w:tcW w:w="986" w:type="dxa"/>
            <w:vAlign w:val="center"/>
          </w:tcPr>
          <w:p w14:paraId="2F8E2433"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junio</w:t>
            </w:r>
          </w:p>
        </w:tc>
        <w:tc>
          <w:tcPr>
            <w:tcW w:w="1849" w:type="dxa"/>
            <w:vAlign w:val="center"/>
          </w:tcPr>
          <w:p w14:paraId="7B0F78F6"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2009</w:t>
            </w:r>
          </w:p>
        </w:tc>
      </w:tr>
    </w:tbl>
    <w:p w14:paraId="386061B7" w14:textId="77777777" w:rsidR="00386826" w:rsidRDefault="00386826" w:rsidP="009C09B4">
      <w:pPr>
        <w:spacing w:before="120" w:after="0" w:line="360" w:lineRule="auto"/>
        <w:jc w:val="both"/>
        <w:rPr>
          <w:rFonts w:ascii="Arial" w:hAnsi="Arial" w:cs="Arial"/>
          <w:sz w:val="24"/>
          <w:szCs w:val="24"/>
        </w:rPr>
      </w:pPr>
    </w:p>
    <w:p w14:paraId="34F4657D" w14:textId="71CEF4B7" w:rsidR="00672A69" w:rsidRPr="00672A69" w:rsidRDefault="00252DF7" w:rsidP="005D6EB7">
      <w:pPr>
        <w:autoSpaceDE w:val="0"/>
        <w:autoSpaceDN w:val="0"/>
        <w:adjustRightInd w:val="0"/>
        <w:spacing w:after="0" w:line="480" w:lineRule="auto"/>
        <w:jc w:val="both"/>
      </w:pPr>
      <w:r w:rsidRPr="00672A69">
        <w:rPr>
          <w:rFonts w:ascii="Arial" w:hAnsi="Arial" w:cs="Arial"/>
          <w:color w:val="000000" w:themeColor="text1"/>
          <w:sz w:val="24"/>
          <w:szCs w:val="24"/>
          <w:highlight w:val="yellow"/>
        </w:rPr>
        <w:t xml:space="preserve">El segundo experimento utilizado </w:t>
      </w:r>
      <w:r w:rsidR="00672A69" w:rsidRPr="00672A69">
        <w:rPr>
          <w:highlight w:val="yellow"/>
        </w:rPr>
        <w:t>se desarrolló en áreas de la Granja San Blas (Finca de semillas) perteneciente a la Empresa Agropecuaria del MININT, ubicada en la localidad de Cerca Blanca del municipio Bayamo en Granma entre los días 11 de abril al 26 de julio del 2016.</w:t>
      </w:r>
    </w:p>
    <w:p w14:paraId="44FC614A" w14:textId="51F67B83" w:rsidR="00672A69" w:rsidRDefault="00672A69" w:rsidP="005D6EB7">
      <w:pPr>
        <w:autoSpaceDE w:val="0"/>
        <w:autoSpaceDN w:val="0"/>
        <w:adjustRightInd w:val="0"/>
        <w:spacing w:after="0" w:line="480" w:lineRule="auto"/>
        <w:jc w:val="both"/>
        <w:rPr>
          <w:rFonts w:ascii="Arial" w:hAnsi="Arial" w:cs="Arial"/>
          <w:color w:val="000000" w:themeColor="text1"/>
          <w:sz w:val="24"/>
          <w:szCs w:val="24"/>
        </w:rPr>
      </w:pPr>
    </w:p>
    <w:p w14:paraId="61D8DB0E" w14:textId="1B86BDC3" w:rsidR="005D6EB7" w:rsidRDefault="00252DF7" w:rsidP="005D6EB7">
      <w:pPr>
        <w:autoSpaceDE w:val="0"/>
        <w:autoSpaceDN w:val="0"/>
        <w:adjustRightInd w:val="0"/>
        <w:spacing w:after="0" w:line="480" w:lineRule="auto"/>
        <w:jc w:val="both"/>
      </w:pPr>
      <w:r>
        <w:rPr>
          <w:rFonts w:ascii="Arial" w:hAnsi="Arial" w:cs="Arial"/>
          <w:color w:val="000000" w:themeColor="text1"/>
          <w:sz w:val="24"/>
          <w:szCs w:val="24"/>
        </w:rPr>
        <w:t>Con relación al clima se utilizaron l</w:t>
      </w:r>
      <w:r w:rsidR="005D6EB7" w:rsidRPr="005713D5">
        <w:rPr>
          <w:rFonts w:ascii="Arial" w:hAnsi="Arial" w:cs="Arial"/>
          <w:color w:val="000000" w:themeColor="text1"/>
          <w:sz w:val="24"/>
          <w:szCs w:val="24"/>
        </w:rPr>
        <w:t xml:space="preserve">os valores </w:t>
      </w:r>
      <w:r w:rsidR="005D6EB7">
        <w:rPr>
          <w:rFonts w:ascii="Arial" w:hAnsi="Arial" w:cs="Arial"/>
          <w:color w:val="000000" w:themeColor="text1"/>
          <w:sz w:val="24"/>
          <w:szCs w:val="24"/>
        </w:rPr>
        <w:t xml:space="preserve">diarios </w:t>
      </w:r>
      <w:r w:rsidR="005D6EB7" w:rsidRPr="005713D5">
        <w:rPr>
          <w:rFonts w:ascii="Arial" w:hAnsi="Arial" w:cs="Arial"/>
          <w:color w:val="000000" w:themeColor="text1"/>
          <w:sz w:val="24"/>
          <w:szCs w:val="24"/>
        </w:rPr>
        <w:t>de las variables meteorológicas (</w:t>
      </w:r>
      <w:r w:rsidR="005D6EB7" w:rsidRPr="00B97ED1">
        <w:rPr>
          <w:rFonts w:ascii="Arial" w:hAnsi="Arial" w:cs="Arial"/>
          <w:color w:val="000000" w:themeColor="text1"/>
          <w:sz w:val="24"/>
          <w:szCs w:val="24"/>
        </w:rPr>
        <w:t>temperatura máxima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 xml:space="preserve">C), </w:t>
      </w:r>
      <w:r w:rsidR="005D6EB7" w:rsidRPr="00B97ED1">
        <w:rPr>
          <w:rFonts w:ascii="Arial" w:hAnsi="Arial" w:cs="Arial"/>
          <w:color w:val="000000" w:themeColor="text1"/>
          <w:sz w:val="24"/>
          <w:szCs w:val="24"/>
        </w:rPr>
        <w:t>temperatura mínima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C)</w:t>
      </w:r>
      <w:r w:rsidR="005D6EB7" w:rsidRPr="005713D5">
        <w:rPr>
          <w:rFonts w:ascii="Arial" w:hAnsi="Arial" w:cs="Arial"/>
          <w:color w:val="000000" w:themeColor="text1"/>
          <w:sz w:val="24"/>
          <w:szCs w:val="24"/>
        </w:rPr>
        <w:t xml:space="preserve">, </w:t>
      </w:r>
      <w:r w:rsidR="005D6EB7" w:rsidRPr="00B97ED1">
        <w:rPr>
          <w:rFonts w:ascii="Arial" w:hAnsi="Arial" w:cs="Arial"/>
          <w:color w:val="000000" w:themeColor="text1"/>
          <w:sz w:val="24"/>
          <w:szCs w:val="24"/>
        </w:rPr>
        <w:t>precipitaci</w:t>
      </w:r>
      <w:r w:rsidR="005D6EB7">
        <w:rPr>
          <w:rFonts w:ascii="Arial" w:hAnsi="Arial" w:cs="Arial"/>
          <w:color w:val="000000" w:themeColor="text1"/>
          <w:sz w:val="24"/>
          <w:szCs w:val="24"/>
        </w:rPr>
        <w:t>o</w:t>
      </w:r>
      <w:r w:rsidR="005D6EB7" w:rsidRPr="00B97ED1">
        <w:rPr>
          <w:rFonts w:ascii="Arial" w:hAnsi="Arial" w:cs="Arial"/>
          <w:color w:val="000000" w:themeColor="text1"/>
          <w:sz w:val="24"/>
          <w:szCs w:val="24"/>
        </w:rPr>
        <w:t>n</w:t>
      </w:r>
      <w:r w:rsidR="005D6EB7">
        <w:rPr>
          <w:rFonts w:ascii="Arial" w:hAnsi="Arial" w:cs="Arial"/>
          <w:color w:val="000000" w:themeColor="text1"/>
          <w:sz w:val="24"/>
          <w:szCs w:val="24"/>
        </w:rPr>
        <w:t>es (mm) y radiación solar (MJ m</w:t>
      </w:r>
      <w:r w:rsidR="005D6EB7" w:rsidRPr="00833805">
        <w:rPr>
          <w:rFonts w:ascii="Arial" w:hAnsi="Arial" w:cs="Arial"/>
          <w:color w:val="000000" w:themeColor="text1"/>
          <w:sz w:val="24"/>
          <w:szCs w:val="24"/>
          <w:vertAlign w:val="superscript"/>
        </w:rPr>
        <w:t>-2</w:t>
      </w:r>
      <w:r w:rsidR="005D6EB7">
        <w:rPr>
          <w:rFonts w:ascii="Arial" w:hAnsi="Arial" w:cs="Arial"/>
          <w:color w:val="000000" w:themeColor="text1"/>
          <w:sz w:val="24"/>
          <w:szCs w:val="24"/>
        </w:rPr>
        <w:t>)</w:t>
      </w:r>
      <w:r w:rsidR="005D6EB7" w:rsidRPr="005713D5">
        <w:rPr>
          <w:rFonts w:ascii="Arial" w:hAnsi="Arial" w:cs="Arial"/>
          <w:color w:val="000000" w:themeColor="text1"/>
          <w:sz w:val="24"/>
          <w:szCs w:val="24"/>
        </w:rPr>
        <w:t xml:space="preserve">) de los años en que se desarrollaron los experimentos, se obtuvieron de la Estación Meteorológica de </w:t>
      </w:r>
      <w:r w:rsidR="005D6EB7">
        <w:rPr>
          <w:rFonts w:ascii="Arial" w:hAnsi="Arial" w:cs="Arial"/>
          <w:color w:val="000000" w:themeColor="text1"/>
          <w:sz w:val="24"/>
          <w:szCs w:val="24"/>
        </w:rPr>
        <w:t>Tapaste, cercana al área experimental.</w:t>
      </w:r>
      <w:r w:rsidR="005D6EB7" w:rsidRPr="005713D5">
        <w:t xml:space="preserve"> </w:t>
      </w:r>
    </w:p>
    <w:p w14:paraId="575895B5"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E1227">
        <w:rPr>
          <w:rFonts w:ascii="Arial" w:hAnsi="Arial" w:cs="Arial"/>
          <w:noProof/>
          <w:sz w:val="24"/>
          <w:szCs w:val="24"/>
          <w:lang w:eastAsia="es-ES"/>
        </w:rPr>
        <mc:AlternateContent>
          <mc:Choice Requires="wps">
            <w:drawing>
              <wp:anchor distT="0" distB="0" distL="114300" distR="114300" simplePos="0" relativeHeight="251662336" behindDoc="0" locked="0" layoutInCell="1" allowOverlap="1" wp14:anchorId="75B14C26" wp14:editId="2DC33249">
                <wp:simplePos x="0" y="0"/>
                <wp:positionH relativeFrom="column">
                  <wp:posOffset>4436828</wp:posOffset>
                </wp:positionH>
                <wp:positionV relativeFrom="paragraph">
                  <wp:posOffset>1058214</wp:posOffset>
                </wp:positionV>
                <wp:extent cx="419100" cy="285750"/>
                <wp:effectExtent l="0" t="0" r="0" b="0"/>
                <wp:wrapNone/>
                <wp:docPr id="279" name="Cuadro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3B7E443" w14:textId="77777777" w:rsidR="007C3032" w:rsidRPr="001069E9" w:rsidRDefault="007C3032"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14C26" id="_x0000_t202" coordsize="21600,21600" o:spt="202" path="m,l,21600r21600,l21600,xe">
                <v:stroke joinstyle="miter"/>
                <v:path gradientshapeok="t" o:connecttype="rect"/>
              </v:shapetype>
              <v:shape id="Cuadro de texto 279" o:spid="_x0000_s1030" type="#_x0000_t202" style="position:absolute;left:0;text-align:left;margin-left:349.35pt;margin-top:83.3pt;width:3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" stroked="f">
                <v:textbox>
                  <w:txbxContent>
                    <w:p w14:paraId="43B7E443" w14:textId="77777777" w:rsidR="007C3032" w:rsidRPr="001069E9" w:rsidRDefault="007C3032"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v:textbox>
              </v:shape>
            </w:pict>
          </mc:Fallback>
        </mc:AlternateContent>
      </w:r>
      <w:r w:rsidRPr="00CA036B">
        <w:rPr>
          <w:rFonts w:ascii="Arial" w:hAnsi="Arial" w:cs="Arial"/>
          <w:sz w:val="24"/>
          <w:szCs w:val="24"/>
        </w:rPr>
        <w:t>La radiación solar se determinó por el método de cálculo según la metodología propuesta por</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{"citationID":"Xqqz8h7M","properties":{"formattedCitation":"(Allen et\\uc0\\u160{}al., 1998)","plainCitation":"(Allen et al., 1998)","dontUpdate":true,"noteIndex":0},"citationItems":[{"id":195,"uris":["http://zotero.org/users/local/NeejuBUy/items/8FUGNDF6"],"itemData":{"id":195,"type":"article-journal","container-title":"FAO Irrigation and Drainage Paper No.56","issue":"9","title":"Crop evapotranspiration - Guidelines for computing crop water requirements","volume":"300","author":[{"family":"Allen","given":"RG"},{"family":"Pereira","given":"LS"},{"family":"Raes","given":"D"},{"family":"Smith","given":"M"}],"issued":{"date-parts":[["1998"]]}}}],"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Allen </w:t>
      </w:r>
      <w:r w:rsidRPr="003039B4">
        <w:rPr>
          <w:rFonts w:ascii="Arial" w:hAnsi="Arial" w:cs="Arial"/>
          <w:i/>
          <w:sz w:val="24"/>
          <w:szCs w:val="24"/>
        </w:rPr>
        <w:t>et al</w:t>
      </w:r>
      <w:r w:rsidRPr="00DF51F6">
        <w:rPr>
          <w:rFonts w:ascii="Arial" w:hAnsi="Arial" w:cs="Arial"/>
          <w:sz w:val="24"/>
          <w:szCs w:val="24"/>
        </w:rPr>
        <w:t>.</w:t>
      </w:r>
      <w:r>
        <w:rPr>
          <w:rFonts w:ascii="Arial" w:hAnsi="Arial" w:cs="Arial"/>
          <w:sz w:val="24"/>
          <w:szCs w:val="24"/>
        </w:rPr>
        <w:t xml:space="preserve"> (</w:t>
      </w:r>
      <w:r w:rsidRPr="00DF51F6">
        <w:rPr>
          <w:rFonts w:ascii="Arial" w:hAnsi="Arial" w:cs="Arial"/>
          <w:sz w:val="24"/>
          <w:szCs w:val="24"/>
        </w:rPr>
        <w:t>1998)</w:t>
      </w:r>
      <w:r>
        <w:rPr>
          <w:rFonts w:ascii="Arial" w:hAnsi="Arial" w:cs="Arial"/>
          <w:sz w:val="24"/>
          <w:szCs w:val="24"/>
        </w:rPr>
        <w:fldChar w:fldCharType="end"/>
      </w:r>
      <w:r w:rsidRPr="00CA036B">
        <w:rPr>
          <w:rFonts w:ascii="Arial" w:hAnsi="Arial" w:cs="Arial"/>
          <w:sz w:val="24"/>
          <w:szCs w:val="24"/>
        </w:rPr>
        <w:t xml:space="preserve"> a partir de los valores de temperatura máxima y mínima y mediante la siguiente ecuación (ecuación 1): </w:t>
      </w:r>
    </w:p>
    <w:p w14:paraId="7C741C17" w14:textId="77777777" w:rsidR="005D6EB7" w:rsidRDefault="005D6EB7" w:rsidP="005D6EB7">
      <w:pPr>
        <w:autoSpaceDE w:val="0"/>
        <w:autoSpaceDN w:val="0"/>
        <w:adjustRightInd w:val="0"/>
        <w:spacing w:after="0" w:line="480" w:lineRule="auto"/>
        <w:jc w:val="both"/>
      </w:pPr>
      <m:oMathPara>
        <m:oMath>
          <m:r>
            <w:rPr>
              <w:rFonts w:ascii="Cambria Math" w:hAnsi="Cambria Math"/>
            </w:rPr>
            <m:t xml:space="preserve">Rs=Krs* </m:t>
          </m:r>
          <m:rad>
            <m:radPr>
              <m:degHide m:val="1"/>
              <m:ctrlPr>
                <w:rPr>
                  <w:rFonts w:ascii="Cambria Math" w:hAnsi="Cambria Math"/>
                  <w:i/>
                </w:rPr>
              </m:ctrlPr>
            </m:radPr>
            <m:deg/>
            <m:e>
              <m:r>
                <w:rPr>
                  <w:rFonts w:ascii="Cambria Math" w:hAnsi="Cambria Math"/>
                </w:rPr>
                <m:t>Tmáx-Tmín</m:t>
              </m:r>
            </m:e>
          </m:rad>
          <m:r>
            <w:rPr>
              <w:rFonts w:ascii="Cambria Math" w:hAnsi="Cambria Math"/>
            </w:rPr>
            <m:t xml:space="preserve">* Ra </m:t>
          </m:r>
        </m:oMath>
      </m:oMathPara>
    </w:p>
    <w:p w14:paraId="0D66884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Donde:</w:t>
      </w:r>
    </w:p>
    <w:p w14:paraId="3187EC2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Rs: Radiació</w:t>
      </w:r>
      <w:r w:rsidRPr="00CA036B">
        <w:rPr>
          <w:rFonts w:ascii="Arial" w:hAnsi="Arial" w:cs="Arial"/>
          <w:sz w:val="24"/>
          <w:szCs w:val="24"/>
        </w:rPr>
        <w:t>n solar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r w:rsidRPr="00CA036B">
        <w:rPr>
          <w:rFonts w:ascii="Arial" w:hAnsi="Arial" w:cs="Arial"/>
          <w:sz w:val="24"/>
          <w:szCs w:val="24"/>
        </w:rPr>
        <w:t>)</w:t>
      </w:r>
    </w:p>
    <w:p w14:paraId="467C845E"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Tmáx: Temperatura máxima (°C)</w:t>
      </w:r>
    </w:p>
    <w:p w14:paraId="31EED3F4"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lastRenderedPageBreak/>
        <w:t xml:space="preserve">Tmín: Temperatura mínima (°C) </w:t>
      </w:r>
    </w:p>
    <w:p w14:paraId="32460E42" w14:textId="77777777" w:rsidR="005D6EB7"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Krs: Coeficiente de ajuste (0</w:t>
      </w:r>
      <w:r>
        <w:rPr>
          <w:rFonts w:ascii="Arial" w:hAnsi="Arial" w:cs="Arial"/>
          <w:sz w:val="24"/>
          <w:szCs w:val="24"/>
        </w:rPr>
        <w:t>,</w:t>
      </w:r>
      <w:r w:rsidRPr="00CA036B">
        <w:rPr>
          <w:rFonts w:ascii="Arial" w:hAnsi="Arial" w:cs="Arial"/>
          <w:sz w:val="24"/>
          <w:szCs w:val="24"/>
        </w:rPr>
        <w:t>16-0</w:t>
      </w:r>
      <w:r>
        <w:rPr>
          <w:rFonts w:ascii="Arial" w:hAnsi="Arial" w:cs="Arial"/>
          <w:sz w:val="24"/>
          <w:szCs w:val="24"/>
        </w:rPr>
        <w:t>,</w:t>
      </w:r>
      <w:r w:rsidRPr="00CA036B">
        <w:rPr>
          <w:rFonts w:ascii="Arial" w:hAnsi="Arial" w:cs="Arial"/>
          <w:sz w:val="24"/>
          <w:szCs w:val="24"/>
        </w:rPr>
        <w:t xml:space="preserve">19) </w:t>
      </w:r>
    </w:p>
    <w:p w14:paraId="449DD2EB"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Ra: Radiación extraterrestre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p>
    <w:p w14:paraId="4DD3D976" w14:textId="43D1FF5D" w:rsidR="0035449F" w:rsidRDefault="0035449F" w:rsidP="005D6EB7">
      <w:pPr>
        <w:autoSpaceDE w:val="0"/>
        <w:autoSpaceDN w:val="0"/>
        <w:adjustRightInd w:val="0"/>
        <w:spacing w:after="0" w:line="480" w:lineRule="auto"/>
        <w:jc w:val="both"/>
        <w:rPr>
          <w:rFonts w:ascii="Arial" w:hAnsi="Arial" w:cs="Arial"/>
          <w:sz w:val="24"/>
          <w:szCs w:val="24"/>
        </w:rPr>
      </w:pPr>
      <w:r w:rsidRPr="0035449F">
        <w:rPr>
          <w:rFonts w:ascii="Arial" w:hAnsi="Arial" w:cs="Arial"/>
          <w:sz w:val="24"/>
          <w:szCs w:val="24"/>
          <w:highlight w:val="yellow"/>
        </w:rPr>
        <w:t>Se puede poner gráfico de clima de esas dos fechas</w:t>
      </w:r>
    </w:p>
    <w:p w14:paraId="07B8CF8E" w14:textId="10D4C69B" w:rsidR="005D6EB7" w:rsidRDefault="00252DF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El cultivar utilizado fue </w:t>
      </w:r>
      <w:r w:rsidR="005D6EB7" w:rsidRPr="00B726C4">
        <w:rPr>
          <w:rFonts w:ascii="Arial" w:hAnsi="Arial" w:cs="Arial"/>
          <w:sz w:val="24"/>
          <w:szCs w:val="24"/>
        </w:rPr>
        <w:t>P-7928, cuyas cara</w:t>
      </w:r>
      <w:r w:rsidR="005D6EB7">
        <w:rPr>
          <w:rFonts w:ascii="Arial" w:hAnsi="Arial" w:cs="Arial"/>
          <w:sz w:val="24"/>
          <w:szCs w:val="24"/>
        </w:rPr>
        <w:t>cterísticas se presentan en la T</w:t>
      </w:r>
      <w:r w:rsidR="005D6EB7" w:rsidRPr="00B726C4">
        <w:rPr>
          <w:rFonts w:ascii="Arial" w:hAnsi="Arial" w:cs="Arial"/>
          <w:sz w:val="24"/>
          <w:szCs w:val="24"/>
        </w:rPr>
        <w:t xml:space="preserve">abla </w:t>
      </w:r>
      <w:r w:rsidR="005D6EB7">
        <w:rPr>
          <w:rFonts w:ascii="Arial" w:hAnsi="Arial" w:cs="Arial"/>
          <w:sz w:val="24"/>
          <w:szCs w:val="24"/>
        </w:rPr>
        <w:t>5</w:t>
      </w:r>
      <w:r w:rsidR="005D6EB7" w:rsidRPr="00B726C4">
        <w:rPr>
          <w:rFonts w:ascii="Arial" w:hAnsi="Arial" w:cs="Arial"/>
          <w:sz w:val="24"/>
          <w:szCs w:val="24"/>
        </w:rPr>
        <w:t>. La siembra se realizó de manera directa a una distancia de 0,90 x 0,30 m, obteniéndose una densidad de 50 000 plantas ha</w:t>
      </w:r>
      <w:r w:rsidR="005D6EB7" w:rsidRPr="00B726C4">
        <w:rPr>
          <w:rFonts w:ascii="Arial" w:hAnsi="Arial" w:cs="Arial"/>
          <w:sz w:val="24"/>
          <w:szCs w:val="24"/>
          <w:vertAlign w:val="superscript"/>
        </w:rPr>
        <w:t>-1</w:t>
      </w:r>
      <w:r w:rsidR="005D6EB7" w:rsidRPr="00B726C4">
        <w:rPr>
          <w:rFonts w:ascii="Arial" w:hAnsi="Arial" w:cs="Arial"/>
          <w:sz w:val="24"/>
          <w:szCs w:val="24"/>
        </w:rPr>
        <w:t xml:space="preserve">. </w:t>
      </w:r>
    </w:p>
    <w:p w14:paraId="57FF27C4" w14:textId="77777777" w:rsidR="005D6EB7"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La siembra se realizó en una parcela de diez surcos de 25 m de largo. Para los muestreos se seleccionaron 20 plantas de forma aleatoria.</w:t>
      </w:r>
    </w:p>
    <w:p w14:paraId="72A57858" w14:textId="77777777" w:rsidR="005D6EB7" w:rsidRPr="004E1881" w:rsidRDefault="005D6EB7" w:rsidP="005D6EB7">
      <w:pPr>
        <w:autoSpaceDE w:val="0"/>
        <w:autoSpaceDN w:val="0"/>
        <w:adjustRightInd w:val="0"/>
        <w:spacing w:after="0" w:line="240" w:lineRule="auto"/>
        <w:rPr>
          <w:rFonts w:ascii="Arial" w:hAnsi="Arial" w:cs="Arial"/>
          <w:color w:val="221F1F"/>
          <w:sz w:val="24"/>
          <w:szCs w:val="24"/>
        </w:rPr>
      </w:pPr>
      <w:r w:rsidRPr="004E1881">
        <w:rPr>
          <w:rFonts w:ascii="Arial" w:hAnsi="Arial" w:cs="Arial"/>
          <w:color w:val="221F1F"/>
          <w:sz w:val="24"/>
          <w:szCs w:val="24"/>
        </w:rPr>
        <w:t xml:space="preserve">Tabla </w:t>
      </w:r>
      <w:r>
        <w:rPr>
          <w:rFonts w:ascii="Arial" w:hAnsi="Arial" w:cs="Arial"/>
          <w:color w:val="221F1F"/>
          <w:sz w:val="24"/>
          <w:szCs w:val="24"/>
        </w:rPr>
        <w:t>5</w:t>
      </w:r>
      <w:r w:rsidRPr="004E1881">
        <w:rPr>
          <w:rFonts w:ascii="Arial" w:hAnsi="Arial" w:cs="Arial"/>
          <w:color w:val="221F1F"/>
          <w:sz w:val="24"/>
          <w:szCs w:val="24"/>
        </w:rPr>
        <w:t xml:space="preserve">. </w:t>
      </w:r>
      <w:r w:rsidRPr="004E1881">
        <w:rPr>
          <w:rFonts w:ascii="Arial" w:hAnsi="Arial" w:cs="Arial"/>
          <w:color w:val="000000"/>
          <w:sz w:val="24"/>
          <w:szCs w:val="24"/>
        </w:rPr>
        <w:t xml:space="preserve">Principales características </w:t>
      </w:r>
      <w:r>
        <w:rPr>
          <w:rFonts w:ascii="Arial" w:hAnsi="Arial" w:cs="Arial"/>
          <w:color w:val="000000"/>
          <w:sz w:val="24"/>
          <w:szCs w:val="24"/>
        </w:rPr>
        <w:t>biológicas del cultivar P-7928</w:t>
      </w:r>
    </w:p>
    <w:tbl>
      <w:tblPr>
        <w:tblStyle w:val="Tabladecuadrcula5oscura-nfasis4"/>
        <w:tblW w:w="0" w:type="auto"/>
        <w:jc w:val="center"/>
        <w:tblLook w:val="04A0" w:firstRow="1" w:lastRow="0" w:firstColumn="1" w:lastColumn="0" w:noHBand="0" w:noVBand="1"/>
      </w:tblPr>
      <w:tblGrid>
        <w:gridCol w:w="4017"/>
        <w:gridCol w:w="2084"/>
      </w:tblGrid>
      <w:tr w:rsidR="005D6EB7" w:rsidRPr="00CE3E29" w14:paraId="406D8EA3"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5106C89F"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Característica</w:t>
            </w:r>
          </w:p>
        </w:tc>
        <w:tc>
          <w:tcPr>
            <w:tcW w:w="2084" w:type="dxa"/>
          </w:tcPr>
          <w:p w14:paraId="0C4B50F5" w14:textId="77777777" w:rsidR="005D6EB7" w:rsidRPr="00C36034" w:rsidRDefault="005D6EB7" w:rsidP="00252DF7">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Cultivar P-7928</w:t>
            </w:r>
          </w:p>
        </w:tc>
      </w:tr>
      <w:tr w:rsidR="005D6EB7" w:rsidRPr="00CE3E29" w14:paraId="4E91FE8C"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605CF91"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floración</w:t>
            </w:r>
          </w:p>
        </w:tc>
        <w:tc>
          <w:tcPr>
            <w:tcW w:w="2084" w:type="dxa"/>
          </w:tcPr>
          <w:p w14:paraId="67F8CB0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65</w:t>
            </w:r>
          </w:p>
        </w:tc>
      </w:tr>
      <w:tr w:rsidR="005D6EB7" w:rsidRPr="00CE3E29" w14:paraId="64BCD7CE"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51DF186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(tierno)</w:t>
            </w:r>
          </w:p>
        </w:tc>
        <w:tc>
          <w:tcPr>
            <w:tcW w:w="2084" w:type="dxa"/>
          </w:tcPr>
          <w:p w14:paraId="76B6FAB5"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85</w:t>
            </w:r>
          </w:p>
        </w:tc>
      </w:tr>
      <w:tr w:rsidR="005D6EB7" w:rsidRPr="00CE3E29" w14:paraId="3157DA6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3BAFE2F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(seco)</w:t>
            </w:r>
          </w:p>
        </w:tc>
        <w:tc>
          <w:tcPr>
            <w:tcW w:w="2084" w:type="dxa"/>
          </w:tcPr>
          <w:p w14:paraId="65A2CB23"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130</w:t>
            </w:r>
          </w:p>
        </w:tc>
      </w:tr>
      <w:tr w:rsidR="005D6EB7" w:rsidRPr="00CE3E29" w14:paraId="3CA949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12626F59"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Ciclo Vegetativo</w:t>
            </w:r>
            <w:r>
              <w:rPr>
                <w:rFonts w:ascii="Arial" w:hAnsi="Arial" w:cs="Arial"/>
                <w:color w:val="000000" w:themeColor="text1"/>
                <w:sz w:val="24"/>
                <w:szCs w:val="24"/>
              </w:rPr>
              <w:t xml:space="preserve"> (días)</w:t>
            </w:r>
          </w:p>
        </w:tc>
        <w:tc>
          <w:tcPr>
            <w:tcW w:w="2084" w:type="dxa"/>
          </w:tcPr>
          <w:p w14:paraId="65565936"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CE3E29" w14:paraId="4664FAFB"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56563A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planta</w:t>
            </w:r>
            <w:r>
              <w:rPr>
                <w:rFonts w:ascii="Arial" w:hAnsi="Arial" w:cs="Arial"/>
                <w:color w:val="000000" w:themeColor="text1"/>
                <w:sz w:val="24"/>
                <w:szCs w:val="24"/>
              </w:rPr>
              <w:t xml:space="preserve"> (cm)</w:t>
            </w:r>
          </w:p>
        </w:tc>
        <w:tc>
          <w:tcPr>
            <w:tcW w:w="2084" w:type="dxa"/>
          </w:tcPr>
          <w:p w14:paraId="5DACB9E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230</w:t>
            </w:r>
          </w:p>
        </w:tc>
      </w:tr>
      <w:tr w:rsidR="005D6EB7" w:rsidRPr="00CE3E29" w14:paraId="4C393F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2AFD5922"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mazorca</w:t>
            </w:r>
            <w:r>
              <w:rPr>
                <w:rFonts w:ascii="Arial" w:hAnsi="Arial" w:cs="Arial"/>
                <w:color w:val="000000" w:themeColor="text1"/>
                <w:sz w:val="24"/>
                <w:szCs w:val="24"/>
              </w:rPr>
              <w:t xml:space="preserve"> (cm)</w:t>
            </w:r>
          </w:p>
        </w:tc>
        <w:tc>
          <w:tcPr>
            <w:tcW w:w="2084" w:type="dxa"/>
          </w:tcPr>
          <w:p w14:paraId="5451410C"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B726C4" w14:paraId="216F2872"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B35B45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Rendimiento grano seco (t ha</w:t>
            </w:r>
            <w:r w:rsidRPr="00293EC8">
              <w:rPr>
                <w:rFonts w:ascii="Arial" w:hAnsi="Arial" w:cs="Arial"/>
                <w:color w:val="000000" w:themeColor="text1"/>
                <w:sz w:val="24"/>
                <w:szCs w:val="24"/>
                <w:vertAlign w:val="superscript"/>
              </w:rPr>
              <w:t>-1</w:t>
            </w:r>
            <w:r w:rsidRPr="00C36034">
              <w:rPr>
                <w:rFonts w:ascii="Arial" w:hAnsi="Arial" w:cs="Arial"/>
                <w:color w:val="000000" w:themeColor="text1"/>
                <w:sz w:val="24"/>
                <w:szCs w:val="24"/>
              </w:rPr>
              <w:t>)</w:t>
            </w:r>
          </w:p>
        </w:tc>
        <w:tc>
          <w:tcPr>
            <w:tcW w:w="2084" w:type="dxa"/>
          </w:tcPr>
          <w:p w14:paraId="665336EE"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5,</w:t>
            </w:r>
            <w:r w:rsidRPr="00C36034">
              <w:rPr>
                <w:rFonts w:ascii="Arial" w:hAnsi="Arial" w:cs="Arial"/>
                <w:color w:val="000000" w:themeColor="text1"/>
                <w:sz w:val="24"/>
                <w:szCs w:val="24"/>
              </w:rPr>
              <w:t>1</w:t>
            </w:r>
          </w:p>
        </w:tc>
      </w:tr>
    </w:tbl>
    <w:p w14:paraId="406F6B0A" w14:textId="77777777" w:rsidR="005D6EB7" w:rsidRDefault="005D6EB7" w:rsidP="005D6EB7">
      <w:pPr>
        <w:autoSpaceDE w:val="0"/>
        <w:autoSpaceDN w:val="0"/>
        <w:adjustRightInd w:val="0"/>
        <w:spacing w:after="0" w:line="240" w:lineRule="auto"/>
        <w:jc w:val="both"/>
        <w:rPr>
          <w:rFonts w:ascii="Arial" w:hAnsi="Arial" w:cs="Arial"/>
          <w:sz w:val="24"/>
          <w:szCs w:val="24"/>
        </w:rPr>
      </w:pPr>
      <w:r w:rsidRPr="00B726C4">
        <w:rPr>
          <w:rFonts w:ascii="Arial" w:hAnsi="Arial" w:cs="Arial"/>
          <w:sz w:val="24"/>
          <w:szCs w:val="24"/>
        </w:rPr>
        <w:t>Información tomada de</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{"citationID":"vCrbMK5c","properties":{"unsorted":true,"formattedCitation":"(R. L\\uc0\\u243{}pez &amp; Gil, 2011; ACTAF, 2017)","plainCitation":"(R. López &amp; Gil, 2011; ACTAF, 2017)","dontUpdate":true,"noteIndex":0},"citationItems":[{"id":230,"uris":["http://zotero.org/users/local/NeejuBUy/items/QBP2W2UF"],"itemData":{"id":230,"type":"book","event-place":"Universidad Central “Marta Abreu” de las Villas","publisher":"Editorial Feijóo","publisher-place":"Universidad Central “Marta Abreu” de las Villas","title":"Generalidades del cultivo del maíz","author":[{"family":"López","given":"R"},{"family":"Gil","given":"V"}],"issued":{"date-parts":[["2011"]]}},"label":"page"},{"id":194,"uris":["http://zotero.org/users/local/NeejuBUy/items/9KJFKFW9"],"itemData":{"id":194,"type":"book","event-place":"La Habana","publisher-place":"La Habana","title":"Tecnología para la producción de semilla de maíz (Zea mayz)","author":[{"family":"ACTAF","given":""}],"issued":{"date-parts":[["2017"]]}},"label":"page"}],"schema":"https://github.com/citation-style-language/schema/raw/master/csl-citation.json"}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(R. López </w:t>
      </w:r>
      <w:r>
        <w:rPr>
          <w:rFonts w:ascii="Arial" w:hAnsi="Arial" w:cs="Arial"/>
          <w:sz w:val="24"/>
          <w:szCs w:val="24"/>
        </w:rPr>
        <w:t>y</w:t>
      </w:r>
      <w:r w:rsidRPr="00DF51F6">
        <w:rPr>
          <w:rFonts w:ascii="Arial" w:hAnsi="Arial" w:cs="Arial"/>
          <w:sz w:val="24"/>
          <w:szCs w:val="24"/>
        </w:rPr>
        <w:t xml:space="preserve"> Gil, 2011; ACTAF, 2017)</w:t>
      </w:r>
      <w:r>
        <w:rPr>
          <w:rFonts w:ascii="Arial" w:hAnsi="Arial" w:cs="Arial"/>
          <w:sz w:val="24"/>
          <w:szCs w:val="24"/>
        </w:rPr>
        <w:fldChar w:fldCharType="end"/>
      </w:r>
    </w:p>
    <w:p w14:paraId="6F77210E" w14:textId="544BADD9" w:rsidR="005D6EB7" w:rsidRDefault="005D6EB7" w:rsidP="00EE6312">
      <w:pPr>
        <w:spacing w:before="120" w:line="360" w:lineRule="auto"/>
        <w:contextualSpacing/>
        <w:jc w:val="both"/>
        <w:rPr>
          <w:rFonts w:ascii="Arial" w:hAnsi="Arial" w:cs="Arial"/>
          <w:b/>
          <w:color w:val="000000"/>
          <w:sz w:val="24"/>
          <w:szCs w:val="24"/>
        </w:rPr>
      </w:pPr>
    </w:p>
    <w:p w14:paraId="5B03CD43" w14:textId="77777777" w:rsidR="005D6EB7" w:rsidRPr="00EA2C92" w:rsidRDefault="005D6EB7" w:rsidP="005D6EB7">
      <w:pPr>
        <w:pStyle w:val="Ttulo3"/>
        <w:spacing w:before="0" w:line="480" w:lineRule="auto"/>
        <w:rPr>
          <w:rFonts w:cs="Arial"/>
          <w:b/>
          <w:color w:val="000000" w:themeColor="text1"/>
        </w:rPr>
      </w:pPr>
      <w:bookmarkStart w:id="23" w:name="_Toc138712740"/>
      <w:bookmarkStart w:id="24" w:name="_Toc148350410"/>
      <w:r w:rsidRPr="00EA2C92">
        <w:rPr>
          <w:rFonts w:cs="Arial"/>
          <w:b/>
          <w:color w:val="000000" w:themeColor="text1"/>
        </w:rPr>
        <w:t xml:space="preserve">2.1.5 </w:t>
      </w:r>
      <w:bookmarkEnd w:id="23"/>
      <w:r w:rsidRPr="00EA2C92">
        <w:rPr>
          <w:rFonts w:cs="Arial"/>
          <w:b/>
          <w:color w:val="000000" w:themeColor="text1"/>
        </w:rPr>
        <w:t>Atenciones culturales</w:t>
      </w:r>
      <w:bookmarkEnd w:id="24"/>
    </w:p>
    <w:p w14:paraId="3BE670F6" w14:textId="5C9B7390" w:rsidR="005D6EB7" w:rsidRPr="00B726C4" w:rsidRDefault="005D6EB7" w:rsidP="005D6EB7">
      <w:pPr>
        <w:autoSpaceDE w:val="0"/>
        <w:autoSpaceDN w:val="0"/>
        <w:adjustRightInd w:val="0"/>
        <w:spacing w:after="0" w:line="480" w:lineRule="auto"/>
        <w:jc w:val="both"/>
        <w:rPr>
          <w:rFonts w:ascii="Arial" w:hAnsi="Arial" w:cs="Arial"/>
          <w:sz w:val="24"/>
          <w:szCs w:val="24"/>
        </w:rPr>
      </w:pPr>
      <w:r w:rsidRPr="00B726C4">
        <w:rPr>
          <w:rFonts w:ascii="Arial" w:hAnsi="Arial" w:cs="Arial"/>
          <w:sz w:val="24"/>
          <w:szCs w:val="24"/>
        </w:rPr>
        <w:t xml:space="preserve">Las </w:t>
      </w:r>
      <w:r>
        <w:rPr>
          <w:rFonts w:ascii="Arial" w:hAnsi="Arial" w:cs="Arial"/>
          <w:sz w:val="24"/>
          <w:szCs w:val="24"/>
        </w:rPr>
        <w:t>atenciones culturales</w:t>
      </w:r>
      <w:r w:rsidRPr="00B726C4">
        <w:rPr>
          <w:rFonts w:ascii="Arial" w:hAnsi="Arial" w:cs="Arial"/>
          <w:sz w:val="24"/>
          <w:szCs w:val="24"/>
        </w:rPr>
        <w:t xml:space="preserve"> se realizaron según lo recomendado en el Instructivo Técnico del Cultivo de Maíz</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{"citationID":"Q1IcvfFo","properties":{"formattedCitation":"(MINAG, 2000)","plainCitation":"(MINAG, 2000)","noteIndex":0},"citationItems":[{"id":238,"uris":["http://zotero.org/users/local/NeejuBUy/items/9U5267DT"],"itemData":{"id":238,"type":"book","event-place":"La Habana","publisher":"Ministerio de Agricultura","publisher-place":"La Habana","title":"Guía Técnica para la producción del cultivo del maíz (Zea mays L.)","author":[{"family":"MINAG","given":""}],"issued":{"date-parts":[["2000"]]}}}],"schema":"https://github.com/citation-style-language/schema/raw/master/csl-citation.json"}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(MINAG, 2000)</w:t>
      </w:r>
      <w:r>
        <w:rPr>
          <w:rFonts w:ascii="Arial" w:hAnsi="Arial" w:cs="Arial"/>
          <w:sz w:val="24"/>
          <w:szCs w:val="24"/>
        </w:rPr>
        <w:fldChar w:fldCharType="end"/>
      </w:r>
      <w:r w:rsidRPr="00B726C4">
        <w:rPr>
          <w:rFonts w:ascii="Arial" w:hAnsi="Arial" w:cs="Arial"/>
          <w:sz w:val="24"/>
          <w:szCs w:val="24"/>
        </w:rPr>
        <w:t xml:space="preserve">. Se realizó el control de plagas y arvenses de manera efectiva. La fertilización </w:t>
      </w:r>
      <w:r>
        <w:rPr>
          <w:rFonts w:ascii="Arial" w:hAnsi="Arial" w:cs="Arial"/>
          <w:sz w:val="24"/>
          <w:szCs w:val="24"/>
        </w:rPr>
        <w:t xml:space="preserve">mineral </w:t>
      </w:r>
      <w:r w:rsidRPr="00B726C4">
        <w:rPr>
          <w:rFonts w:ascii="Arial" w:hAnsi="Arial" w:cs="Arial"/>
          <w:sz w:val="24"/>
          <w:szCs w:val="24"/>
        </w:rPr>
        <w:t xml:space="preserve">se efectuó mediante la </w:t>
      </w:r>
      <w:r w:rsidRPr="00B726C4">
        <w:rPr>
          <w:rFonts w:ascii="Arial" w:hAnsi="Arial" w:cs="Arial"/>
          <w:sz w:val="24"/>
          <w:szCs w:val="24"/>
        </w:rPr>
        <w:lastRenderedPageBreak/>
        <w:t>aplicación de K</w:t>
      </w:r>
      <w:r w:rsidRPr="00B726C4">
        <w:rPr>
          <w:rFonts w:ascii="Arial" w:hAnsi="Arial" w:cs="Arial"/>
          <w:sz w:val="24"/>
          <w:szCs w:val="24"/>
          <w:vertAlign w:val="subscript"/>
        </w:rPr>
        <w:t>2</w:t>
      </w:r>
      <w:r w:rsidRPr="00B726C4">
        <w:rPr>
          <w:rFonts w:ascii="Arial" w:hAnsi="Arial" w:cs="Arial"/>
          <w:sz w:val="24"/>
          <w:szCs w:val="24"/>
        </w:rPr>
        <w:t>O y P</w:t>
      </w:r>
      <w:r w:rsidRPr="00B726C4">
        <w:rPr>
          <w:rFonts w:ascii="Arial" w:hAnsi="Arial" w:cs="Arial"/>
          <w:sz w:val="24"/>
          <w:szCs w:val="24"/>
          <w:vertAlign w:val="subscript"/>
        </w:rPr>
        <w:t>2</w:t>
      </w:r>
      <w:r w:rsidRPr="00B726C4">
        <w:rPr>
          <w:rFonts w:ascii="Arial" w:hAnsi="Arial" w:cs="Arial"/>
          <w:sz w:val="24"/>
          <w:szCs w:val="24"/>
        </w:rPr>
        <w:t>O</w:t>
      </w:r>
      <w:r w:rsidRPr="00B726C4">
        <w:rPr>
          <w:rFonts w:ascii="Arial" w:hAnsi="Arial" w:cs="Arial"/>
          <w:sz w:val="24"/>
          <w:szCs w:val="24"/>
          <w:vertAlign w:val="subscript"/>
        </w:rPr>
        <w:t>5</w:t>
      </w:r>
      <w:r w:rsidRPr="00B726C4">
        <w:rPr>
          <w:rFonts w:ascii="Arial" w:hAnsi="Arial" w:cs="Arial"/>
          <w:sz w:val="24"/>
          <w:szCs w:val="24"/>
        </w:rPr>
        <w:t xml:space="preserve"> de fondo, a razón de 60 kg ha</w:t>
      </w:r>
      <w:r w:rsidRPr="00B726C4">
        <w:rPr>
          <w:rFonts w:ascii="Arial" w:hAnsi="Arial" w:cs="Arial"/>
          <w:sz w:val="24"/>
          <w:szCs w:val="24"/>
          <w:vertAlign w:val="superscript"/>
        </w:rPr>
        <w:t>-1</w:t>
      </w:r>
      <w:r w:rsidRPr="00B726C4">
        <w:rPr>
          <w:rFonts w:ascii="Arial" w:hAnsi="Arial" w:cs="Arial"/>
          <w:sz w:val="24"/>
          <w:szCs w:val="24"/>
        </w:rPr>
        <w:t xml:space="preserve"> de ambos y 150 kg ha</w:t>
      </w:r>
      <w:r w:rsidRPr="00B726C4">
        <w:rPr>
          <w:rFonts w:ascii="Arial" w:hAnsi="Arial" w:cs="Arial"/>
          <w:sz w:val="24"/>
          <w:szCs w:val="24"/>
          <w:vertAlign w:val="superscript"/>
        </w:rPr>
        <w:t>-1</w:t>
      </w:r>
      <w:r w:rsidRPr="00B726C4">
        <w:rPr>
          <w:rFonts w:ascii="Arial" w:hAnsi="Arial" w:cs="Arial"/>
          <w:sz w:val="24"/>
          <w:szCs w:val="24"/>
        </w:rPr>
        <w:t xml:space="preserve"> de nitrógeno, fraccionados durante el ciclo del cultivo (siembra y 30 días después de la emergencia). </w:t>
      </w:r>
      <w:r w:rsidRPr="00252DF7">
        <w:rPr>
          <w:rFonts w:ascii="Arial" w:hAnsi="Arial" w:cs="Arial"/>
          <w:sz w:val="24"/>
          <w:szCs w:val="24"/>
          <w:highlight w:val="yellow"/>
        </w:rPr>
        <w:t>Se utilizaron como portadores la Fórmula Completa (9-13-17) y la Urea (46 % de N). De forma tal que las plantas se desarrollaran sin limitaciones en este sentido.</w:t>
      </w:r>
    </w:p>
    <w:p w14:paraId="4CE4A0D9" w14:textId="77777777" w:rsidR="008E012D" w:rsidRDefault="008E012D" w:rsidP="00EE6312">
      <w:pPr>
        <w:spacing w:before="120" w:line="360" w:lineRule="auto"/>
        <w:contextualSpacing/>
        <w:jc w:val="both"/>
        <w:rPr>
          <w:rFonts w:ascii="Arial" w:hAnsi="Arial" w:cs="Arial"/>
          <w:b/>
          <w:color w:val="000000" w:themeColor="text1"/>
          <w:sz w:val="24"/>
          <w:szCs w:val="24"/>
        </w:rPr>
      </w:pPr>
    </w:p>
    <w:p w14:paraId="6F9C529C" w14:textId="003358DC" w:rsidR="008E012D" w:rsidRPr="008E012D" w:rsidRDefault="008E012D" w:rsidP="00EE6312">
      <w:pPr>
        <w:spacing w:before="120" w:line="360" w:lineRule="auto"/>
        <w:contextualSpacing/>
        <w:jc w:val="both"/>
        <w:rPr>
          <w:rFonts w:ascii="Arial" w:hAnsi="Arial" w:cs="Arial"/>
          <w:b/>
          <w:color w:val="000000" w:themeColor="text1"/>
          <w:sz w:val="24"/>
          <w:szCs w:val="24"/>
        </w:rPr>
      </w:pPr>
      <w:r w:rsidRPr="008E012D">
        <w:rPr>
          <w:rFonts w:ascii="Arial" w:hAnsi="Arial" w:cs="Arial"/>
          <w:b/>
          <w:color w:val="000000" w:themeColor="text1"/>
          <w:sz w:val="24"/>
          <w:szCs w:val="24"/>
        </w:rPr>
        <w:t>Preparación de fichero de suelo</w:t>
      </w:r>
    </w:p>
    <w:p w14:paraId="3447D097" w14:textId="37EA9E81" w:rsidR="008E012D" w:rsidRPr="003338D6" w:rsidRDefault="008E012D" w:rsidP="008E012D">
      <w:pPr>
        <w:spacing w:before="120" w:line="360" w:lineRule="auto"/>
        <w:contextualSpacing/>
        <w:jc w:val="both"/>
        <w:rPr>
          <w:rFonts w:ascii="Arial" w:eastAsia="Calibri" w:hAnsi="Arial" w:cs="Arial"/>
          <w:bCs/>
          <w:sz w:val="24"/>
          <w:szCs w:val="24"/>
        </w:rPr>
      </w:pPr>
      <w:r w:rsidRPr="00C41733">
        <w:rPr>
          <w:rFonts w:ascii="Arial" w:hAnsi="Arial" w:cs="Arial"/>
          <w:color w:val="000000"/>
          <w:sz w:val="24"/>
          <w:szCs w:val="24"/>
        </w:rPr>
        <w:t xml:space="preserve">El suelo del área </w:t>
      </w:r>
      <w:r>
        <w:rPr>
          <w:rFonts w:ascii="Arial" w:hAnsi="Arial" w:cs="Arial"/>
          <w:color w:val="000000"/>
          <w:sz w:val="24"/>
          <w:szCs w:val="24"/>
        </w:rPr>
        <w:t xml:space="preserve">experimental es </w:t>
      </w:r>
      <w:r w:rsidRPr="000C15F5">
        <w:rPr>
          <w:rFonts w:ascii="Arial" w:eastAsia="Calibri" w:hAnsi="Arial" w:cs="Arial"/>
          <w:bCs/>
          <w:sz w:val="24"/>
          <w:szCs w:val="24"/>
        </w:rPr>
        <w:t>Ferralítico Rojo</w:t>
      </w:r>
      <w:r w:rsidRPr="000C15F5">
        <w:rPr>
          <w:rFonts w:ascii="Arial" w:eastAsia="Calibri" w:hAnsi="Arial" w:cs="Arial"/>
          <w:sz w:val="24"/>
          <w:szCs w:val="24"/>
        </w:rPr>
        <w:t xml:space="preserve"> Lixiviado, caracterizado por una fertilidad de media a alta, según lo señalado por </w:t>
      </w:r>
      <w:r w:rsidRPr="000C15F5">
        <w:rPr>
          <w:rFonts w:ascii="Arial" w:eastAsia="Calibri" w:hAnsi="Arial" w:cs="Arial"/>
          <w:bCs/>
          <w:sz w:val="24"/>
          <w:szCs w:val="24"/>
        </w:rPr>
        <w:t xml:space="preserve">(Hernández </w:t>
      </w:r>
      <w:r w:rsidRPr="000C15F5">
        <w:rPr>
          <w:rFonts w:ascii="Arial" w:eastAsia="Calibri" w:hAnsi="Arial" w:cs="Arial"/>
          <w:i/>
          <w:sz w:val="24"/>
          <w:szCs w:val="24"/>
        </w:rPr>
        <w:t>et al</w:t>
      </w:r>
      <w:r w:rsidRPr="000C15F5">
        <w:rPr>
          <w:rFonts w:ascii="Arial" w:eastAsia="Calibri" w:hAnsi="Arial" w:cs="Arial"/>
          <w:bCs/>
          <w:i/>
          <w:sz w:val="24"/>
          <w:szCs w:val="24"/>
        </w:rPr>
        <w:t>.</w:t>
      </w:r>
      <w:r w:rsidRPr="000C15F5">
        <w:rPr>
          <w:rFonts w:ascii="Arial" w:eastAsia="Calibri" w:hAnsi="Arial" w:cs="Arial"/>
          <w:bCs/>
          <w:sz w:val="24"/>
          <w:szCs w:val="24"/>
        </w:rPr>
        <w:t>, 2015)</w:t>
      </w:r>
      <w:r>
        <w:rPr>
          <w:rFonts w:ascii="Arial" w:eastAsia="Calibri" w:hAnsi="Arial" w:cs="Arial"/>
          <w:bCs/>
          <w:sz w:val="24"/>
          <w:szCs w:val="24"/>
        </w:rPr>
        <w:t xml:space="preserve">. </w:t>
      </w:r>
      <w:r w:rsidRPr="003338D6">
        <w:rPr>
          <w:rFonts w:ascii="Arial" w:eastAsia="Calibri" w:hAnsi="Arial" w:cs="Arial"/>
          <w:bCs/>
          <w:sz w:val="24"/>
          <w:szCs w:val="24"/>
        </w:rPr>
        <w:t xml:space="preserve">Las propiedades físicas y químicas del suelo se muestran en la Tabla </w:t>
      </w:r>
      <w:r>
        <w:rPr>
          <w:rFonts w:ascii="Arial" w:eastAsia="Calibri" w:hAnsi="Arial" w:cs="Arial"/>
          <w:bCs/>
          <w:color w:val="FF0000"/>
          <w:sz w:val="24"/>
          <w:szCs w:val="24"/>
        </w:rPr>
        <w:t>3</w:t>
      </w:r>
      <w:r w:rsidRPr="003338D6">
        <w:rPr>
          <w:rFonts w:ascii="Arial" w:eastAsia="Calibri" w:hAnsi="Arial" w:cs="Arial"/>
          <w:bCs/>
          <w:sz w:val="24"/>
          <w:szCs w:val="24"/>
        </w:rPr>
        <w:t xml:space="preserve">. </w:t>
      </w:r>
    </w:p>
    <w:p w14:paraId="67F16F4D" w14:textId="77777777" w:rsidR="008E012D" w:rsidRDefault="008E012D" w:rsidP="008E012D">
      <w:pPr>
        <w:autoSpaceDE w:val="0"/>
        <w:autoSpaceDN w:val="0"/>
        <w:adjustRightInd w:val="0"/>
        <w:spacing w:after="0" w:line="480" w:lineRule="auto"/>
        <w:jc w:val="both"/>
        <w:rPr>
          <w:rFonts w:ascii="Arial" w:hAnsi="Arial" w:cs="Arial"/>
          <w:color w:val="000000" w:themeColor="text1"/>
          <w:sz w:val="24"/>
          <w:szCs w:val="24"/>
        </w:rPr>
      </w:pPr>
    </w:p>
    <w:p w14:paraId="120BF1D1" w14:textId="54E605D7" w:rsidR="008E012D" w:rsidRDefault="008E012D" w:rsidP="008E012D">
      <w:pPr>
        <w:spacing w:before="120" w:line="360" w:lineRule="auto"/>
        <w:contextualSpacing/>
        <w:jc w:val="both"/>
        <w:rPr>
          <w:rFonts w:ascii="Arial" w:hAnsi="Arial" w:cs="Arial"/>
          <w:color w:val="000000" w:themeColor="text1"/>
          <w:sz w:val="24"/>
          <w:szCs w:val="24"/>
        </w:rPr>
      </w:pPr>
      <w:r>
        <w:rPr>
          <w:rFonts w:ascii="Arial" w:hAnsi="Arial" w:cs="Arial"/>
          <w:sz w:val="24"/>
          <w:szCs w:val="24"/>
        </w:rPr>
        <w:t xml:space="preserve">Se realizó la descripción del perfil del suelo. A las muestras tomadas se le realizaron las determinaciones de propiedades físicas y químicas informadas por </w:t>
      </w:r>
      <w:r>
        <w:rPr>
          <w:rFonts w:ascii="Arial" w:hAnsi="Arial" w:cs="Arial"/>
          <w:sz w:val="24"/>
          <w:szCs w:val="24"/>
        </w:rPr>
        <w:fldChar w:fldCharType="begin"/>
      </w:r>
      <w:r>
        <w:rPr>
          <w:rFonts w:ascii="Arial" w:hAnsi="Arial" w:cs="Arial"/>
          <w:sz w:val="24"/>
          <w:szCs w:val="24"/>
        </w:rPr>
        <w:instrText xml:space="preserve"> ADDIN ZOTERO_ITEM CSL_CITATION {"citationID":"qYPCdO3Y","properties":{"formattedCitation":"(Cid et\\uc0\\u160{}al., 2011)","plainCitation":"(Cid et al., 2011)","dontUpdate":true,"noteIndex":0},"citationItems":[{"id":275,"uris":["http://zotero.org/users/local/NeejuBUy/items/44NUREWR"],"itemData":{"id":275,"type":"article-journal","abstract":"Today it is very common to use simulation models in agriculture, in order to estimate, for a wide range of natural environments, the behavior of some variables in one way or another to predict a specific performance. These models usually include complex mathematical models in software and may come to predict the impact that could result in a system of land management on water in particular and the environment in general. Moreover, estimation of the global climate change effect on the ground is also possible through these tools. But they require input data that sometimes is not readily available as in the case of the physical properties of soils, and within these, those related to water operation. Sometimes data does exist but because of the method used in collection and the way they are expressed, their use in simulation models leads to results that are far from what actually occurs in the natural environment being studied. The study shows the most used physical properties in some of the simulation models which have been used in our country as well as their manner of being expressed and the recommended method for its determination in the field.","container-title":"Revista Ciencias Técnicas Agropecuarias","ISSN":"1010-2760","issue":"2","language":"es","page":"42-46","source":"Zotero","title":"Propiedades físicas de algunos suelos de Cuba y su uso en modelos de simulación","volume":"20","author":[{"family":"Cid","given":"Greco"},{"family":"López","given":"Teresa"},{"family":"González","given":"Felicita"},{"family":"Herrera","given":"Julián"}],"issued":{"date-parts":[["2011"]]}}}],"schema":"https://github.com/citation-style-language/schema/raw/master/csl-citation.json"} </w:instrText>
      </w:r>
      <w:r>
        <w:rPr>
          <w:rFonts w:ascii="Arial" w:hAnsi="Arial" w:cs="Arial"/>
          <w:sz w:val="24"/>
          <w:szCs w:val="24"/>
        </w:rPr>
        <w:fldChar w:fldCharType="separate"/>
      </w:r>
      <w:r w:rsidRPr="009D2AA0">
        <w:rPr>
          <w:rFonts w:ascii="Arial" w:hAnsi="Arial" w:cs="Arial"/>
          <w:sz w:val="24"/>
          <w:szCs w:val="24"/>
        </w:rPr>
        <w:t xml:space="preserve">Cid </w:t>
      </w:r>
      <w:r w:rsidRPr="009D2AA0">
        <w:rPr>
          <w:rFonts w:ascii="Arial" w:hAnsi="Arial" w:cs="Arial"/>
          <w:i/>
          <w:sz w:val="24"/>
          <w:szCs w:val="24"/>
        </w:rPr>
        <w:t>et al</w:t>
      </w:r>
      <w:r w:rsidRPr="009D2AA0">
        <w:rPr>
          <w:rFonts w:ascii="Arial" w:hAnsi="Arial" w:cs="Arial"/>
          <w:sz w:val="24"/>
          <w:szCs w:val="24"/>
        </w:rPr>
        <w:t>.</w:t>
      </w:r>
      <w:r>
        <w:rPr>
          <w:rFonts w:ascii="Arial" w:hAnsi="Arial" w:cs="Arial"/>
          <w:sz w:val="24"/>
          <w:szCs w:val="24"/>
        </w:rPr>
        <w:t xml:space="preserve"> (</w:t>
      </w:r>
      <w:r w:rsidRPr="009D2AA0">
        <w:rPr>
          <w:rFonts w:ascii="Arial" w:hAnsi="Arial" w:cs="Arial"/>
          <w:sz w:val="24"/>
          <w:szCs w:val="24"/>
        </w:rPr>
        <w:t>2011)</w:t>
      </w:r>
      <w:r>
        <w:rPr>
          <w:rFonts w:ascii="Arial" w:hAnsi="Arial" w:cs="Arial"/>
          <w:sz w:val="24"/>
          <w:szCs w:val="24"/>
        </w:rPr>
        <w:fldChar w:fldCharType="end"/>
      </w:r>
      <w:r>
        <w:rPr>
          <w:rFonts w:ascii="Arial" w:hAnsi="Arial" w:cs="Arial"/>
          <w:sz w:val="24"/>
          <w:szCs w:val="24"/>
        </w:rPr>
        <w:t xml:space="preserve">. Las mismas fueron realizadas según el procedimiento descrito por </w:t>
      </w:r>
      <w:r>
        <w:rPr>
          <w:rFonts w:ascii="Arial" w:hAnsi="Arial" w:cs="Arial"/>
          <w:sz w:val="24"/>
          <w:szCs w:val="24"/>
        </w:rPr>
        <w:fldChar w:fldCharType="begin"/>
      </w:r>
      <w:r>
        <w:rPr>
          <w:rFonts w:ascii="Arial" w:hAnsi="Arial" w:cs="Arial"/>
          <w:sz w:val="24"/>
          <w:szCs w:val="24"/>
        </w:rPr>
        <w:instrText xml:space="preserve"> ADDIN ZOTERO_ITEM CSL_CITATION {"citationID":"WTvLASUi","properties":{"formattedCitation":"(Paneque, 2010)","plainCitation":"(Paneque, 2010)","dontUpdate":true,"noteIndex":0},"citationItems":[{"id":244,"uris":["http://zotero.org/users/local/NeejuBUy/items/7QGVQLUQ"],"itemData":{"id":244,"type":"book","publisher":"Ediciones INCA","title":"Manual de técnicas analíticas para análisis de suelo, foliar, abonos orgánicos y fertilizantes químicos","author":[{"family":"Paneque","given":"VM"}],"issued":{"date-parts":[["2010"]]}}}],"schema":"https://github.com/citation-style-language/schema/raw/master/csl-citation.json"} </w:instrText>
      </w:r>
      <w:r>
        <w:rPr>
          <w:rFonts w:ascii="Arial" w:hAnsi="Arial" w:cs="Arial"/>
          <w:sz w:val="24"/>
          <w:szCs w:val="24"/>
        </w:rPr>
        <w:fldChar w:fldCharType="separate"/>
      </w:r>
      <w:r w:rsidRPr="009D2AA0">
        <w:rPr>
          <w:rFonts w:ascii="Arial" w:hAnsi="Arial" w:cs="Arial"/>
          <w:sz w:val="24"/>
        </w:rPr>
        <w:t>Paneque</w:t>
      </w:r>
      <w:r>
        <w:rPr>
          <w:rFonts w:ascii="Arial" w:hAnsi="Arial" w:cs="Arial"/>
          <w:sz w:val="24"/>
        </w:rPr>
        <w:t xml:space="preserve"> (</w:t>
      </w:r>
      <w:r w:rsidRPr="009D2AA0">
        <w:rPr>
          <w:rFonts w:ascii="Arial" w:hAnsi="Arial" w:cs="Arial"/>
          <w:sz w:val="24"/>
        </w:rPr>
        <w:t>2010)</w:t>
      </w:r>
      <w:r>
        <w:rPr>
          <w:rFonts w:ascii="Arial" w:hAnsi="Arial" w:cs="Arial"/>
          <w:sz w:val="24"/>
          <w:szCs w:val="24"/>
        </w:rPr>
        <w:fldChar w:fldCharType="end"/>
      </w:r>
      <w:r>
        <w:rPr>
          <w:rFonts w:ascii="Arial" w:hAnsi="Arial" w:cs="Arial"/>
          <w:sz w:val="24"/>
          <w:szCs w:val="24"/>
        </w:rPr>
        <w:t xml:space="preserve"> en el Manual de </w:t>
      </w:r>
      <w:r w:rsidRPr="00DB3129">
        <w:rPr>
          <w:rFonts w:ascii="Arial" w:hAnsi="Arial" w:cs="Arial"/>
          <w:sz w:val="24"/>
          <w:szCs w:val="24"/>
        </w:rPr>
        <w:t>técnicas analíticas para análisis de suelo, foliar, abonos orgánicos y fertilizantes químicos</w:t>
      </w:r>
    </w:p>
    <w:p w14:paraId="43698FA1" w14:textId="6BC7D1BF" w:rsidR="005D6EB7" w:rsidRDefault="008E012D" w:rsidP="00EE6312">
      <w:pPr>
        <w:spacing w:before="120" w:line="360" w:lineRule="auto"/>
        <w:contextualSpacing/>
        <w:jc w:val="both"/>
        <w:rPr>
          <w:rFonts w:ascii="Arial" w:hAnsi="Arial" w:cs="Arial"/>
          <w:b/>
          <w:color w:val="000000"/>
          <w:sz w:val="24"/>
          <w:szCs w:val="24"/>
        </w:rPr>
      </w:pPr>
      <w:r>
        <w:rPr>
          <w:rFonts w:ascii="Arial" w:hAnsi="Arial" w:cs="Arial"/>
          <w:color w:val="000000" w:themeColor="text1"/>
          <w:sz w:val="24"/>
          <w:szCs w:val="24"/>
        </w:rPr>
        <w:t>Tabla x</w:t>
      </w:r>
      <w:r w:rsidRPr="006549C5">
        <w:rPr>
          <w:rFonts w:ascii="Arial" w:hAnsi="Arial" w:cs="Arial"/>
          <w:color w:val="000000" w:themeColor="text1"/>
          <w:sz w:val="24"/>
          <w:szCs w:val="24"/>
        </w:rPr>
        <w:t>.</w:t>
      </w:r>
      <w:r>
        <w:rPr>
          <w:rFonts w:ascii="Arial" w:hAnsi="Arial" w:cs="Arial"/>
          <w:color w:val="000000" w:themeColor="text1"/>
          <w:sz w:val="24"/>
          <w:szCs w:val="24"/>
        </w:rPr>
        <w:t xml:space="preserve"> La descripción del perfil se muestra</w:t>
      </w:r>
    </w:p>
    <w:p w14:paraId="685674BC" w14:textId="77777777" w:rsidR="008E012D" w:rsidRDefault="008E012D" w:rsidP="008E012D">
      <w:pPr>
        <w:autoSpaceDE w:val="0"/>
        <w:autoSpaceDN w:val="0"/>
        <w:adjustRightInd w:val="0"/>
        <w:spacing w:after="0" w:line="240" w:lineRule="auto"/>
        <w:jc w:val="both"/>
        <w:rPr>
          <w:rFonts w:ascii="Arial" w:hAnsi="Arial" w:cs="Arial"/>
          <w:color w:val="000000" w:themeColor="text1"/>
          <w:sz w:val="24"/>
          <w:szCs w:val="24"/>
        </w:rPr>
      </w:pPr>
      <w:r w:rsidRPr="006549C5">
        <w:rPr>
          <w:rFonts w:ascii="Arial" w:hAnsi="Arial" w:cs="Arial"/>
          <w:color w:val="000000" w:themeColor="text1"/>
          <w:sz w:val="24"/>
          <w:szCs w:val="24"/>
        </w:rPr>
        <w:t xml:space="preserve">Tabla 3. </w:t>
      </w:r>
      <w:r>
        <w:rPr>
          <w:rFonts w:ascii="Arial" w:hAnsi="Arial" w:cs="Arial"/>
          <w:color w:val="000000" w:themeColor="text1"/>
          <w:sz w:val="24"/>
          <w:szCs w:val="24"/>
        </w:rPr>
        <w:t>Algunas p</w:t>
      </w:r>
      <w:r w:rsidRPr="006549C5">
        <w:rPr>
          <w:rFonts w:ascii="Arial" w:hAnsi="Arial" w:cs="Arial"/>
          <w:color w:val="000000" w:themeColor="text1"/>
          <w:sz w:val="24"/>
          <w:szCs w:val="24"/>
        </w:rPr>
        <w:t xml:space="preserve">ropiedades </w:t>
      </w:r>
      <w:r>
        <w:rPr>
          <w:rFonts w:ascii="Arial" w:hAnsi="Arial" w:cs="Arial"/>
          <w:color w:val="000000" w:themeColor="text1"/>
          <w:sz w:val="24"/>
          <w:szCs w:val="24"/>
        </w:rPr>
        <w:t xml:space="preserve">físico-químicas </w:t>
      </w:r>
      <w:r w:rsidRPr="006549C5">
        <w:rPr>
          <w:rFonts w:ascii="Arial" w:hAnsi="Arial" w:cs="Arial"/>
          <w:color w:val="000000" w:themeColor="text1"/>
          <w:sz w:val="24"/>
          <w:szCs w:val="24"/>
        </w:rPr>
        <w:t>del suelo donde se desarrollaron los experimentos</w:t>
      </w:r>
      <w:r w:rsidRPr="00B31EB3">
        <w:rPr>
          <w:rFonts w:ascii="Arial" w:hAnsi="Arial" w:cs="Arial"/>
          <w:sz w:val="24"/>
          <w:szCs w:val="24"/>
        </w:rPr>
        <w:t xml:space="preserve"> </w:t>
      </w:r>
      <w:r>
        <w:rPr>
          <w:rFonts w:ascii="Arial" w:hAnsi="Arial" w:cs="Arial"/>
          <w:sz w:val="24"/>
          <w:szCs w:val="24"/>
        </w:rPr>
        <w:t>para la calibración del cultivar P-7928</w:t>
      </w:r>
    </w:p>
    <w:tbl>
      <w:tblPr>
        <w:tblStyle w:val="Tabladecuadrcula5oscura-nfasis4"/>
        <w:tblW w:w="0" w:type="auto"/>
        <w:jc w:val="center"/>
        <w:tblLook w:val="04A0" w:firstRow="1" w:lastRow="0" w:firstColumn="1" w:lastColumn="0" w:noHBand="0" w:noVBand="1"/>
      </w:tblPr>
      <w:tblGrid>
        <w:gridCol w:w="988"/>
        <w:gridCol w:w="684"/>
        <w:gridCol w:w="1654"/>
        <w:gridCol w:w="956"/>
        <w:gridCol w:w="750"/>
        <w:gridCol w:w="707"/>
        <w:gridCol w:w="652"/>
        <w:gridCol w:w="897"/>
      </w:tblGrid>
      <w:tr w:rsidR="008E012D" w14:paraId="6CF09BB5"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57C93586"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Prof (cm)</w:t>
            </w:r>
          </w:p>
        </w:tc>
        <w:tc>
          <w:tcPr>
            <w:tcW w:w="684" w:type="dxa"/>
            <w:vMerge w:val="restart"/>
          </w:tcPr>
          <w:p w14:paraId="5D173EBA"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 xml:space="preserve">pH </w:t>
            </w:r>
          </w:p>
          <w:p w14:paraId="5FCE58B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H</w:t>
            </w:r>
            <w:r w:rsidRPr="002E4F0C">
              <w:rPr>
                <w:rFonts w:ascii="Arial" w:hAnsi="Arial" w:cs="Arial"/>
                <w:color w:val="000000" w:themeColor="text1"/>
                <w:sz w:val="24"/>
                <w:szCs w:val="24"/>
                <w:vertAlign w:val="subscript"/>
              </w:rPr>
              <w:t>2</w:t>
            </w:r>
            <w:r w:rsidRPr="002E4F0C">
              <w:rPr>
                <w:rFonts w:ascii="Arial" w:hAnsi="Arial" w:cs="Arial"/>
                <w:color w:val="000000" w:themeColor="text1"/>
                <w:sz w:val="24"/>
                <w:szCs w:val="24"/>
              </w:rPr>
              <w:t>O</w:t>
            </w:r>
          </w:p>
        </w:tc>
        <w:tc>
          <w:tcPr>
            <w:tcW w:w="1654" w:type="dxa"/>
            <w:vMerge w:val="restart"/>
          </w:tcPr>
          <w:p w14:paraId="0A2F051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r w:rsidRPr="002E4F0C">
              <w:rPr>
                <w:rFonts w:ascii="Arial" w:hAnsi="Arial" w:cs="Arial"/>
                <w:color w:val="000000" w:themeColor="text1"/>
                <w:sz w:val="24"/>
                <w:szCs w:val="24"/>
                <w:lang w:val="pt-BR"/>
              </w:rPr>
              <w:t>P</w:t>
            </w:r>
          </w:p>
          <w:p w14:paraId="48E3AA5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r w:rsidRPr="002E4F0C">
              <w:rPr>
                <w:rFonts w:ascii="Arial" w:hAnsi="Arial" w:cs="Arial"/>
                <w:color w:val="000000" w:themeColor="text1"/>
                <w:sz w:val="24"/>
                <w:szCs w:val="24"/>
                <w:lang w:val="pt-BR"/>
              </w:rPr>
              <w:t xml:space="preserve">asimil </w:t>
            </w:r>
          </w:p>
          <w:p w14:paraId="610B652F"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w:t>
            </w:r>
            <w:r>
              <w:rPr>
                <w:rFonts w:ascii="Arial" w:hAnsi="Arial" w:cs="Arial"/>
                <w:color w:val="000000" w:themeColor="text1"/>
                <w:sz w:val="24"/>
                <w:szCs w:val="24"/>
              </w:rPr>
              <w:t>mg kg</w:t>
            </w:r>
            <w:r w:rsidRPr="00514E6F">
              <w:rPr>
                <w:rFonts w:ascii="Arial" w:hAnsi="Arial" w:cs="Arial"/>
                <w:color w:val="000000" w:themeColor="text1"/>
                <w:sz w:val="24"/>
                <w:szCs w:val="24"/>
                <w:vertAlign w:val="superscript"/>
              </w:rPr>
              <w:t>-1</w:t>
            </w:r>
            <w:r w:rsidRPr="002E4F0C">
              <w:rPr>
                <w:rFonts w:ascii="Arial" w:hAnsi="Arial" w:cs="Arial"/>
                <w:color w:val="000000" w:themeColor="text1"/>
                <w:sz w:val="24"/>
                <w:szCs w:val="24"/>
              </w:rPr>
              <w:t>)</w:t>
            </w:r>
          </w:p>
        </w:tc>
        <w:tc>
          <w:tcPr>
            <w:tcW w:w="956" w:type="dxa"/>
          </w:tcPr>
          <w:p w14:paraId="0D35AD2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Ca</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50" w:type="dxa"/>
          </w:tcPr>
          <w:p w14:paraId="5F401B9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Mg</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07" w:type="dxa"/>
          </w:tcPr>
          <w:p w14:paraId="396F3DB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Na</w:t>
            </w:r>
            <w:r w:rsidRPr="002E4F0C">
              <w:rPr>
                <w:rFonts w:ascii="Arial" w:hAnsi="Arial" w:cs="Arial"/>
                <w:color w:val="000000" w:themeColor="text1"/>
                <w:sz w:val="24"/>
                <w:szCs w:val="24"/>
                <w:vertAlign w:val="superscript"/>
                <w:lang w:val="pt-BR"/>
              </w:rPr>
              <w:t>+</w:t>
            </w:r>
          </w:p>
        </w:tc>
        <w:tc>
          <w:tcPr>
            <w:tcW w:w="652" w:type="dxa"/>
          </w:tcPr>
          <w:p w14:paraId="7B9F180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K</w:t>
            </w:r>
            <w:r w:rsidRPr="002E4F0C">
              <w:rPr>
                <w:rFonts w:ascii="Arial" w:hAnsi="Arial" w:cs="Arial"/>
                <w:color w:val="000000" w:themeColor="text1"/>
                <w:sz w:val="24"/>
                <w:szCs w:val="24"/>
                <w:vertAlign w:val="superscript"/>
                <w:lang w:val="pt-BR"/>
              </w:rPr>
              <w:t>+</w:t>
            </w:r>
          </w:p>
        </w:tc>
        <w:tc>
          <w:tcPr>
            <w:tcW w:w="897" w:type="dxa"/>
          </w:tcPr>
          <w:p w14:paraId="2169A521"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Suma</w:t>
            </w:r>
          </w:p>
        </w:tc>
      </w:tr>
      <w:tr w:rsidR="008E012D" w14:paraId="2E6EF0B3"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5925BD9" w14:textId="77777777" w:rsidR="008E012D" w:rsidRPr="002E4F0C" w:rsidRDefault="008E012D" w:rsidP="00252DF7">
            <w:pPr>
              <w:spacing w:line="360" w:lineRule="auto"/>
              <w:jc w:val="center"/>
              <w:rPr>
                <w:rFonts w:ascii="Arial" w:hAnsi="Arial" w:cs="Arial"/>
                <w:color w:val="000000" w:themeColor="text1"/>
                <w:sz w:val="24"/>
                <w:szCs w:val="24"/>
              </w:rPr>
            </w:pPr>
          </w:p>
        </w:tc>
        <w:tc>
          <w:tcPr>
            <w:tcW w:w="684" w:type="dxa"/>
            <w:vMerge/>
          </w:tcPr>
          <w:p w14:paraId="3ADA7FA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1654" w:type="dxa"/>
            <w:vMerge/>
          </w:tcPr>
          <w:p w14:paraId="6B60121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3962" w:type="dxa"/>
            <w:gridSpan w:val="5"/>
            <w:shd w:val="clear" w:color="auto" w:fill="FFC000" w:themeFill="accent4"/>
          </w:tcPr>
          <w:p w14:paraId="5FA3EAA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2E4F0C">
              <w:rPr>
                <w:rFonts w:ascii="Arial" w:hAnsi="Arial" w:cs="Arial"/>
                <w:b/>
                <w:color w:val="000000" w:themeColor="text1"/>
                <w:sz w:val="24"/>
                <w:szCs w:val="24"/>
                <w:lang w:val="pt-BR"/>
              </w:rPr>
              <w:t>cmol kg</w:t>
            </w:r>
            <w:r w:rsidRPr="002E4F0C">
              <w:rPr>
                <w:rFonts w:ascii="Arial" w:hAnsi="Arial" w:cs="Arial"/>
                <w:b/>
                <w:color w:val="000000" w:themeColor="text1"/>
                <w:sz w:val="24"/>
                <w:szCs w:val="24"/>
                <w:vertAlign w:val="superscript"/>
                <w:lang w:val="pt-BR"/>
              </w:rPr>
              <w:t>-1</w:t>
            </w:r>
          </w:p>
        </w:tc>
      </w:tr>
      <w:tr w:rsidR="008E012D" w14:paraId="3C82F895"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7114D48C"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0-19</w:t>
            </w:r>
          </w:p>
        </w:tc>
        <w:tc>
          <w:tcPr>
            <w:tcW w:w="684" w:type="dxa"/>
          </w:tcPr>
          <w:p w14:paraId="472AF0A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7,34</w:t>
            </w:r>
          </w:p>
        </w:tc>
        <w:tc>
          <w:tcPr>
            <w:tcW w:w="1654" w:type="dxa"/>
          </w:tcPr>
          <w:p w14:paraId="555FF364"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24,9</w:t>
            </w:r>
          </w:p>
        </w:tc>
        <w:tc>
          <w:tcPr>
            <w:tcW w:w="956" w:type="dxa"/>
          </w:tcPr>
          <w:p w14:paraId="5D09154C"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16,3</w:t>
            </w:r>
          </w:p>
        </w:tc>
        <w:tc>
          <w:tcPr>
            <w:tcW w:w="750" w:type="dxa"/>
          </w:tcPr>
          <w:p w14:paraId="4082F9DF"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2,1</w:t>
            </w:r>
          </w:p>
        </w:tc>
        <w:tc>
          <w:tcPr>
            <w:tcW w:w="707" w:type="dxa"/>
          </w:tcPr>
          <w:p w14:paraId="7BB8C4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A48802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0,9</w:t>
            </w:r>
          </w:p>
        </w:tc>
        <w:tc>
          <w:tcPr>
            <w:tcW w:w="897" w:type="dxa"/>
          </w:tcPr>
          <w:p w14:paraId="4A69162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19,5</w:t>
            </w:r>
          </w:p>
        </w:tc>
      </w:tr>
      <w:tr w:rsidR="008E012D" w14:paraId="08AF29DA"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07874AFE"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19-44</w:t>
            </w:r>
          </w:p>
        </w:tc>
        <w:tc>
          <w:tcPr>
            <w:tcW w:w="684" w:type="dxa"/>
          </w:tcPr>
          <w:p w14:paraId="6C54A419"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6,85</w:t>
            </w:r>
          </w:p>
        </w:tc>
        <w:tc>
          <w:tcPr>
            <w:tcW w:w="1654" w:type="dxa"/>
          </w:tcPr>
          <w:p w14:paraId="06284B4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18,8</w:t>
            </w:r>
          </w:p>
        </w:tc>
        <w:tc>
          <w:tcPr>
            <w:tcW w:w="956" w:type="dxa"/>
          </w:tcPr>
          <w:p w14:paraId="52DC5707"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13,4</w:t>
            </w:r>
          </w:p>
        </w:tc>
        <w:tc>
          <w:tcPr>
            <w:tcW w:w="750" w:type="dxa"/>
          </w:tcPr>
          <w:p w14:paraId="6A0393E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2,8</w:t>
            </w:r>
          </w:p>
        </w:tc>
        <w:tc>
          <w:tcPr>
            <w:tcW w:w="707" w:type="dxa"/>
          </w:tcPr>
          <w:p w14:paraId="264D5E5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0128A7D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0,5</w:t>
            </w:r>
          </w:p>
        </w:tc>
        <w:tc>
          <w:tcPr>
            <w:tcW w:w="897" w:type="dxa"/>
          </w:tcPr>
          <w:p w14:paraId="0FBAB49A"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16,9</w:t>
            </w:r>
          </w:p>
        </w:tc>
      </w:tr>
      <w:tr w:rsidR="008E012D" w14:paraId="55344C51"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42E54E20"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44-60</w:t>
            </w:r>
          </w:p>
        </w:tc>
        <w:tc>
          <w:tcPr>
            <w:tcW w:w="684" w:type="dxa"/>
          </w:tcPr>
          <w:p w14:paraId="71F2ED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6,72</w:t>
            </w:r>
          </w:p>
        </w:tc>
        <w:tc>
          <w:tcPr>
            <w:tcW w:w="1654" w:type="dxa"/>
          </w:tcPr>
          <w:p w14:paraId="0F7F5EA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14,4</w:t>
            </w:r>
          </w:p>
        </w:tc>
        <w:tc>
          <w:tcPr>
            <w:tcW w:w="956" w:type="dxa"/>
          </w:tcPr>
          <w:p w14:paraId="245E3250"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9,5</w:t>
            </w:r>
          </w:p>
        </w:tc>
        <w:tc>
          <w:tcPr>
            <w:tcW w:w="750" w:type="dxa"/>
          </w:tcPr>
          <w:p w14:paraId="4CBCE926"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1,5</w:t>
            </w:r>
          </w:p>
        </w:tc>
        <w:tc>
          <w:tcPr>
            <w:tcW w:w="707" w:type="dxa"/>
          </w:tcPr>
          <w:p w14:paraId="06493897"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420CADE8"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0,3</w:t>
            </w:r>
          </w:p>
        </w:tc>
        <w:tc>
          <w:tcPr>
            <w:tcW w:w="897" w:type="dxa"/>
          </w:tcPr>
          <w:p w14:paraId="7B7867D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11,5</w:t>
            </w:r>
          </w:p>
        </w:tc>
      </w:tr>
      <w:tr w:rsidR="008E012D" w14:paraId="315851D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26095AB"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60-100</w:t>
            </w:r>
          </w:p>
        </w:tc>
        <w:tc>
          <w:tcPr>
            <w:tcW w:w="684" w:type="dxa"/>
          </w:tcPr>
          <w:p w14:paraId="5E5A9D9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5,77</w:t>
            </w:r>
          </w:p>
        </w:tc>
        <w:tc>
          <w:tcPr>
            <w:tcW w:w="1654" w:type="dxa"/>
          </w:tcPr>
          <w:p w14:paraId="555C3C8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13,5</w:t>
            </w:r>
          </w:p>
        </w:tc>
        <w:tc>
          <w:tcPr>
            <w:tcW w:w="956" w:type="dxa"/>
          </w:tcPr>
          <w:p w14:paraId="4E8A503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8,3</w:t>
            </w:r>
          </w:p>
        </w:tc>
        <w:tc>
          <w:tcPr>
            <w:tcW w:w="750" w:type="dxa"/>
          </w:tcPr>
          <w:p w14:paraId="2B33698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1,0</w:t>
            </w:r>
          </w:p>
        </w:tc>
        <w:tc>
          <w:tcPr>
            <w:tcW w:w="707" w:type="dxa"/>
          </w:tcPr>
          <w:p w14:paraId="6E633D7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039387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897" w:type="dxa"/>
          </w:tcPr>
          <w:p w14:paraId="5E384FC0"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9,7</w:t>
            </w:r>
          </w:p>
        </w:tc>
      </w:tr>
    </w:tbl>
    <w:p w14:paraId="3E3091CF" w14:textId="77777777" w:rsidR="008E012D" w:rsidRDefault="008E012D" w:rsidP="00EE6312">
      <w:pPr>
        <w:spacing w:before="120" w:line="360" w:lineRule="auto"/>
        <w:contextualSpacing/>
        <w:jc w:val="both"/>
        <w:rPr>
          <w:rFonts w:ascii="Arial" w:hAnsi="Arial" w:cs="Arial"/>
          <w:b/>
          <w:color w:val="000000"/>
          <w:sz w:val="24"/>
          <w:szCs w:val="24"/>
        </w:rPr>
      </w:pPr>
    </w:p>
    <w:p w14:paraId="688AC27E" w14:textId="2E544234" w:rsidR="008E012D" w:rsidRDefault="008E012D" w:rsidP="00EE6312">
      <w:pPr>
        <w:spacing w:before="120" w:line="360" w:lineRule="auto"/>
        <w:contextualSpacing/>
        <w:jc w:val="both"/>
        <w:rPr>
          <w:rFonts w:ascii="Arial" w:hAnsi="Arial" w:cs="Arial"/>
          <w:b/>
          <w:color w:val="000000"/>
          <w:sz w:val="24"/>
          <w:szCs w:val="24"/>
        </w:rPr>
      </w:pPr>
    </w:p>
    <w:p w14:paraId="717C83FA" w14:textId="77777777" w:rsidR="008E012D" w:rsidRDefault="008E012D" w:rsidP="00EE6312">
      <w:pPr>
        <w:spacing w:before="120" w:line="360" w:lineRule="auto"/>
        <w:contextualSpacing/>
        <w:jc w:val="both"/>
        <w:rPr>
          <w:rFonts w:ascii="Arial" w:hAnsi="Arial" w:cs="Arial"/>
          <w:b/>
          <w:color w:val="000000"/>
          <w:sz w:val="24"/>
          <w:szCs w:val="24"/>
        </w:rPr>
      </w:pPr>
    </w:p>
    <w:p w14:paraId="7EEC92F8" w14:textId="261D7413" w:rsidR="00EE6312" w:rsidRDefault="00EE6312" w:rsidP="00EE6312">
      <w:pPr>
        <w:spacing w:before="120" w:line="360" w:lineRule="auto"/>
        <w:contextualSpacing/>
        <w:jc w:val="both"/>
        <w:rPr>
          <w:rFonts w:ascii="Arial" w:hAnsi="Arial" w:cs="Arial"/>
          <w:b/>
          <w:color w:val="000000"/>
          <w:sz w:val="24"/>
          <w:szCs w:val="24"/>
        </w:rPr>
      </w:pPr>
      <w:r w:rsidRPr="00ED7B50">
        <w:rPr>
          <w:rFonts w:ascii="Arial" w:hAnsi="Arial" w:cs="Arial"/>
          <w:b/>
          <w:color w:val="000000"/>
          <w:sz w:val="24"/>
          <w:szCs w:val="24"/>
        </w:rPr>
        <w:t>Preparación de los ficheros de entrada</w:t>
      </w:r>
    </w:p>
    <w:p w14:paraId="77589EE1" w14:textId="47E6A2F0"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lastRenderedPageBreak/>
        <w:t>Se crearon seis ficheros de entrada para correr el modelo CERES-Maize insertado</w:t>
      </w:r>
      <w:r>
        <w:rPr>
          <w:rFonts w:ascii="Arial" w:hAnsi="Arial" w:cs="Arial"/>
          <w:color w:val="221F1F"/>
          <w:sz w:val="24"/>
          <w:szCs w:val="24"/>
        </w:rPr>
        <w:t xml:space="preserve"> en DSSAT v4.8.2: fichero X, fichero A</w:t>
      </w:r>
      <w:r w:rsidRPr="0041771C">
        <w:rPr>
          <w:rFonts w:ascii="Arial" w:hAnsi="Arial" w:cs="Arial"/>
          <w:color w:val="221F1F"/>
          <w:sz w:val="24"/>
          <w:szCs w:val="24"/>
        </w:rPr>
        <w:t>, fic</w:t>
      </w:r>
      <w:r>
        <w:rPr>
          <w:rFonts w:ascii="Arial" w:hAnsi="Arial" w:cs="Arial"/>
          <w:color w:val="221F1F"/>
          <w:sz w:val="24"/>
          <w:szCs w:val="24"/>
        </w:rPr>
        <w:t>hero T</w:t>
      </w:r>
      <w:r w:rsidRPr="0041771C">
        <w:rPr>
          <w:rFonts w:ascii="Arial" w:hAnsi="Arial" w:cs="Arial"/>
          <w:color w:val="221F1F"/>
          <w:sz w:val="24"/>
          <w:szCs w:val="24"/>
        </w:rPr>
        <w:t>, fichero de suelo, fichero de clima y fichero de</w:t>
      </w:r>
      <w:r>
        <w:rPr>
          <w:rFonts w:ascii="Arial" w:hAnsi="Arial" w:cs="Arial"/>
          <w:color w:val="221F1F"/>
          <w:sz w:val="24"/>
          <w:szCs w:val="24"/>
        </w:rPr>
        <w:t xml:space="preserve"> coeficientes genéticos</w:t>
      </w:r>
      <w:r w:rsidRPr="0041771C">
        <w:rPr>
          <w:rFonts w:ascii="Arial" w:hAnsi="Arial" w:cs="Arial"/>
          <w:color w:val="221F1F"/>
          <w:sz w:val="24"/>
          <w:szCs w:val="24"/>
        </w:rPr>
        <w:t xml:space="preserve">. </w:t>
      </w:r>
    </w:p>
    <w:p w14:paraId="1DD41DDE" w14:textId="77777777"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C84161">
        <w:rPr>
          <w:rFonts w:ascii="Arial" w:hAnsi="Arial" w:cs="Arial"/>
          <w:color w:val="221F1F"/>
          <w:sz w:val="24"/>
          <w:szCs w:val="24"/>
        </w:rPr>
        <w:t>En los ficheros A y T, se almacenaron los valores de las variables fisiológicas observadas en los experimentos, expresadas en kg ha</w:t>
      </w:r>
      <w:r w:rsidRPr="00C84161">
        <w:rPr>
          <w:rFonts w:ascii="Arial" w:hAnsi="Arial" w:cs="Arial"/>
          <w:color w:val="221F1F"/>
          <w:sz w:val="24"/>
          <w:szCs w:val="24"/>
          <w:vertAlign w:val="superscript"/>
        </w:rPr>
        <w:t>-1</w:t>
      </w:r>
      <w:r w:rsidRPr="00C84161">
        <w:rPr>
          <w:rFonts w:ascii="Arial" w:hAnsi="Arial" w:cs="Arial"/>
          <w:color w:val="221F1F"/>
          <w:sz w:val="24"/>
          <w:szCs w:val="24"/>
        </w:rPr>
        <w:t>, y se compararon con los valores simulados por el modelo para la calibración.</w:t>
      </w:r>
      <w:r w:rsidRPr="0041771C">
        <w:rPr>
          <w:rFonts w:ascii="Arial" w:hAnsi="Arial" w:cs="Arial"/>
          <w:color w:val="221F1F"/>
          <w:sz w:val="24"/>
          <w:szCs w:val="24"/>
        </w:rPr>
        <w:t xml:space="preserve"> </w:t>
      </w:r>
    </w:p>
    <w:p w14:paraId="6D8A9880" w14:textId="77777777" w:rsidR="005D6EB7" w:rsidRPr="00CA14B3"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t>En el fichero X, se almacenaron datos de las condiciones de campo, tratamientos experimentales y opciones de simulación. La mayor parte de este fichero son los datos de manejo de la producción de cultivos, separados en varias secciones.</w:t>
      </w:r>
    </w:p>
    <w:p w14:paraId="75999D08" w14:textId="294F17B1" w:rsidR="005D6EB7" w:rsidRDefault="005D6EB7" w:rsidP="00EE6312">
      <w:pPr>
        <w:spacing w:before="120" w:line="360" w:lineRule="auto"/>
        <w:contextualSpacing/>
        <w:jc w:val="both"/>
        <w:rPr>
          <w:rFonts w:ascii="Arial" w:hAnsi="Arial" w:cs="Arial"/>
          <w:b/>
          <w:color w:val="000000"/>
          <w:sz w:val="24"/>
          <w:szCs w:val="24"/>
        </w:rPr>
      </w:pPr>
    </w:p>
    <w:p w14:paraId="6CF1C8AD" w14:textId="55DCC043" w:rsidR="005D6EB7" w:rsidRDefault="005D6EB7" w:rsidP="00EE6312">
      <w:pPr>
        <w:spacing w:before="120" w:line="360" w:lineRule="auto"/>
        <w:contextualSpacing/>
        <w:jc w:val="both"/>
        <w:rPr>
          <w:rFonts w:ascii="Arial" w:hAnsi="Arial" w:cs="Arial"/>
          <w:b/>
          <w:color w:val="000000"/>
          <w:sz w:val="24"/>
          <w:szCs w:val="24"/>
        </w:rPr>
      </w:pPr>
      <w:r>
        <w:rPr>
          <w:rFonts w:ascii="Arial" w:hAnsi="Arial" w:cs="Arial"/>
          <w:b/>
          <w:color w:val="000000"/>
          <w:sz w:val="24"/>
          <w:szCs w:val="24"/>
        </w:rPr>
        <w:t>Coeficientes genéticos utilizados</w:t>
      </w:r>
    </w:p>
    <w:p w14:paraId="7F828585" w14:textId="3C0B1712" w:rsidR="005D6EB7" w:rsidRDefault="005D6EB7" w:rsidP="005D6EB7">
      <w:pPr>
        <w:autoSpaceDE w:val="0"/>
        <w:autoSpaceDN w:val="0"/>
        <w:adjustRightInd w:val="0"/>
        <w:spacing w:after="0" w:line="480" w:lineRule="auto"/>
        <w:jc w:val="both"/>
        <w:rPr>
          <w:rStyle w:val="tlid-translation"/>
          <w:rFonts w:ascii="Arial" w:hAnsi="Arial" w:cs="Arial"/>
          <w:sz w:val="24"/>
          <w:szCs w:val="24"/>
        </w:rPr>
      </w:pPr>
      <w:r>
        <w:rPr>
          <w:rStyle w:val="tlid-translation"/>
          <w:rFonts w:ascii="Arial" w:hAnsi="Arial" w:cs="Arial"/>
          <w:sz w:val="24"/>
          <w:szCs w:val="24"/>
        </w:rPr>
        <w:t>En la investigación se utilizaron los coeficientes genéticos obtenidos para el cultivar de maiz</w:t>
      </w:r>
      <w:r w:rsidRPr="005D6EB7">
        <w:rPr>
          <w:rFonts w:ascii="Arial" w:hAnsi="Arial" w:cs="Arial"/>
          <w:sz w:val="24"/>
          <w:szCs w:val="24"/>
        </w:rPr>
        <w:t xml:space="preserve"> </w:t>
      </w:r>
      <w:r w:rsidRPr="00616A90">
        <w:rPr>
          <w:rFonts w:ascii="Arial" w:hAnsi="Arial" w:cs="Arial"/>
          <w:sz w:val="24"/>
          <w:szCs w:val="24"/>
        </w:rPr>
        <w:t>P-7928</w:t>
      </w:r>
      <w:r>
        <w:rPr>
          <w:rFonts w:ascii="Arial" w:hAnsi="Arial" w:cs="Arial"/>
          <w:sz w:val="24"/>
          <w:szCs w:val="24"/>
        </w:rPr>
        <w:t xml:space="preserve"> (tesis </w:t>
      </w:r>
      <w:r w:rsidR="00252DF7">
        <w:rPr>
          <w:rFonts w:ascii="Arial" w:hAnsi="Arial" w:cs="Arial"/>
          <w:sz w:val="24"/>
          <w:szCs w:val="24"/>
        </w:rPr>
        <w:t xml:space="preserve">o artículo </w:t>
      </w:r>
      <w:r>
        <w:rPr>
          <w:rFonts w:ascii="Arial" w:hAnsi="Arial" w:cs="Arial"/>
          <w:sz w:val="24"/>
          <w:szCs w:val="24"/>
        </w:rPr>
        <w:t>de Osmel)</w:t>
      </w:r>
      <w:r w:rsidRPr="00311B78">
        <w:rPr>
          <w:rStyle w:val="tlid-translation"/>
          <w:rFonts w:ascii="Arial" w:hAnsi="Arial" w:cs="Arial"/>
          <w:sz w:val="24"/>
          <w:szCs w:val="24"/>
        </w:rPr>
        <w:t xml:space="preserve">. </w:t>
      </w:r>
    </w:p>
    <w:p w14:paraId="4D494DD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P1: Este coeficiente hace referencia a la cantidad de GDCA que necesita la planta desde su emergencia hasta la aparición del primordio floral. Este dato no fue medido en los experimentos realizados. </w:t>
      </w:r>
      <w:r>
        <w:rPr>
          <w:rFonts w:ascii="Arial" w:hAnsi="Arial" w:cs="Arial"/>
          <w:color w:val="000000" w:themeColor="text1"/>
          <w:sz w:val="24"/>
          <w:szCs w:val="24"/>
        </w:rPr>
        <w:t xml:space="preserve">Se tomó como valor inicial 100 GDCA basado en resultados de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{"citationID":"LD259Egf","properties":{"formattedCitation":"(Hunter et\\uc0\\u160{}al., 1977)","plainCitation":"(Hunter et al., 1977)","dontUpdate":true,"noteIndex":0},"citationItems":[{"id":281,"uris":["http://zotero.org/users/local/NeejuBUy/items/Y6MLCF23"],"itemData":{"id":281,"type":"article-journal","abstract":"A single-cross maize (Zea mays L.) hybrid was grown to maturity in the four combinations of two temperatures, 20 and 30 C, and two photoperiods, 10 and 20 h, in controlled-environment growth cabinets. Measurements of dry weights of plant components were made at tassel initiation, mid-anthesis, mid-anthesis plus 16 days, and maturity. The longer photoperiod and cooler temperature treatment produced the highest final plant dry weight. Average daily dry matter (DM) production was greater for plants grown at the longer photoperiod. This could largely be attributed to a higher leaf area per plant. The duration of DM production was longer at the cooler temperature. Grain yields were higher under the lower temperature because of an increase in the length of the grain-filling period and because a greater proportion of the post-anthesis DM was allocated to the grain. The results of this study showed a significant photoperiod × temperature interaction for length of the grain-filling period, kernel number and grain yield. Post-anthesis DM accumulation did not appear to be a limiting factor for grain yield. The effects of temperature and photoperiod on length of the grain-filling period and grain yield may have been partly mediated through the size of the grain sink.","container-title":"Canadian Journal of Plant Science","DOI":"10.4141/cjps77-167","ISSN":"0008-4220, 1918-1833","issue":"4","language":"en","page":"1127-1133","source":"DOI.org (Crossref)","title":"Effects of photoperiod and temperature on vegetative and reproductive growth of a maize (Zea Mays) hybrid","volume":"57","author":[{"family":"Hunter","given":"RB"},{"family":"Tollenaar","given":"M"},{"family":"Breuer","given":"CM"}],"issued":{"date-parts":[["1977"]]}}}],"schema":"https://github.com/citation-style-language/schema/raw/master/csl-citation.json"} </w:instrText>
      </w:r>
      <w:r>
        <w:rPr>
          <w:rFonts w:ascii="Arial" w:hAnsi="Arial" w:cs="Arial"/>
          <w:color w:val="000000" w:themeColor="text1"/>
          <w:sz w:val="24"/>
          <w:szCs w:val="24"/>
        </w:rPr>
        <w:fldChar w:fldCharType="separate"/>
      </w:r>
      <w:r w:rsidRPr="00AB4C8F">
        <w:rPr>
          <w:rFonts w:ascii="Arial" w:hAnsi="Arial" w:cs="Arial"/>
          <w:sz w:val="24"/>
          <w:szCs w:val="24"/>
        </w:rPr>
        <w:t xml:space="preserve">Hunter </w:t>
      </w:r>
      <w:r w:rsidRPr="00AB4C8F">
        <w:rPr>
          <w:rFonts w:ascii="Arial" w:hAnsi="Arial" w:cs="Arial"/>
          <w:i/>
          <w:sz w:val="24"/>
          <w:szCs w:val="24"/>
        </w:rPr>
        <w:t>et al</w:t>
      </w:r>
      <w:r w:rsidRPr="00AB4C8F">
        <w:rPr>
          <w:rFonts w:ascii="Arial" w:hAnsi="Arial" w:cs="Arial"/>
          <w:sz w:val="24"/>
          <w:szCs w:val="24"/>
        </w:rPr>
        <w:t>.</w:t>
      </w:r>
      <w:r>
        <w:rPr>
          <w:rFonts w:ascii="Arial" w:hAnsi="Arial" w:cs="Arial"/>
          <w:sz w:val="24"/>
          <w:szCs w:val="24"/>
        </w:rPr>
        <w:t xml:space="preserve"> (</w:t>
      </w:r>
      <w:r w:rsidRPr="00AB4C8F">
        <w:rPr>
          <w:rFonts w:ascii="Arial" w:hAnsi="Arial" w:cs="Arial"/>
          <w:sz w:val="24"/>
          <w:szCs w:val="24"/>
        </w:rPr>
        <w:t>1977)</w:t>
      </w:r>
      <w:r>
        <w:rPr>
          <w:rFonts w:ascii="Arial" w:hAnsi="Arial" w:cs="Arial"/>
          <w:color w:val="000000" w:themeColor="text1"/>
          <w:sz w:val="24"/>
          <w:szCs w:val="24"/>
        </w:rPr>
        <w:fldChar w:fldCharType="end"/>
      </w:r>
      <w:r>
        <w:rPr>
          <w:rFonts w:ascii="Arial" w:hAnsi="Arial" w:cs="Arial"/>
          <w:color w:val="000000" w:themeColor="text1"/>
          <w:sz w:val="24"/>
          <w:szCs w:val="24"/>
        </w:rPr>
        <w:t>,</w:t>
      </w:r>
      <w:r w:rsidRPr="007C4035">
        <w:rPr>
          <w:rFonts w:ascii="Arial" w:hAnsi="Arial" w:cs="Arial"/>
          <w:color w:val="FF0000"/>
          <w:sz w:val="24"/>
          <w:szCs w:val="24"/>
        </w:rPr>
        <w:t xml:space="preserve"> </w:t>
      </w:r>
      <w:r w:rsidRPr="006773A9">
        <w:rPr>
          <w:rFonts w:ascii="Arial" w:hAnsi="Arial" w:cs="Arial"/>
          <w:color w:val="000000" w:themeColor="text1"/>
          <w:sz w:val="24"/>
          <w:szCs w:val="24"/>
        </w:rPr>
        <w:t>que determinaron que el fin de la etapa juvenil ocurre entre los 6 y los 18 días después de emergencia</w:t>
      </w:r>
      <w:r>
        <w:rPr>
          <w:rFonts w:ascii="Arial" w:hAnsi="Arial" w:cs="Arial"/>
          <w:color w:val="000000" w:themeColor="text1"/>
          <w:sz w:val="24"/>
          <w:szCs w:val="24"/>
        </w:rPr>
        <w:t>.</w:t>
      </w:r>
      <w:r w:rsidRPr="007C4035">
        <w:rPr>
          <w:rFonts w:ascii="Arial" w:hAnsi="Arial" w:cs="Arial"/>
          <w:color w:val="FF0000"/>
          <w:sz w:val="24"/>
          <w:szCs w:val="24"/>
        </w:rPr>
        <w:t xml:space="preserve">  </w:t>
      </w:r>
    </w:p>
    <w:p w14:paraId="103BAA71" w14:textId="77777777" w:rsidR="005D6EB7" w:rsidRPr="00383040" w:rsidRDefault="005D6EB7" w:rsidP="005D6EB7">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P2: S</w:t>
      </w:r>
      <w:r w:rsidRPr="00383040">
        <w:rPr>
          <w:rFonts w:ascii="Arial" w:hAnsi="Arial" w:cs="Arial"/>
          <w:color w:val="000000" w:themeColor="text1"/>
          <w:sz w:val="24"/>
          <w:szCs w:val="24"/>
        </w:rPr>
        <w:t>e tuvo en cuenta el estudio realizado por</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{"citationID":"8GkVlk4l","properties":{"formattedCitation":"(Ockerby &amp; Yang, 2015)","plainCitation":"(Ockerby &amp; Yang, 2015)","dontUpdate":true,"noteIndex":0},"citationItems":[{"id":283,"uris":["http://zotero.org/users/local/NeejuBUy/items/EP68XLTD"],"itemData":{"id":283,"type":"paper-conference","abstract":"Agronomists and plant scientists roughly calculate the timing of floral initiation in crops based on mathematical models of heat units (or thermal time) adjusted for day-length. To sanction this approach, there is dogma that plants have apparatuses or ways for measuring day-length and accumulating temperature, and intrinsic pathways between leaves and the shoot apical meristem for signalling the plant’s developmental status. In this brief paper, we present data that describe the growth of maize leaf primordia in response to photoperiod treatments. The results show that the architecture of the shoot apical meristem is responsive to photoperiod and that a slow rate of leaf primordia elongation is coincident to tassel initiation.","container-title":"Proceedings of the 17th ASA Conference","event-place":"Hobart, Australia","event-title":"Building Productive, Diverse and Sustainable Landscapes","language":"en","publisher-place":"Hobart, Australia","source":"Zotero","title":"Floral initiation in maize is regulated by the growth of leaf primordia","author":[{"family":"Ockerby","given":"Stephen E"},{"family":"Yang","given":"Zongjian"}],"issued":{"date-parts":[["2015"]]}}}],"schema":"https://github.com/citation-style-language/schema/raw/master/csl-citation.json"} </w:instrText>
      </w:r>
      <w:r>
        <w:rPr>
          <w:rFonts w:ascii="Arial" w:hAnsi="Arial" w:cs="Arial"/>
          <w:color w:val="000000" w:themeColor="text1"/>
          <w:sz w:val="24"/>
          <w:szCs w:val="24"/>
        </w:rPr>
        <w:fldChar w:fldCharType="separate"/>
      </w:r>
      <w:r>
        <w:rPr>
          <w:rFonts w:ascii="Arial" w:hAnsi="Arial" w:cs="Arial"/>
          <w:sz w:val="24"/>
        </w:rPr>
        <w:t>Ockerby y</w:t>
      </w:r>
      <w:r w:rsidRPr="00AB4C8F">
        <w:rPr>
          <w:rFonts w:ascii="Arial" w:hAnsi="Arial" w:cs="Arial"/>
          <w:sz w:val="24"/>
        </w:rPr>
        <w:t xml:space="preserve"> Yang</w:t>
      </w:r>
      <w:r>
        <w:rPr>
          <w:rFonts w:ascii="Arial" w:hAnsi="Arial" w:cs="Arial"/>
          <w:sz w:val="24"/>
        </w:rPr>
        <w:t xml:space="preserve"> (</w:t>
      </w:r>
      <w:r w:rsidRPr="00AB4C8F">
        <w:rPr>
          <w:rFonts w:ascii="Arial" w:hAnsi="Arial" w:cs="Arial"/>
          <w:sz w:val="24"/>
        </w:rPr>
        <w:t>2015)</w:t>
      </w:r>
      <w:r>
        <w:rPr>
          <w:rFonts w:ascii="Arial" w:hAnsi="Arial" w:cs="Arial"/>
          <w:color w:val="000000" w:themeColor="text1"/>
          <w:sz w:val="24"/>
          <w:szCs w:val="24"/>
        </w:rPr>
        <w:fldChar w:fldCharType="end"/>
      </w:r>
      <w:r w:rsidRPr="00383040">
        <w:rPr>
          <w:rFonts w:ascii="Arial" w:hAnsi="Arial" w:cs="Arial"/>
          <w:color w:val="000000" w:themeColor="text1"/>
          <w:sz w:val="24"/>
          <w:szCs w:val="24"/>
        </w:rPr>
        <w:t xml:space="preserve">, donde luego de hacer una evaluación de diferentes materiales genéticos de maíz en el trópico, llegaron a la conclusión de que el grado de retaso en el desarrollo de la etapa vegetativa se encuentra entre 0,3 y 0,7.  </w:t>
      </w:r>
    </w:p>
    <w:p w14:paraId="5C065E28" w14:textId="77777777" w:rsidR="005D6EB7" w:rsidRPr="0046696E" w:rsidRDefault="005D6EB7" w:rsidP="005D6EB7">
      <w:pPr>
        <w:spacing w:after="0" w:line="480" w:lineRule="auto"/>
        <w:jc w:val="both"/>
        <w:rPr>
          <w:rFonts w:ascii="Arial" w:hAnsi="Arial" w:cs="Arial"/>
          <w:color w:val="000000" w:themeColor="text1"/>
          <w:sz w:val="24"/>
          <w:szCs w:val="24"/>
        </w:rPr>
      </w:pPr>
      <w:r w:rsidRPr="0046696E">
        <w:rPr>
          <w:rFonts w:ascii="Arial" w:hAnsi="Arial" w:cs="Arial"/>
          <w:color w:val="000000" w:themeColor="text1"/>
          <w:sz w:val="24"/>
          <w:szCs w:val="24"/>
        </w:rPr>
        <w:t xml:space="preserve">P5: Este coeficiente hace referencia al período de tiempo en que G2 y G3 se expresan y de donde se deriva el rendimiento. En las observaciones registradas en </w:t>
      </w:r>
      <w:r w:rsidRPr="0046696E">
        <w:rPr>
          <w:rFonts w:ascii="Arial" w:hAnsi="Arial" w:cs="Arial"/>
          <w:color w:val="000000" w:themeColor="text1"/>
          <w:sz w:val="24"/>
          <w:szCs w:val="24"/>
        </w:rPr>
        <w:lastRenderedPageBreak/>
        <w:t xml:space="preserve">campo el número de días entre floración y madurez fisiológica se dio entre los 30 y los 55 días. </w:t>
      </w:r>
      <w:r>
        <w:rPr>
          <w:rFonts w:ascii="Arial" w:hAnsi="Arial" w:cs="Arial"/>
          <w:color w:val="000000" w:themeColor="text1"/>
          <w:sz w:val="24"/>
          <w:szCs w:val="24"/>
        </w:rPr>
        <w:t>Se tomó entonces como valor mínimo 450 GDCA</w:t>
      </w:r>
      <w:r w:rsidRPr="0046696E">
        <w:rPr>
          <w:rFonts w:ascii="Arial" w:hAnsi="Arial" w:cs="Arial"/>
          <w:color w:val="000000" w:themeColor="text1"/>
          <w:sz w:val="24"/>
          <w:szCs w:val="24"/>
        </w:rPr>
        <w:t xml:space="preserve">. </w:t>
      </w:r>
    </w:p>
    <w:p w14:paraId="7B570BB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G2: La determinación del número máximo de granos por mazorca debe realizarse en laboratorio, </w:t>
      </w:r>
      <w:r>
        <w:rPr>
          <w:rFonts w:ascii="Arial" w:hAnsi="Arial" w:cs="Arial"/>
          <w:color w:val="000000" w:themeColor="text1"/>
          <w:sz w:val="24"/>
          <w:szCs w:val="24"/>
        </w:rPr>
        <w:t>se cuenta</w:t>
      </w:r>
      <w:r w:rsidRPr="0046696E">
        <w:rPr>
          <w:rFonts w:ascii="Arial" w:hAnsi="Arial" w:cs="Arial"/>
          <w:color w:val="000000" w:themeColor="text1"/>
          <w:sz w:val="24"/>
          <w:szCs w:val="24"/>
        </w:rPr>
        <w:t xml:space="preserve"> el máximo número de estilos en la flor femenina. Este dato no se registró. </w:t>
      </w:r>
      <w:r w:rsidRPr="00AD6661">
        <w:rPr>
          <w:rFonts w:ascii="Arial" w:hAnsi="Arial" w:cs="Arial"/>
          <w:color w:val="000000" w:themeColor="text1"/>
          <w:sz w:val="24"/>
          <w:szCs w:val="24"/>
        </w:rPr>
        <w:t xml:space="preserve">El número de granos máximo registrado en los experimentos fue de </w:t>
      </w:r>
      <w:r>
        <w:rPr>
          <w:rFonts w:ascii="Arial" w:hAnsi="Arial" w:cs="Arial"/>
          <w:color w:val="000000" w:themeColor="text1"/>
          <w:sz w:val="24"/>
          <w:szCs w:val="24"/>
        </w:rPr>
        <w:t>4</w:t>
      </w:r>
      <w:r w:rsidRPr="00AD6661">
        <w:rPr>
          <w:rFonts w:ascii="Arial" w:hAnsi="Arial" w:cs="Arial"/>
          <w:color w:val="000000" w:themeColor="text1"/>
          <w:sz w:val="24"/>
          <w:szCs w:val="24"/>
        </w:rPr>
        <w:t xml:space="preserve">00 granos por mazorca y esa fue la cantidad mínima utilizada para iterar este coeficiente. </w:t>
      </w:r>
    </w:p>
    <w:p w14:paraId="5568FD2A" w14:textId="77777777" w:rsidR="005D6EB7" w:rsidRPr="007C4035" w:rsidRDefault="005D6EB7" w:rsidP="005D6EB7">
      <w:pPr>
        <w:spacing w:after="0" w:line="480" w:lineRule="auto"/>
        <w:jc w:val="both"/>
        <w:rPr>
          <w:rFonts w:ascii="Arial" w:hAnsi="Arial" w:cs="Arial"/>
          <w:color w:val="FF0000"/>
          <w:sz w:val="24"/>
          <w:szCs w:val="24"/>
        </w:rPr>
      </w:pPr>
      <w:r w:rsidRPr="00AD6661">
        <w:rPr>
          <w:rFonts w:ascii="Arial" w:hAnsi="Arial" w:cs="Arial"/>
          <w:color w:val="000000" w:themeColor="text1"/>
          <w:sz w:val="24"/>
          <w:szCs w:val="24"/>
        </w:rPr>
        <w:t>G3: La tasa óptima de llenado del grano se tomó a partir de 10 mg de biomasa diaria según</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{"citationID":"XqXCnF68","properties":{"formattedCitation":"(\\uc0\\u193{}lvarez et\\uc0\\u160{}al., 2014)","plainCitation":"(Álvarez et al., 2014)","dontUpdate":true,"noteIndex":0},"citationItems":[{"id":286,"uris":["http://zotero.org/users/local/NeejuBUy/items/PKZQSMBG"],"itemData":{"id":286,"type":"article-journal","container-title":"G3: Genes, Genomes, Genetics","DOI":"10.1534/g3.114.013243","page":"1611-1621","title":"The genetic architecture of maize (Zea mays L.). Kernel weight determination","volume":"4","author":[{"family":"Álvarez","given":"Santiago"},{"family":"López","given":"César"},{"family":"Lynn","given":"M"},{"family":"Borrás","given":"Lucas"}],"issued":{"date-parts":[["2014"]]}}}],"schema":"https://github.com/citation-style-language/schema/raw/master/csl-citation.json"} </w:instrText>
      </w:r>
      <w:r>
        <w:rPr>
          <w:rFonts w:ascii="Arial" w:hAnsi="Arial" w:cs="Arial"/>
          <w:color w:val="000000" w:themeColor="text1"/>
          <w:sz w:val="24"/>
          <w:szCs w:val="24"/>
        </w:rPr>
        <w:fldChar w:fldCharType="separate"/>
      </w:r>
      <w:r w:rsidRPr="000217E4">
        <w:rPr>
          <w:rFonts w:ascii="Arial" w:hAnsi="Arial" w:cs="Arial"/>
          <w:sz w:val="24"/>
          <w:szCs w:val="24"/>
        </w:rPr>
        <w:t xml:space="preserve">Álvarez </w:t>
      </w:r>
      <w:r w:rsidRPr="000217E4">
        <w:rPr>
          <w:rFonts w:ascii="Arial" w:hAnsi="Arial" w:cs="Arial"/>
          <w:i/>
          <w:sz w:val="24"/>
          <w:szCs w:val="24"/>
        </w:rPr>
        <w:t>et al</w:t>
      </w:r>
      <w:r w:rsidRPr="000217E4">
        <w:rPr>
          <w:rFonts w:ascii="Arial" w:hAnsi="Arial" w:cs="Arial"/>
          <w:sz w:val="24"/>
          <w:szCs w:val="24"/>
        </w:rPr>
        <w:t>.</w:t>
      </w:r>
      <w:r>
        <w:rPr>
          <w:rFonts w:ascii="Arial" w:hAnsi="Arial" w:cs="Arial"/>
          <w:sz w:val="24"/>
          <w:szCs w:val="24"/>
        </w:rPr>
        <w:t xml:space="preserve"> (</w:t>
      </w:r>
      <w:r w:rsidRPr="000217E4">
        <w:rPr>
          <w:rFonts w:ascii="Arial" w:hAnsi="Arial" w:cs="Arial"/>
          <w:sz w:val="24"/>
          <w:szCs w:val="24"/>
        </w:rPr>
        <w:t>2014)</w:t>
      </w:r>
      <w:r>
        <w:rPr>
          <w:rFonts w:ascii="Arial" w:hAnsi="Arial" w:cs="Arial"/>
          <w:color w:val="000000" w:themeColor="text1"/>
          <w:sz w:val="24"/>
          <w:szCs w:val="24"/>
        </w:rPr>
        <w:fldChar w:fldCharType="end"/>
      </w:r>
      <w:r w:rsidRPr="000217E4">
        <w:rPr>
          <w:rFonts w:ascii="Arial" w:hAnsi="Arial" w:cs="Arial"/>
          <w:color w:val="000000" w:themeColor="text1"/>
          <w:sz w:val="24"/>
          <w:szCs w:val="24"/>
        </w:rPr>
        <w:t>.</w:t>
      </w:r>
      <w:r w:rsidRPr="007C4035">
        <w:rPr>
          <w:rFonts w:ascii="Arial" w:hAnsi="Arial" w:cs="Arial"/>
          <w:color w:val="FF0000"/>
          <w:sz w:val="24"/>
          <w:szCs w:val="24"/>
        </w:rPr>
        <w:t xml:space="preserve"> </w:t>
      </w:r>
    </w:p>
    <w:p w14:paraId="10C8B989" w14:textId="37C50901" w:rsidR="005D6EB7" w:rsidRDefault="005D6EB7" w:rsidP="005D6EB7">
      <w:pPr>
        <w:spacing w:before="120" w:line="360" w:lineRule="auto"/>
        <w:contextualSpacing/>
        <w:jc w:val="both"/>
        <w:rPr>
          <w:rFonts w:ascii="Arial" w:hAnsi="Arial" w:cs="Arial"/>
          <w:b/>
          <w:color w:val="000000"/>
          <w:sz w:val="24"/>
          <w:szCs w:val="24"/>
        </w:rPr>
      </w:pPr>
      <w:r w:rsidRPr="0046696E">
        <w:rPr>
          <w:rFonts w:ascii="Arial" w:hAnsi="Arial" w:cs="Arial"/>
          <w:color w:val="000000" w:themeColor="text1"/>
          <w:sz w:val="24"/>
          <w:szCs w:val="24"/>
        </w:rPr>
        <w:t xml:space="preserve">PHINT: Para el cálculo del filocrono se dividió el número total de hojas entre los días que les tomó su desarrollo y se multiplicó por el promedio de GDCA de la etapa vegetativa, </w:t>
      </w:r>
      <w:r>
        <w:rPr>
          <w:rFonts w:ascii="Arial" w:hAnsi="Arial" w:cs="Arial"/>
          <w:color w:val="000000" w:themeColor="text1"/>
          <w:sz w:val="24"/>
          <w:szCs w:val="24"/>
        </w:rPr>
        <w:t>los valores estuvieron</w:t>
      </w:r>
      <w:r w:rsidRPr="0046696E">
        <w:rPr>
          <w:rFonts w:ascii="Arial" w:hAnsi="Arial" w:cs="Arial"/>
          <w:color w:val="000000" w:themeColor="text1"/>
          <w:sz w:val="24"/>
          <w:szCs w:val="24"/>
        </w:rPr>
        <w:t xml:space="preserve"> entre 40 y 55 GDCA. Se tomó como valor inicial 40 DGCA</w:t>
      </w:r>
    </w:p>
    <w:p w14:paraId="7D023D8A" w14:textId="59FFD22A" w:rsidR="005D6EB7" w:rsidRDefault="005D6EB7" w:rsidP="00EE6312">
      <w:pPr>
        <w:spacing w:before="120" w:line="360" w:lineRule="auto"/>
        <w:contextualSpacing/>
        <w:jc w:val="both"/>
        <w:rPr>
          <w:rFonts w:ascii="Arial" w:hAnsi="Arial" w:cs="Arial"/>
          <w:b/>
          <w:color w:val="000000"/>
          <w:sz w:val="24"/>
          <w:szCs w:val="24"/>
        </w:rPr>
      </w:pPr>
    </w:p>
    <w:tbl>
      <w:tblPr>
        <w:tblStyle w:val="Tabladecuadrcula4-nfasis4"/>
        <w:tblW w:w="0" w:type="auto"/>
        <w:jc w:val="center"/>
        <w:tblLook w:val="04A0" w:firstRow="1" w:lastRow="0" w:firstColumn="1" w:lastColumn="0" w:noHBand="0" w:noVBand="1"/>
      </w:tblPr>
      <w:tblGrid>
        <w:gridCol w:w="1039"/>
        <w:gridCol w:w="1039"/>
        <w:gridCol w:w="1039"/>
        <w:gridCol w:w="1039"/>
        <w:gridCol w:w="1039"/>
        <w:gridCol w:w="1050"/>
      </w:tblGrid>
      <w:tr w:rsidR="00132B57" w14:paraId="6245A072"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57437216" w14:textId="77777777" w:rsidR="00132B57" w:rsidRPr="0063118B" w:rsidRDefault="00132B57" w:rsidP="00252DF7">
            <w:pPr>
              <w:autoSpaceDE w:val="0"/>
              <w:autoSpaceDN w:val="0"/>
              <w:adjustRightInd w:val="0"/>
              <w:spacing w:line="480" w:lineRule="auto"/>
              <w:jc w:val="center"/>
              <w:rPr>
                <w:rFonts w:ascii="Arial" w:hAnsi="Arial" w:cs="Arial"/>
                <w:color w:val="000000" w:themeColor="text1"/>
                <w:sz w:val="24"/>
                <w:szCs w:val="24"/>
              </w:rPr>
            </w:pPr>
            <w:r w:rsidRPr="0063118B">
              <w:rPr>
                <w:rFonts w:ascii="Arial" w:hAnsi="Arial" w:cs="Arial"/>
                <w:color w:val="000000" w:themeColor="text1"/>
                <w:sz w:val="24"/>
                <w:szCs w:val="24"/>
              </w:rPr>
              <w:t>P1</w:t>
            </w:r>
          </w:p>
        </w:tc>
        <w:tc>
          <w:tcPr>
            <w:tcW w:w="1039" w:type="dxa"/>
            <w:hideMark/>
          </w:tcPr>
          <w:p w14:paraId="517C906E"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P2</w:t>
            </w:r>
          </w:p>
        </w:tc>
        <w:tc>
          <w:tcPr>
            <w:tcW w:w="1039" w:type="dxa"/>
            <w:hideMark/>
          </w:tcPr>
          <w:p w14:paraId="32BDAF04"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P5</w:t>
            </w:r>
          </w:p>
        </w:tc>
        <w:tc>
          <w:tcPr>
            <w:tcW w:w="1039" w:type="dxa"/>
            <w:hideMark/>
          </w:tcPr>
          <w:p w14:paraId="31F00B3D"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G2</w:t>
            </w:r>
          </w:p>
        </w:tc>
        <w:tc>
          <w:tcPr>
            <w:tcW w:w="1039" w:type="dxa"/>
            <w:hideMark/>
          </w:tcPr>
          <w:p w14:paraId="60EBF461"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G3</w:t>
            </w:r>
          </w:p>
        </w:tc>
        <w:tc>
          <w:tcPr>
            <w:tcW w:w="1050" w:type="dxa"/>
            <w:hideMark/>
          </w:tcPr>
          <w:p w14:paraId="570B298B"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PHINT</w:t>
            </w:r>
          </w:p>
        </w:tc>
      </w:tr>
      <w:tr w:rsidR="00132B57" w14:paraId="22D40301"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24292549" w14:textId="77777777" w:rsidR="00132B57" w:rsidRPr="0063118B" w:rsidRDefault="00132B57" w:rsidP="00252DF7">
            <w:pPr>
              <w:autoSpaceDE w:val="0"/>
              <w:autoSpaceDN w:val="0"/>
              <w:adjustRightInd w:val="0"/>
              <w:spacing w:line="480" w:lineRule="auto"/>
              <w:jc w:val="center"/>
              <w:rPr>
                <w:rFonts w:ascii="Arial" w:hAnsi="Arial" w:cs="Arial"/>
                <w:b w:val="0"/>
                <w:color w:val="000000" w:themeColor="text1"/>
                <w:sz w:val="24"/>
                <w:szCs w:val="24"/>
              </w:rPr>
            </w:pPr>
            <w:r w:rsidRPr="0063118B">
              <w:rPr>
                <w:rFonts w:ascii="Arial" w:hAnsi="Arial" w:cs="Arial"/>
                <w:b w:val="0"/>
                <w:color w:val="000000" w:themeColor="text1"/>
                <w:sz w:val="24"/>
                <w:szCs w:val="24"/>
              </w:rPr>
              <w:t>219</w:t>
            </w:r>
            <w:r>
              <w:rPr>
                <w:rFonts w:ascii="Arial" w:hAnsi="Arial" w:cs="Arial"/>
                <w:b w:val="0"/>
                <w:color w:val="000000" w:themeColor="text1"/>
                <w:sz w:val="24"/>
                <w:szCs w:val="24"/>
              </w:rPr>
              <w:t>,</w:t>
            </w:r>
            <w:r w:rsidRPr="0063118B">
              <w:rPr>
                <w:rFonts w:ascii="Arial" w:hAnsi="Arial" w:cs="Arial"/>
                <w:b w:val="0"/>
                <w:color w:val="000000" w:themeColor="text1"/>
                <w:sz w:val="24"/>
                <w:szCs w:val="24"/>
              </w:rPr>
              <w:t>1</w:t>
            </w:r>
          </w:p>
        </w:tc>
        <w:tc>
          <w:tcPr>
            <w:tcW w:w="1039" w:type="dxa"/>
            <w:hideMark/>
          </w:tcPr>
          <w:p w14:paraId="59881C4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0</w:t>
            </w:r>
            <w:r>
              <w:rPr>
                <w:rFonts w:ascii="Arial" w:hAnsi="Arial" w:cs="Arial"/>
                <w:color w:val="000000" w:themeColor="text1"/>
                <w:sz w:val="24"/>
                <w:szCs w:val="24"/>
              </w:rPr>
              <w:t>,</w:t>
            </w:r>
            <w:r w:rsidRPr="0063118B">
              <w:rPr>
                <w:rFonts w:ascii="Arial" w:hAnsi="Arial" w:cs="Arial"/>
                <w:color w:val="000000" w:themeColor="text1"/>
                <w:sz w:val="24"/>
                <w:szCs w:val="24"/>
              </w:rPr>
              <w:t>694</w:t>
            </w:r>
          </w:p>
        </w:tc>
        <w:tc>
          <w:tcPr>
            <w:tcW w:w="1039" w:type="dxa"/>
            <w:hideMark/>
          </w:tcPr>
          <w:p w14:paraId="55B11FC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594</w:t>
            </w:r>
            <w:r>
              <w:rPr>
                <w:rFonts w:ascii="Arial" w:hAnsi="Arial" w:cs="Arial"/>
                <w:color w:val="000000" w:themeColor="text1"/>
                <w:sz w:val="24"/>
                <w:szCs w:val="24"/>
              </w:rPr>
              <w:t>,</w:t>
            </w:r>
            <w:r w:rsidRPr="0063118B">
              <w:rPr>
                <w:rFonts w:ascii="Arial" w:hAnsi="Arial" w:cs="Arial"/>
                <w:color w:val="000000" w:themeColor="text1"/>
                <w:sz w:val="24"/>
                <w:szCs w:val="24"/>
              </w:rPr>
              <w:t>3</w:t>
            </w:r>
          </w:p>
        </w:tc>
        <w:tc>
          <w:tcPr>
            <w:tcW w:w="1039" w:type="dxa"/>
            <w:hideMark/>
          </w:tcPr>
          <w:p w14:paraId="071C6B7D"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821</w:t>
            </w:r>
            <w:r>
              <w:rPr>
                <w:rFonts w:ascii="Arial" w:hAnsi="Arial" w:cs="Arial"/>
                <w:color w:val="000000" w:themeColor="text1"/>
                <w:sz w:val="24"/>
                <w:szCs w:val="24"/>
              </w:rPr>
              <w:t>,</w:t>
            </w:r>
            <w:r w:rsidRPr="0063118B">
              <w:rPr>
                <w:rFonts w:ascii="Arial" w:hAnsi="Arial" w:cs="Arial"/>
                <w:color w:val="000000" w:themeColor="text1"/>
                <w:sz w:val="24"/>
                <w:szCs w:val="24"/>
              </w:rPr>
              <w:t>1</w:t>
            </w:r>
          </w:p>
        </w:tc>
        <w:tc>
          <w:tcPr>
            <w:tcW w:w="1039" w:type="dxa"/>
            <w:hideMark/>
          </w:tcPr>
          <w:p w14:paraId="6854403F"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16</w:t>
            </w:r>
            <w:r>
              <w:rPr>
                <w:rFonts w:ascii="Arial" w:hAnsi="Arial" w:cs="Arial"/>
                <w:color w:val="000000" w:themeColor="text1"/>
                <w:sz w:val="24"/>
                <w:szCs w:val="24"/>
              </w:rPr>
              <w:t>,</w:t>
            </w:r>
            <w:r w:rsidRPr="0063118B">
              <w:rPr>
                <w:rFonts w:ascii="Arial" w:hAnsi="Arial" w:cs="Arial"/>
                <w:color w:val="000000" w:themeColor="text1"/>
                <w:sz w:val="24"/>
                <w:szCs w:val="24"/>
              </w:rPr>
              <w:t>11</w:t>
            </w:r>
          </w:p>
        </w:tc>
        <w:tc>
          <w:tcPr>
            <w:tcW w:w="1050" w:type="dxa"/>
            <w:hideMark/>
          </w:tcPr>
          <w:p w14:paraId="0331A6AE"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55</w:t>
            </w:r>
            <w:r>
              <w:rPr>
                <w:rFonts w:ascii="Arial" w:hAnsi="Arial" w:cs="Arial"/>
                <w:color w:val="000000" w:themeColor="text1"/>
                <w:sz w:val="24"/>
                <w:szCs w:val="24"/>
              </w:rPr>
              <w:t>,</w:t>
            </w:r>
            <w:r w:rsidRPr="0063118B">
              <w:rPr>
                <w:rFonts w:ascii="Arial" w:hAnsi="Arial" w:cs="Arial"/>
                <w:color w:val="000000" w:themeColor="text1"/>
                <w:sz w:val="24"/>
                <w:szCs w:val="24"/>
              </w:rPr>
              <w:t>00</w:t>
            </w:r>
          </w:p>
        </w:tc>
      </w:tr>
    </w:tbl>
    <w:p w14:paraId="18671AF8" w14:textId="2A699886" w:rsidR="00A1112D" w:rsidRDefault="00A1112D" w:rsidP="00A1112D">
      <w:pPr>
        <w:pStyle w:val="Ttulo2"/>
        <w:rPr>
          <w:rFonts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711B6" w14:textId="5835E3A2" w:rsidR="00A16170" w:rsidRDefault="00A16170" w:rsidP="00FA1A3D">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Estimación del rendimiento con la utilización del biofertilizantes EcoMic®</w:t>
      </w:r>
    </w:p>
    <w:p w14:paraId="19237989" w14:textId="60532669" w:rsidR="00915B86" w:rsidRDefault="00915B86" w:rsidP="00046453">
      <w:r>
        <w:t>Experimento 1</w:t>
      </w:r>
    </w:p>
    <w:p w14:paraId="266A9033" w14:textId="7650E9BA" w:rsidR="00046453" w:rsidRDefault="00046453" w:rsidP="00046453">
      <w:r>
        <w:t>La Tabla  X muestra  los resultados del rendimiento de la variedad P 7928 obtenidos en el experimento.</w:t>
      </w:r>
    </w:p>
    <w:p w14:paraId="4BFD89DC" w14:textId="4A472115" w:rsidR="00EA2C92" w:rsidRDefault="00EA2C92" w:rsidP="00046453">
      <w:r>
        <w:t>Tabla  X. Variables del rendimiento obtenido en el experimento para el cultivar de maíz P 7928</w:t>
      </w:r>
    </w:p>
    <w:tbl>
      <w:tblPr>
        <w:tblStyle w:val="Tablaconcuadrcula"/>
        <w:tblW w:w="0" w:type="auto"/>
        <w:tblLook w:val="04A0" w:firstRow="1" w:lastRow="0" w:firstColumn="1" w:lastColumn="0" w:noHBand="0" w:noVBand="1"/>
      </w:tblPr>
      <w:tblGrid>
        <w:gridCol w:w="1326"/>
        <w:gridCol w:w="980"/>
        <w:gridCol w:w="930"/>
        <w:gridCol w:w="1083"/>
        <w:gridCol w:w="1065"/>
        <w:gridCol w:w="977"/>
        <w:gridCol w:w="1099"/>
        <w:gridCol w:w="1368"/>
      </w:tblGrid>
      <w:tr w:rsidR="00EA2C92" w14:paraId="61092F69" w14:textId="77777777" w:rsidTr="00EA2C92">
        <w:tc>
          <w:tcPr>
            <w:tcW w:w="1103" w:type="dxa"/>
          </w:tcPr>
          <w:p w14:paraId="46521653" w14:textId="25CC681A" w:rsidR="00EA2C92" w:rsidRDefault="00EA2C92" w:rsidP="00046453">
            <w:pPr>
              <w:rPr>
                <w:lang w:val="es-ES_tradnl"/>
              </w:rPr>
            </w:pPr>
            <w:r>
              <w:rPr>
                <w:lang w:val="es-ES_tradnl"/>
              </w:rPr>
              <w:t>Tratamiento</w:t>
            </w:r>
          </w:p>
        </w:tc>
        <w:tc>
          <w:tcPr>
            <w:tcW w:w="1103" w:type="dxa"/>
          </w:tcPr>
          <w:p w14:paraId="562F3FF9" w14:textId="4B819EDE" w:rsidR="00EA2C92" w:rsidRDefault="00EA2C92" w:rsidP="00046453">
            <w:pPr>
              <w:rPr>
                <w:lang w:val="es-ES_tradnl"/>
              </w:rPr>
            </w:pPr>
            <w:r>
              <w:rPr>
                <w:lang w:val="es-ES_tradnl"/>
              </w:rPr>
              <w:t>Peso (g)</w:t>
            </w:r>
          </w:p>
        </w:tc>
        <w:tc>
          <w:tcPr>
            <w:tcW w:w="1103" w:type="dxa"/>
          </w:tcPr>
          <w:p w14:paraId="42955417" w14:textId="77777777" w:rsidR="00EA2C92" w:rsidRDefault="00EA2C92" w:rsidP="00046453">
            <w:pPr>
              <w:rPr>
                <w:lang w:val="es-ES_tradnl"/>
              </w:rPr>
            </w:pPr>
            <w:r>
              <w:rPr>
                <w:lang w:val="es-ES_tradnl"/>
              </w:rPr>
              <w:t>Largo</w:t>
            </w:r>
          </w:p>
          <w:p w14:paraId="6DB61AC8" w14:textId="4B1D6AC1" w:rsidR="00EA2C92" w:rsidRDefault="00EA2C92" w:rsidP="00046453">
            <w:pPr>
              <w:rPr>
                <w:lang w:val="es-ES_tradnl"/>
              </w:rPr>
            </w:pPr>
            <w:r>
              <w:rPr>
                <w:lang w:val="es-ES_tradnl"/>
              </w:rPr>
              <w:t>(cm)</w:t>
            </w:r>
          </w:p>
        </w:tc>
        <w:tc>
          <w:tcPr>
            <w:tcW w:w="1103" w:type="dxa"/>
          </w:tcPr>
          <w:p w14:paraId="1672628D" w14:textId="77777777" w:rsidR="00EA2C92" w:rsidRDefault="00EA2C92" w:rsidP="00046453">
            <w:pPr>
              <w:rPr>
                <w:lang w:val="es-ES_tradnl"/>
              </w:rPr>
            </w:pPr>
            <w:r>
              <w:rPr>
                <w:lang w:val="es-ES_tradnl"/>
              </w:rPr>
              <w:t>Diametro</w:t>
            </w:r>
          </w:p>
          <w:p w14:paraId="7E2E5700" w14:textId="3D3B82A1" w:rsidR="00EA2C92" w:rsidRDefault="00EA2C92" w:rsidP="00046453">
            <w:pPr>
              <w:rPr>
                <w:lang w:val="es-ES_tradnl"/>
              </w:rPr>
            </w:pPr>
            <w:r>
              <w:rPr>
                <w:lang w:val="es-ES_tradnl"/>
              </w:rPr>
              <w:t>(cm)</w:t>
            </w:r>
          </w:p>
        </w:tc>
        <w:tc>
          <w:tcPr>
            <w:tcW w:w="1104" w:type="dxa"/>
          </w:tcPr>
          <w:p w14:paraId="52CC8E04" w14:textId="1C0F52E2" w:rsidR="00EA2C92" w:rsidRDefault="00EA2C92" w:rsidP="00046453">
            <w:pPr>
              <w:rPr>
                <w:lang w:val="es-ES_tradnl"/>
              </w:rPr>
            </w:pPr>
            <w:r>
              <w:rPr>
                <w:lang w:val="es-ES_tradnl"/>
              </w:rPr>
              <w:t>Cantidad de hileras</w:t>
            </w:r>
          </w:p>
        </w:tc>
        <w:tc>
          <w:tcPr>
            <w:tcW w:w="1104" w:type="dxa"/>
          </w:tcPr>
          <w:p w14:paraId="0C710267" w14:textId="373F7B28" w:rsidR="00EA2C92" w:rsidRDefault="00EA2C92" w:rsidP="00046453">
            <w:pPr>
              <w:rPr>
                <w:lang w:val="es-ES_tradnl"/>
              </w:rPr>
            </w:pPr>
            <w:r>
              <w:rPr>
                <w:lang w:val="es-ES_tradnl"/>
              </w:rPr>
              <w:t>No. granos</w:t>
            </w:r>
          </w:p>
        </w:tc>
        <w:tc>
          <w:tcPr>
            <w:tcW w:w="1104" w:type="dxa"/>
          </w:tcPr>
          <w:p w14:paraId="20FDCE3C" w14:textId="77777777" w:rsidR="00EA2C92" w:rsidRDefault="00EA2C92" w:rsidP="00046453">
            <w:pPr>
              <w:rPr>
                <w:lang w:val="es-ES_tradnl"/>
              </w:rPr>
            </w:pPr>
            <w:r>
              <w:rPr>
                <w:lang w:val="es-ES_tradnl"/>
              </w:rPr>
              <w:t>P 100</w:t>
            </w:r>
          </w:p>
          <w:p w14:paraId="6675DFD0" w14:textId="28E34BBD" w:rsidR="00EA2C92" w:rsidRDefault="00EA2C92" w:rsidP="00046453">
            <w:pPr>
              <w:rPr>
                <w:lang w:val="es-ES_tradnl"/>
              </w:rPr>
            </w:pPr>
            <w:r>
              <w:rPr>
                <w:lang w:val="es-ES_tradnl"/>
              </w:rPr>
              <w:t>Granos(g)</w:t>
            </w:r>
          </w:p>
        </w:tc>
        <w:tc>
          <w:tcPr>
            <w:tcW w:w="1104" w:type="dxa"/>
          </w:tcPr>
          <w:p w14:paraId="75EFA555" w14:textId="77777777" w:rsidR="00EA2C92" w:rsidRDefault="00EA2C92" w:rsidP="00046453">
            <w:pPr>
              <w:rPr>
                <w:lang w:val="es-ES_tradnl"/>
              </w:rPr>
            </w:pPr>
            <w:r>
              <w:rPr>
                <w:lang w:val="es-ES_tradnl"/>
              </w:rPr>
              <w:t>Rendimiento</w:t>
            </w:r>
          </w:p>
          <w:p w14:paraId="531829D2" w14:textId="44E39732" w:rsidR="00EA2C92" w:rsidRDefault="00EA2C92" w:rsidP="00046453">
            <w:pPr>
              <w:rPr>
                <w:lang w:val="es-ES_tradnl"/>
              </w:rPr>
            </w:pPr>
            <w:r>
              <w:rPr>
                <w:lang w:val="es-ES_tradnl"/>
              </w:rPr>
              <w:t>(t.ha</w:t>
            </w:r>
            <w:r w:rsidRPr="00EA2C92">
              <w:rPr>
                <w:vertAlign w:val="superscript"/>
                <w:lang w:val="es-ES_tradnl"/>
              </w:rPr>
              <w:t>-1</w:t>
            </w:r>
            <w:r>
              <w:rPr>
                <w:lang w:val="es-ES_tradnl"/>
              </w:rPr>
              <w:t>)</w:t>
            </w:r>
          </w:p>
        </w:tc>
      </w:tr>
      <w:tr w:rsidR="00EA2C92" w14:paraId="2E61E307" w14:textId="77777777" w:rsidTr="00EA2C92">
        <w:tc>
          <w:tcPr>
            <w:tcW w:w="1103" w:type="dxa"/>
          </w:tcPr>
          <w:p w14:paraId="386CABFB" w14:textId="241B2260" w:rsidR="00EA2C92" w:rsidRDefault="00EA2C92" w:rsidP="00046453">
            <w:pPr>
              <w:rPr>
                <w:lang w:val="es-ES_tradnl"/>
              </w:rPr>
            </w:pPr>
            <w:r>
              <w:rPr>
                <w:lang w:val="es-ES_tradnl"/>
              </w:rPr>
              <w:t>Sin Ecomic</w:t>
            </w:r>
          </w:p>
        </w:tc>
        <w:tc>
          <w:tcPr>
            <w:tcW w:w="1103" w:type="dxa"/>
          </w:tcPr>
          <w:p w14:paraId="3C0E980C" w14:textId="6E7CCE21" w:rsidR="00EA2C92" w:rsidRDefault="00EA2C92" w:rsidP="00046453">
            <w:pPr>
              <w:rPr>
                <w:lang w:val="es-ES_tradnl"/>
              </w:rPr>
            </w:pPr>
            <w:r>
              <w:rPr>
                <w:lang w:val="es-ES_tradnl"/>
              </w:rPr>
              <w:t>136.22</w:t>
            </w:r>
          </w:p>
        </w:tc>
        <w:tc>
          <w:tcPr>
            <w:tcW w:w="1103" w:type="dxa"/>
          </w:tcPr>
          <w:p w14:paraId="16EBD25D" w14:textId="111ACC16" w:rsidR="00EA2C92" w:rsidRDefault="00EA2C92" w:rsidP="00046453">
            <w:pPr>
              <w:rPr>
                <w:lang w:val="es-ES_tradnl"/>
              </w:rPr>
            </w:pPr>
            <w:r>
              <w:rPr>
                <w:lang w:val="es-ES_tradnl"/>
              </w:rPr>
              <w:t>14.47</w:t>
            </w:r>
          </w:p>
        </w:tc>
        <w:tc>
          <w:tcPr>
            <w:tcW w:w="1103" w:type="dxa"/>
          </w:tcPr>
          <w:p w14:paraId="6FF1F0A1" w14:textId="4E706493" w:rsidR="00EA2C92" w:rsidRDefault="00EA2C92" w:rsidP="00046453">
            <w:pPr>
              <w:rPr>
                <w:lang w:val="es-ES_tradnl"/>
              </w:rPr>
            </w:pPr>
            <w:r>
              <w:rPr>
                <w:lang w:val="es-ES_tradnl"/>
              </w:rPr>
              <w:t>4.57</w:t>
            </w:r>
          </w:p>
        </w:tc>
        <w:tc>
          <w:tcPr>
            <w:tcW w:w="1104" w:type="dxa"/>
          </w:tcPr>
          <w:p w14:paraId="2FA94F31" w14:textId="2B31535B" w:rsidR="00EA2C92" w:rsidRDefault="00EA2C92" w:rsidP="00046453">
            <w:pPr>
              <w:rPr>
                <w:lang w:val="es-ES_tradnl"/>
              </w:rPr>
            </w:pPr>
            <w:r>
              <w:rPr>
                <w:lang w:val="es-ES_tradnl"/>
              </w:rPr>
              <w:t>13.90</w:t>
            </w:r>
          </w:p>
        </w:tc>
        <w:tc>
          <w:tcPr>
            <w:tcW w:w="1104" w:type="dxa"/>
          </w:tcPr>
          <w:p w14:paraId="0D4FEAA3" w14:textId="29702B15" w:rsidR="00EA2C92" w:rsidRDefault="00EA2C92" w:rsidP="00046453">
            <w:pPr>
              <w:rPr>
                <w:lang w:val="es-ES_tradnl"/>
              </w:rPr>
            </w:pPr>
            <w:r>
              <w:rPr>
                <w:lang w:val="es-ES_tradnl"/>
              </w:rPr>
              <w:t>422</w:t>
            </w:r>
          </w:p>
        </w:tc>
        <w:tc>
          <w:tcPr>
            <w:tcW w:w="1104" w:type="dxa"/>
          </w:tcPr>
          <w:p w14:paraId="4DE92EE7" w14:textId="1A65ECF7" w:rsidR="00EA2C92" w:rsidRDefault="00EA2C92" w:rsidP="00046453">
            <w:pPr>
              <w:rPr>
                <w:lang w:val="es-ES_tradnl"/>
              </w:rPr>
            </w:pPr>
            <w:r>
              <w:rPr>
                <w:lang w:val="es-ES_tradnl"/>
              </w:rPr>
              <w:t>29.93</w:t>
            </w:r>
          </w:p>
        </w:tc>
        <w:tc>
          <w:tcPr>
            <w:tcW w:w="1104" w:type="dxa"/>
          </w:tcPr>
          <w:p w14:paraId="05B93CE5" w14:textId="5F6EED71" w:rsidR="00EA2C92" w:rsidRDefault="00EA2C92" w:rsidP="00046453">
            <w:pPr>
              <w:rPr>
                <w:lang w:val="es-ES_tradnl"/>
              </w:rPr>
            </w:pPr>
            <w:r>
              <w:rPr>
                <w:lang w:val="es-ES_tradnl"/>
              </w:rPr>
              <w:t>4.68</w:t>
            </w:r>
          </w:p>
        </w:tc>
      </w:tr>
      <w:tr w:rsidR="00EA2C92" w14:paraId="39E3F11B" w14:textId="77777777" w:rsidTr="00EA2C92">
        <w:tc>
          <w:tcPr>
            <w:tcW w:w="1103" w:type="dxa"/>
          </w:tcPr>
          <w:p w14:paraId="7C4F421B" w14:textId="461CD0E6" w:rsidR="00EA2C92" w:rsidRDefault="00EA2C92" w:rsidP="00046453">
            <w:pPr>
              <w:rPr>
                <w:lang w:val="es-ES_tradnl"/>
              </w:rPr>
            </w:pPr>
            <w:r>
              <w:rPr>
                <w:lang w:val="es-ES_tradnl"/>
              </w:rPr>
              <w:t>Con Ecomic</w:t>
            </w:r>
          </w:p>
        </w:tc>
        <w:tc>
          <w:tcPr>
            <w:tcW w:w="1103" w:type="dxa"/>
          </w:tcPr>
          <w:p w14:paraId="07A7F95A" w14:textId="3DB66770" w:rsidR="00EA2C92" w:rsidRDefault="00EA2C92" w:rsidP="00046453">
            <w:pPr>
              <w:rPr>
                <w:lang w:val="es-ES_tradnl"/>
              </w:rPr>
            </w:pPr>
            <w:r>
              <w:rPr>
                <w:lang w:val="es-ES_tradnl"/>
              </w:rPr>
              <w:t>149.41</w:t>
            </w:r>
          </w:p>
        </w:tc>
        <w:tc>
          <w:tcPr>
            <w:tcW w:w="1103" w:type="dxa"/>
          </w:tcPr>
          <w:p w14:paraId="5215A8C4" w14:textId="0ED960A5" w:rsidR="00EA2C92" w:rsidRDefault="00EA2C92" w:rsidP="00046453">
            <w:pPr>
              <w:rPr>
                <w:lang w:val="es-ES_tradnl"/>
              </w:rPr>
            </w:pPr>
            <w:r>
              <w:rPr>
                <w:lang w:val="es-ES_tradnl"/>
              </w:rPr>
              <w:t>15.97</w:t>
            </w:r>
          </w:p>
        </w:tc>
        <w:tc>
          <w:tcPr>
            <w:tcW w:w="1103" w:type="dxa"/>
          </w:tcPr>
          <w:p w14:paraId="23F85473" w14:textId="0A74A88E" w:rsidR="00EA2C92" w:rsidRDefault="00EA2C92" w:rsidP="00046453">
            <w:pPr>
              <w:rPr>
                <w:lang w:val="es-ES_tradnl"/>
              </w:rPr>
            </w:pPr>
            <w:r>
              <w:rPr>
                <w:lang w:val="es-ES_tradnl"/>
              </w:rPr>
              <w:t>4.60</w:t>
            </w:r>
          </w:p>
        </w:tc>
        <w:tc>
          <w:tcPr>
            <w:tcW w:w="1104" w:type="dxa"/>
          </w:tcPr>
          <w:p w14:paraId="08CC932D" w14:textId="69D7A507" w:rsidR="00EA2C92" w:rsidRDefault="00EA2C92" w:rsidP="00046453">
            <w:pPr>
              <w:rPr>
                <w:lang w:val="es-ES_tradnl"/>
              </w:rPr>
            </w:pPr>
            <w:r>
              <w:rPr>
                <w:lang w:val="es-ES_tradnl"/>
              </w:rPr>
              <w:t>14.07</w:t>
            </w:r>
          </w:p>
        </w:tc>
        <w:tc>
          <w:tcPr>
            <w:tcW w:w="1104" w:type="dxa"/>
          </w:tcPr>
          <w:p w14:paraId="2B36DF32" w14:textId="071B6102" w:rsidR="00EA2C92" w:rsidRDefault="00EA2C92" w:rsidP="00046453">
            <w:pPr>
              <w:rPr>
                <w:lang w:val="es-ES_tradnl"/>
              </w:rPr>
            </w:pPr>
            <w:r>
              <w:rPr>
                <w:lang w:val="es-ES_tradnl"/>
              </w:rPr>
              <w:t>484</w:t>
            </w:r>
          </w:p>
        </w:tc>
        <w:tc>
          <w:tcPr>
            <w:tcW w:w="1104" w:type="dxa"/>
          </w:tcPr>
          <w:p w14:paraId="731D3D54" w14:textId="72D4A711" w:rsidR="00EA2C92" w:rsidRDefault="00EA2C92" w:rsidP="00046453">
            <w:pPr>
              <w:rPr>
                <w:lang w:val="es-ES_tradnl"/>
              </w:rPr>
            </w:pPr>
            <w:r>
              <w:rPr>
                <w:lang w:val="es-ES_tradnl"/>
              </w:rPr>
              <w:t>29.94</w:t>
            </w:r>
          </w:p>
        </w:tc>
        <w:tc>
          <w:tcPr>
            <w:tcW w:w="1104" w:type="dxa"/>
          </w:tcPr>
          <w:p w14:paraId="43C6BA40" w14:textId="1EC4F090" w:rsidR="00EA2C92" w:rsidRDefault="0056501D" w:rsidP="00046453">
            <w:pPr>
              <w:rPr>
                <w:lang w:val="es-ES_tradnl"/>
              </w:rPr>
            </w:pPr>
            <w:r>
              <w:rPr>
                <w:lang w:val="es-ES_tradnl"/>
              </w:rPr>
              <w:t>5.37</w:t>
            </w:r>
          </w:p>
        </w:tc>
      </w:tr>
    </w:tbl>
    <w:p w14:paraId="1ABAD885" w14:textId="53081795" w:rsidR="00EA2C92" w:rsidRDefault="00EA2C92" w:rsidP="00046453">
      <w:pPr>
        <w:rPr>
          <w:lang w:val="es-ES_tradnl"/>
        </w:rPr>
      </w:pPr>
    </w:p>
    <w:p w14:paraId="123D1E62" w14:textId="56F5B940" w:rsidR="00915B86" w:rsidRDefault="00915B86" w:rsidP="00046453">
      <w:pPr>
        <w:rPr>
          <w:lang w:val="es-ES_tradnl"/>
        </w:rPr>
      </w:pPr>
      <w:r>
        <w:rPr>
          <w:lang w:val="es-ES_tradnl"/>
        </w:rPr>
        <w:lastRenderedPageBreak/>
        <w:t>Experimento 2</w:t>
      </w:r>
    </w:p>
    <w:p w14:paraId="2BD0A57E" w14:textId="19DB4D66" w:rsidR="00915B86" w:rsidRDefault="00915B86" w:rsidP="00046453">
      <w:pPr>
        <w:rPr>
          <w:lang w:val="es-ES_tradnl"/>
        </w:rPr>
      </w:pPr>
      <w:r w:rsidRPr="00672A69">
        <w:rPr>
          <w:rFonts w:ascii="Arial" w:hAnsi="Arial" w:cs="Arial"/>
          <w:noProof/>
          <w:color w:val="000000" w:themeColor="text1"/>
          <w:sz w:val="24"/>
          <w:szCs w:val="24"/>
          <w:lang w:eastAsia="es-ES"/>
        </w:rPr>
        <w:drawing>
          <wp:inline distT="0" distB="0" distL="0" distR="0" wp14:anchorId="333BA0CF" wp14:editId="1194F081">
            <wp:extent cx="3305636" cy="1428949"/>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05636" cy="1428949"/>
                    </a:xfrm>
                    <a:prstGeom prst="rect">
                      <a:avLst/>
                    </a:prstGeom>
                  </pic:spPr>
                </pic:pic>
              </a:graphicData>
            </a:graphic>
          </wp:inline>
        </w:drawing>
      </w:r>
    </w:p>
    <w:p w14:paraId="0D34EEF1" w14:textId="77ED2255" w:rsidR="00915B86" w:rsidRDefault="00915B86" w:rsidP="00046453">
      <w:pPr>
        <w:rPr>
          <w:lang w:val="es-ES_tradnl"/>
        </w:rPr>
      </w:pPr>
      <w:r w:rsidRPr="00672A69">
        <w:rPr>
          <w:rFonts w:ascii="Arial" w:hAnsi="Arial" w:cs="Arial"/>
          <w:noProof/>
          <w:color w:val="000000" w:themeColor="text1"/>
          <w:sz w:val="24"/>
          <w:szCs w:val="24"/>
          <w:lang w:eastAsia="es-ES"/>
        </w:rPr>
        <w:drawing>
          <wp:inline distT="0" distB="0" distL="0" distR="0" wp14:anchorId="5F4B1D99" wp14:editId="5FBB6733">
            <wp:extent cx="3238952" cy="12098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8952" cy="1209844"/>
                    </a:xfrm>
                    <a:prstGeom prst="rect">
                      <a:avLst/>
                    </a:prstGeom>
                  </pic:spPr>
                </pic:pic>
              </a:graphicData>
            </a:graphic>
          </wp:inline>
        </w:drawing>
      </w:r>
    </w:p>
    <w:p w14:paraId="254A8091" w14:textId="13DF79F8" w:rsidR="008E3C27" w:rsidRPr="008E3C27" w:rsidRDefault="008E3C27" w:rsidP="008E3C27">
      <w:pPr>
        <w:jc w:val="both"/>
        <w:rPr>
          <w:lang w:val="es-ES_tradnl"/>
        </w:rPr>
      </w:pPr>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Pr="008E3C27">
        <w:rPr>
          <w:lang w:val="es-ES_tradnl"/>
        </w:rPr>
        <w:t>Ivonne Roy-García,</w:t>
      </w:r>
      <w:r>
        <w:rPr>
          <w:lang w:val="es-ES_tradnl"/>
        </w:rPr>
        <w:t xml:space="preserve"> 2019)</w:t>
      </w:r>
      <w:r w:rsidR="007C3032">
        <w:rPr>
          <w:lang w:val="es-ES_tradnl"/>
        </w:rPr>
        <w:t>(</w:t>
      </w:r>
      <w:r w:rsidR="007C3032" w:rsidRPr="007C3032">
        <w:t xml:space="preserve"> </w:t>
      </w:r>
      <w:r w:rsidR="007C3032" w:rsidRPr="007C3032">
        <w:rPr>
          <w:lang w:val="es-ES_tradnl"/>
        </w:rPr>
        <w:t>Rev Chil Anest 2014; 43: 150-153Jorge Dagnino S.</w:t>
      </w:r>
      <w:r w:rsidR="007C3032">
        <w:rPr>
          <w:lang w:val="es-ES_tradnl"/>
        </w:rPr>
        <w:t>)</w:t>
      </w:r>
    </w:p>
    <w:p w14:paraId="4EBBC468" w14:textId="77777777" w:rsidR="00915B86" w:rsidRPr="00046453" w:rsidRDefault="00915B86" w:rsidP="00046453">
      <w:pPr>
        <w:rPr>
          <w:lang w:val="es-ES_tradnl"/>
        </w:rPr>
      </w:pPr>
    </w:p>
    <w:p w14:paraId="20302F3B" w14:textId="77777777" w:rsidR="00A16170" w:rsidRDefault="00A16170" w:rsidP="001877EF">
      <w:pPr>
        <w:pStyle w:val="Ttulo1"/>
        <w:rPr>
          <w:sz w:val="24"/>
          <w:lang w:val="es-ES_tradnl"/>
        </w:rPr>
      </w:pPr>
      <w:r w:rsidRPr="001877EF">
        <w:t>CAPÍTULO</w:t>
      </w:r>
      <w:r w:rsidRPr="00FA1A3D">
        <w:rPr>
          <w:lang w:val="es-ES_tradnl"/>
        </w:rPr>
        <w:t xml:space="preserve"> 3. RESULTADOS Y DISCUSIÓN</w:t>
      </w:r>
      <w:r w:rsidRPr="00A16170">
        <w:rPr>
          <w:sz w:val="24"/>
          <w:lang w:val="es-ES_tradnl"/>
        </w:rPr>
        <w:t xml:space="preserve"> </w:t>
      </w:r>
    </w:p>
    <w:p w14:paraId="7390C04C"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132E29F5"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Estimación del rendimiento con la utilización del biofertilizantes EcoMic®</w:t>
      </w:r>
    </w:p>
    <w:p w14:paraId="6D0C69B4" w14:textId="77777777" w:rsidR="00A16170" w:rsidRPr="00FA1A3D" w:rsidRDefault="00A16170"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60222244" w14:textId="11F35274"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3EAEF8B8" w14:textId="0C7678A3" w:rsidR="00C56C04" w:rsidRPr="00C56C04" w:rsidRDefault="00A1112D" w:rsidP="00C56C04">
      <w:pPr>
        <w:rPr>
          <w:lang w:val="es-ES_tradnl"/>
        </w:rPr>
      </w:pPr>
      <w:r>
        <w:t>En el presente estudio se midieron las variables agronómicas, climáticas en el invernadero, propiedades físicas del sustrato y volumen de agua aplicado a las plantas, y se desarrolló un modelo de simulación a partir de una función senoidal en Matlab.</w:t>
      </w:r>
    </w:p>
    <w:p w14:paraId="03451C96" w14:textId="77777777" w:rsidR="00A16170" w:rsidRDefault="00A16170" w:rsidP="001877EF">
      <w:pPr>
        <w:pStyle w:val="Ttulo1"/>
        <w:rPr>
          <w:sz w:val="24"/>
          <w:lang w:val="es-ES_tradnl"/>
        </w:rPr>
      </w:pPr>
      <w:r w:rsidRPr="001877EF">
        <w:t>CONCLUSIONES</w:t>
      </w:r>
    </w:p>
    <w:p w14:paraId="2D9A750E" w14:textId="77777777" w:rsidR="00A16170" w:rsidRPr="00FA1A3D" w:rsidRDefault="00A16170" w:rsidP="001877EF">
      <w:pPr>
        <w:pStyle w:val="Ttulo1"/>
        <w:rPr>
          <w:lang w:val="es-ES_tradnl"/>
        </w:rPr>
      </w:pPr>
      <w:r w:rsidRPr="001877EF">
        <w:t>RECOMENDACIONES</w:t>
      </w:r>
    </w:p>
    <w:p w14:paraId="01105DAB" w14:textId="28EDCCFE" w:rsidR="004B3728" w:rsidRDefault="004B3728" w:rsidP="001877EF">
      <w:pPr>
        <w:pStyle w:val="Ttulo1"/>
        <w:rPr>
          <w:sz w:val="24"/>
          <w:lang w:val="es-ES_tradnl"/>
        </w:rPr>
      </w:pPr>
      <w:r>
        <w:rPr>
          <w:sz w:val="24"/>
          <w:lang w:val="es-ES_tradnl"/>
        </w:rPr>
        <w:br w:type="page"/>
      </w:r>
    </w:p>
    <w:p w14:paraId="33D45823" w14:textId="77777777" w:rsidR="004F160A" w:rsidRDefault="004F160A" w:rsidP="00497013">
      <w:pPr>
        <w:spacing w:line="360" w:lineRule="auto"/>
        <w:jc w:val="both"/>
        <w:rPr>
          <w:rFonts w:ascii="Arial" w:hAnsi="Arial" w:cs="Arial"/>
          <w:sz w:val="24"/>
          <w:lang w:val="es-ES_tradnl"/>
        </w:rPr>
      </w:pPr>
    </w:p>
    <w:p w14:paraId="0BEDAC27" w14:textId="7A877688" w:rsidR="004F160A" w:rsidRPr="00963BA4" w:rsidRDefault="004F160A" w:rsidP="001877EF">
      <w:pPr>
        <w:pStyle w:val="Ttulo1"/>
      </w:pPr>
      <w:r w:rsidRPr="00963BA4">
        <w:t xml:space="preserve">REFERENCIAS </w:t>
      </w:r>
      <w:r w:rsidRPr="001877EF">
        <w:t>BIBLIOGRÁFICAS</w:t>
      </w:r>
      <w:r w:rsidRPr="00963BA4">
        <w:t xml:space="preserve"> </w:t>
      </w:r>
    </w:p>
    <w:p w14:paraId="4B89E0EF" w14:textId="77777777" w:rsidR="00A650E8" w:rsidRPr="00A650E8" w:rsidRDefault="000C6959" w:rsidP="00A650E8">
      <w:pPr>
        <w:pStyle w:val="Bibliografa"/>
        <w:rPr>
          <w:lang w:val="en-US"/>
        </w:rPr>
      </w:pPr>
      <w:r>
        <w:rPr>
          <w:lang w:val="es-ES_tradnl"/>
        </w:rPr>
        <w:fldChar w:fldCharType="begin"/>
      </w:r>
      <w:r w:rsidR="00633438" w:rsidRPr="0041551E">
        <w:instrText xml:space="preserve"> ADDIN ZOTERO_BIBL {"uncited":[],"omitted":[],"custom":[]} CSL_BIBLIOGRAPHY </w:instrText>
      </w:r>
      <w:r>
        <w:rPr>
          <w:lang w:val="es-ES_tradnl"/>
        </w:rPr>
        <w:fldChar w:fldCharType="separate"/>
      </w:r>
      <w:r w:rsidR="00A650E8" w:rsidRPr="0041551E">
        <w:t xml:space="preserve">Abou El-Enin, M. M., Abo-Remaila, S. I., &amp; Mahmoud, A. S. (2016). </w:t>
      </w:r>
      <w:r w:rsidR="00A650E8" w:rsidRPr="00A650E8">
        <w:rPr>
          <w:lang w:val="en-US"/>
        </w:rPr>
        <w:t xml:space="preserve">Application and Evaluation of DSSAT V.4.6.1 Program for Simulation of Wheat and Soybean yields in Egypt. </w:t>
      </w:r>
      <w:r w:rsidR="00A650E8" w:rsidRPr="00A650E8">
        <w:rPr>
          <w:i/>
          <w:iCs/>
          <w:lang w:val="en-US"/>
        </w:rPr>
        <w:t>Journal of Basic and Environmental Sciences</w:t>
      </w:r>
      <w:r w:rsidR="00A650E8" w:rsidRPr="00A650E8">
        <w:rPr>
          <w:lang w:val="en-US"/>
        </w:rPr>
        <w:t xml:space="preserve">, </w:t>
      </w:r>
      <w:r w:rsidR="00A650E8" w:rsidRPr="00A650E8">
        <w:rPr>
          <w:i/>
          <w:iCs/>
          <w:lang w:val="en-US"/>
        </w:rPr>
        <w:t>3</w:t>
      </w:r>
      <w:r w:rsidR="00A650E8" w:rsidRPr="00A650E8">
        <w:rPr>
          <w:lang w:val="en-US"/>
        </w:rPr>
        <w:t>, 85-97.</w:t>
      </w:r>
    </w:p>
    <w:p w14:paraId="03870D24" w14:textId="77777777" w:rsidR="00A650E8" w:rsidRPr="00A650E8" w:rsidRDefault="00A650E8" w:rsidP="00A650E8">
      <w:pPr>
        <w:pStyle w:val="Bibliografa"/>
        <w:rPr>
          <w:lang w:val="en-US"/>
        </w:rPr>
      </w:pPr>
      <w:r w:rsidRPr="00A650E8">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sidRPr="00A650E8">
        <w:rPr>
          <w:i/>
          <w:iCs/>
          <w:lang w:val="en-US"/>
        </w:rPr>
        <w:t>Cultivos Tropicales</w:t>
      </w:r>
      <w:r w:rsidRPr="00A650E8">
        <w:rPr>
          <w:lang w:val="en-US"/>
        </w:rPr>
        <w:t xml:space="preserve">, </w:t>
      </w:r>
      <w:r w:rsidRPr="00A650E8">
        <w:rPr>
          <w:i/>
          <w:iCs/>
          <w:lang w:val="en-US"/>
        </w:rPr>
        <w:t>34</w:t>
      </w:r>
      <w:r w:rsidRPr="00A650E8">
        <w:rPr>
          <w:lang w:val="en-US"/>
        </w:rPr>
        <w:t>(2), 52-60.</w:t>
      </w:r>
    </w:p>
    <w:p w14:paraId="6F0FC929" w14:textId="77777777" w:rsidR="00A650E8" w:rsidRPr="00A650E8" w:rsidRDefault="00A650E8" w:rsidP="00A650E8">
      <w:pPr>
        <w:pStyle w:val="Bibliografa"/>
        <w:rPr>
          <w:lang w:val="en-US"/>
        </w:rPr>
      </w:pPr>
      <w:r w:rsidRPr="00A650E8">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A650E8">
        <w:rPr>
          <w:i/>
          <w:iCs/>
          <w:lang w:val="en-US"/>
        </w:rPr>
        <w:t>Computers and Electronics in Agriculture</w:t>
      </w:r>
      <w:r w:rsidRPr="00A650E8">
        <w:rPr>
          <w:lang w:val="en-US"/>
        </w:rPr>
        <w:t xml:space="preserve">, </w:t>
      </w:r>
      <w:r w:rsidRPr="00A650E8">
        <w:rPr>
          <w:i/>
          <w:iCs/>
          <w:lang w:val="en-US"/>
        </w:rPr>
        <w:t>123</w:t>
      </w:r>
      <w:r w:rsidRPr="00A650E8">
        <w:rPr>
          <w:lang w:val="en-US"/>
        </w:rPr>
        <w:t>, 384-401. https://doi.org/10.1016/j.compag.2016.03.015</w:t>
      </w:r>
    </w:p>
    <w:p w14:paraId="4BA514BE" w14:textId="77777777" w:rsidR="00A650E8" w:rsidRPr="00A650E8" w:rsidRDefault="00A650E8" w:rsidP="00A650E8">
      <w:pPr>
        <w:pStyle w:val="Bibliografa"/>
        <w:rPr>
          <w:lang w:val="en-US"/>
        </w:rPr>
      </w:pPr>
      <w:r w:rsidRPr="00A650E8">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A650E8">
        <w:rPr>
          <w:i/>
          <w:iCs/>
          <w:lang w:val="en-US"/>
        </w:rPr>
        <w:t>Agricultural Systems</w:t>
      </w:r>
      <w:r w:rsidRPr="00A650E8">
        <w:rPr>
          <w:lang w:val="en-US"/>
        </w:rPr>
        <w:t xml:space="preserve">, </w:t>
      </w:r>
      <w:r w:rsidRPr="00A650E8">
        <w:rPr>
          <w:i/>
          <w:iCs/>
          <w:lang w:val="en-US"/>
        </w:rPr>
        <w:t>132</w:t>
      </w:r>
      <w:r w:rsidRPr="00A650E8">
        <w:rPr>
          <w:lang w:val="en-US"/>
        </w:rPr>
        <w:t>, 133-144. https://doi.org/10.1016/j.agsy.2014.09.010</w:t>
      </w:r>
    </w:p>
    <w:p w14:paraId="171997C4" w14:textId="77777777" w:rsidR="00A650E8" w:rsidRPr="00A650E8" w:rsidRDefault="00A650E8" w:rsidP="00A650E8">
      <w:pPr>
        <w:pStyle w:val="Bibliografa"/>
        <w:rPr>
          <w:lang w:val="en-US"/>
        </w:rPr>
      </w:pPr>
      <w:r w:rsidRPr="00A650E8">
        <w:rPr>
          <w:lang w:val="en-US"/>
        </w:rPr>
        <w:t xml:space="preserve">Arias, P., Bellouin, N., Coppola, E., Jones, R., Krinner, G., Marotzke, J., Naik, V., Palmer, M., Plattner, G.-K., Rogelj, J., Rojas, M., Sillmann, J., Storelvmo, T., Thorne, P., Trewin, B., Achutarao, K., Adhikary, B., Allan, R., Armour, K., … Zickfeld, K. (2021). </w:t>
      </w:r>
      <w:r w:rsidRPr="00A650E8">
        <w:rPr>
          <w:i/>
          <w:iCs/>
          <w:lang w:val="en-US"/>
        </w:rPr>
        <w:t>Climate Change 2021: The Physical Science Basis. Contribution of Working Group I to the Sixth Assessment Report of the Intergovernmental Panel on Climate Change; Technical Summary</w:t>
      </w:r>
      <w:r w:rsidRPr="00A650E8">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4BDFEC68" w14:textId="77777777" w:rsidR="00A650E8" w:rsidRPr="00A650E8" w:rsidRDefault="00A650E8" w:rsidP="00A650E8">
      <w:pPr>
        <w:pStyle w:val="Bibliografa"/>
        <w:rPr>
          <w:lang w:val="en-US"/>
        </w:rPr>
      </w:pPr>
      <w:r w:rsidRPr="00A650E8">
        <w:rPr>
          <w:lang w:val="en-US"/>
        </w:rPr>
        <w:lastRenderedPageBreak/>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A650E8">
        <w:rPr>
          <w:i/>
          <w:iCs/>
          <w:lang w:val="en-US"/>
        </w:rPr>
        <w:t>Nature Climate Change</w:t>
      </w:r>
      <w:r w:rsidRPr="00A650E8">
        <w:rPr>
          <w:lang w:val="en-US"/>
        </w:rPr>
        <w:t xml:space="preserve">, </w:t>
      </w:r>
      <w:r w:rsidRPr="00A650E8">
        <w:rPr>
          <w:i/>
          <w:iCs/>
          <w:lang w:val="en-US"/>
        </w:rPr>
        <w:t>5</w:t>
      </w:r>
      <w:r w:rsidRPr="00A650E8">
        <w:rPr>
          <w:lang w:val="en-US"/>
        </w:rPr>
        <w:t>, 143.</w:t>
      </w:r>
    </w:p>
    <w:p w14:paraId="687D2014" w14:textId="77777777" w:rsidR="00A650E8" w:rsidRDefault="00A650E8" w:rsidP="00A650E8">
      <w:pPr>
        <w:pStyle w:val="Bibliografa"/>
      </w:pPr>
      <w:r w:rsidRPr="00A650E8">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2344985A" w14:textId="77777777" w:rsidR="00A650E8" w:rsidRDefault="00A650E8" w:rsidP="00A650E8">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9957C8E" w14:textId="77777777" w:rsidR="00A650E8" w:rsidRPr="00A650E8" w:rsidRDefault="00A650E8" w:rsidP="00A650E8">
      <w:pPr>
        <w:pStyle w:val="Bibliografa"/>
        <w:rPr>
          <w:lang w:val="en-US"/>
        </w:rPr>
      </w:pPr>
      <w:r>
        <w:t xml:space="preserve">Ayala, C., &amp; Dabdab, P. (2020). Factores que influyen en la recomendación de uso del maíz criollo: Un estudio para extensionistas salvadoreños. </w:t>
      </w:r>
      <w:r w:rsidRPr="00A650E8">
        <w:rPr>
          <w:i/>
          <w:iCs/>
          <w:lang w:val="en-US"/>
        </w:rPr>
        <w:t>Trabajo y Sociedad</w:t>
      </w:r>
      <w:r w:rsidRPr="00A650E8">
        <w:rPr>
          <w:lang w:val="en-US"/>
        </w:rPr>
        <w:t xml:space="preserve">, </w:t>
      </w:r>
      <w:r w:rsidRPr="00A650E8">
        <w:rPr>
          <w:i/>
          <w:iCs/>
          <w:lang w:val="en-US"/>
        </w:rPr>
        <w:t>21</w:t>
      </w:r>
      <w:r w:rsidRPr="00A650E8">
        <w:rPr>
          <w:lang w:val="en-US"/>
        </w:rPr>
        <w:t>(34), 211-220.</w:t>
      </w:r>
    </w:p>
    <w:p w14:paraId="16D80E7B" w14:textId="77777777" w:rsidR="00A650E8" w:rsidRPr="00A650E8" w:rsidRDefault="00A650E8" w:rsidP="00A650E8">
      <w:pPr>
        <w:pStyle w:val="Bibliografa"/>
        <w:rPr>
          <w:lang w:val="en-US"/>
        </w:rPr>
      </w:pPr>
      <w:r w:rsidRPr="00A650E8">
        <w:rPr>
          <w:lang w:val="en-US"/>
        </w:rPr>
        <w:t xml:space="preserve">Barrett, J. R., &amp; Nearing, M. A. (1998). Humanization of decision support using information from simulations. </w:t>
      </w:r>
      <w:r w:rsidRPr="00A650E8">
        <w:rPr>
          <w:i/>
          <w:iCs/>
          <w:lang w:val="en-US"/>
        </w:rPr>
        <w:t>Agricultural systems modeling and simulation</w:t>
      </w:r>
      <w:r w:rsidRPr="00A650E8">
        <w:rPr>
          <w:lang w:val="en-US"/>
        </w:rPr>
        <w:t>, 1-17.</w:t>
      </w:r>
    </w:p>
    <w:p w14:paraId="79B055AE" w14:textId="77777777" w:rsidR="00A650E8" w:rsidRPr="00A650E8" w:rsidRDefault="00A650E8" w:rsidP="00A650E8">
      <w:pPr>
        <w:pStyle w:val="Bibliografa"/>
        <w:rPr>
          <w:lang w:val="en-US"/>
        </w:rPr>
      </w:pPr>
      <w:r w:rsidRPr="00A650E8">
        <w:rPr>
          <w:lang w:val="en-US"/>
        </w:rPr>
        <w:t xml:space="preserve">Bouman, B. A. M. (2001). </w:t>
      </w:r>
      <w:r w:rsidRPr="00A650E8">
        <w:rPr>
          <w:i/>
          <w:iCs/>
          <w:lang w:val="en-US"/>
        </w:rPr>
        <w:t>ORYZA2000: Modeling lowland rice</w:t>
      </w:r>
      <w:r w:rsidRPr="00A650E8">
        <w:rPr>
          <w:lang w:val="en-US"/>
        </w:rPr>
        <w:t>. IRRI.</w:t>
      </w:r>
    </w:p>
    <w:p w14:paraId="7CD3DB9C" w14:textId="77777777" w:rsidR="00A650E8" w:rsidRPr="00A650E8" w:rsidRDefault="00A650E8" w:rsidP="00A650E8">
      <w:pPr>
        <w:pStyle w:val="Bibliografa"/>
        <w:rPr>
          <w:lang w:val="en-US"/>
        </w:rPr>
      </w:pPr>
      <w:r w:rsidRPr="00A650E8">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A650E8">
        <w:rPr>
          <w:i/>
          <w:iCs/>
          <w:lang w:val="en-US"/>
        </w:rPr>
        <w:t>Agronomie</w:t>
      </w:r>
      <w:r w:rsidRPr="00A650E8">
        <w:rPr>
          <w:lang w:val="en-US"/>
        </w:rPr>
        <w:t xml:space="preserve">, </w:t>
      </w:r>
      <w:r w:rsidRPr="00A650E8">
        <w:rPr>
          <w:i/>
          <w:iCs/>
          <w:lang w:val="en-US"/>
        </w:rPr>
        <w:t>18</w:t>
      </w:r>
      <w:r w:rsidRPr="00A650E8">
        <w:rPr>
          <w:lang w:val="en-US"/>
        </w:rPr>
        <w:t>(5-6), 311-346. https://doi.org/10.1051/agro:19980501</w:t>
      </w:r>
    </w:p>
    <w:p w14:paraId="669CE2FC" w14:textId="77777777" w:rsidR="00A650E8" w:rsidRDefault="00A650E8" w:rsidP="00A650E8">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BBCCC5E" w14:textId="77777777" w:rsidR="00A650E8" w:rsidRDefault="00A650E8" w:rsidP="00A650E8">
      <w:pPr>
        <w:pStyle w:val="Bibliografa"/>
      </w:pPr>
      <w:r>
        <w:lastRenderedPageBreak/>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04F8FE6E" w14:textId="77777777" w:rsidR="00A650E8" w:rsidRPr="00A650E8" w:rsidRDefault="00A650E8" w:rsidP="00A650E8">
      <w:pPr>
        <w:pStyle w:val="Bibliografa"/>
        <w:rPr>
          <w:lang w:val="en-US"/>
        </w:rPr>
      </w:pPr>
      <w:r w:rsidRPr="00A650E8">
        <w:rPr>
          <w:lang w:val="en-US"/>
        </w:rPr>
        <w:t xml:space="preserve">CONACYT. (2019). </w:t>
      </w:r>
      <w:r w:rsidRPr="00A650E8">
        <w:rPr>
          <w:i/>
          <w:iCs/>
          <w:lang w:val="en-US"/>
        </w:rPr>
        <w:t>Maíz</w:t>
      </w:r>
      <w:r w:rsidRPr="00A650E8">
        <w:rPr>
          <w:lang w:val="en-US"/>
        </w:rPr>
        <w:t>. https://conacyt.mx/cibiogem/index.php/maiz</w:t>
      </w:r>
    </w:p>
    <w:p w14:paraId="5F4571FD" w14:textId="77777777" w:rsidR="00A650E8" w:rsidRPr="00A650E8" w:rsidRDefault="00A650E8" w:rsidP="00A650E8">
      <w:pPr>
        <w:pStyle w:val="Bibliografa"/>
        <w:rPr>
          <w:lang w:val="en-US"/>
        </w:rPr>
      </w:pPr>
      <w:r w:rsidRPr="00A650E8">
        <w:rPr>
          <w:lang w:val="en-US"/>
        </w:rPr>
        <w:t xml:space="preserve">Corbeels, M., Chirat, G., Messad, S., &amp; Thierfelder, C. (2016). Performance and sensitivity of the DSSAT crop growth model in simulating maize yield under conservation agriculture. </w:t>
      </w:r>
      <w:r w:rsidRPr="00A650E8">
        <w:rPr>
          <w:i/>
          <w:iCs/>
          <w:lang w:val="en-US"/>
        </w:rPr>
        <w:t>European Journal of Agronomy</w:t>
      </w:r>
      <w:r w:rsidRPr="00A650E8">
        <w:rPr>
          <w:lang w:val="en-US"/>
        </w:rPr>
        <w:t xml:space="preserve">, </w:t>
      </w:r>
      <w:r w:rsidRPr="00A650E8">
        <w:rPr>
          <w:i/>
          <w:iCs/>
          <w:lang w:val="en-US"/>
        </w:rPr>
        <w:t>76</w:t>
      </w:r>
      <w:r w:rsidRPr="00A650E8">
        <w:rPr>
          <w:lang w:val="en-US"/>
        </w:rPr>
        <w:t>, 41-53. https://doi.org/10.1016/j.eja.2016.02.001</w:t>
      </w:r>
    </w:p>
    <w:p w14:paraId="0632E150" w14:textId="77777777" w:rsidR="00A650E8" w:rsidRPr="00A650E8" w:rsidRDefault="00A650E8" w:rsidP="00A650E8">
      <w:pPr>
        <w:pStyle w:val="Bibliografa"/>
        <w:rPr>
          <w:lang w:val="en-US"/>
        </w:rPr>
      </w:pPr>
      <w:r w:rsidRPr="00A650E8">
        <w:rPr>
          <w:lang w:val="en-US"/>
        </w:rPr>
        <w:t xml:space="preserve">De Wit, C. T. (1986). Modelling Agricultural Production. </w:t>
      </w:r>
      <w:r w:rsidRPr="00A650E8">
        <w:rPr>
          <w:i/>
          <w:iCs/>
          <w:lang w:val="en-US"/>
        </w:rPr>
        <w:t>Acta Horticulturae</w:t>
      </w:r>
      <w:r w:rsidRPr="00A650E8">
        <w:rPr>
          <w:lang w:val="en-US"/>
        </w:rPr>
        <w:t xml:space="preserve">, </w:t>
      </w:r>
      <w:r w:rsidRPr="00A650E8">
        <w:rPr>
          <w:i/>
          <w:iCs/>
          <w:lang w:val="en-US"/>
        </w:rPr>
        <w:t>184</w:t>
      </w:r>
      <w:r w:rsidRPr="00A650E8">
        <w:rPr>
          <w:lang w:val="en-US"/>
        </w:rPr>
        <w:t>, 59-70.</w:t>
      </w:r>
    </w:p>
    <w:p w14:paraId="68FA6AD7" w14:textId="77777777" w:rsidR="00A650E8" w:rsidRPr="00A650E8" w:rsidRDefault="00A650E8" w:rsidP="00A650E8">
      <w:pPr>
        <w:pStyle w:val="Bibliografa"/>
        <w:rPr>
          <w:lang w:val="en-US"/>
        </w:rPr>
      </w:pPr>
      <w:r w:rsidRPr="00A650E8">
        <w:rPr>
          <w:lang w:val="en-US"/>
        </w:rPr>
        <w:t xml:space="preserve">Dong, C., Hu, D., Fu, Y., Wang, M., &amp; Liu, H. (2014). Analysis and optimization of the effect of light and nutrient solution on wheat growth and development using an inverse system model strategy. </w:t>
      </w:r>
      <w:r w:rsidRPr="00A650E8">
        <w:rPr>
          <w:i/>
          <w:iCs/>
          <w:lang w:val="en-US"/>
        </w:rPr>
        <w:t>Computers and Electronics in Agriculture</w:t>
      </w:r>
      <w:r w:rsidRPr="00A650E8">
        <w:rPr>
          <w:lang w:val="en-US"/>
        </w:rPr>
        <w:t xml:space="preserve">, </w:t>
      </w:r>
      <w:r w:rsidRPr="00A650E8">
        <w:rPr>
          <w:i/>
          <w:iCs/>
          <w:lang w:val="en-US"/>
        </w:rPr>
        <w:t>109</w:t>
      </w:r>
      <w:r w:rsidRPr="00A650E8">
        <w:rPr>
          <w:lang w:val="en-US"/>
        </w:rPr>
        <w:t>, 221-231. https://doi.org/10.1016/j.compag.2014.10.013</w:t>
      </w:r>
    </w:p>
    <w:p w14:paraId="69E19D75" w14:textId="77777777" w:rsidR="00A650E8" w:rsidRDefault="00A650E8" w:rsidP="00A650E8">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0F628C2A" w14:textId="77777777" w:rsidR="00A650E8" w:rsidRPr="00A650E8" w:rsidRDefault="00A650E8" w:rsidP="00A650E8">
      <w:pPr>
        <w:pStyle w:val="Bibliografa"/>
        <w:rPr>
          <w:lang w:val="en-US"/>
        </w:rPr>
      </w:pPr>
      <w:r w:rsidRPr="00A650E8">
        <w:rPr>
          <w:lang w:val="en-US"/>
        </w:rPr>
        <w:t xml:space="preserve">Fageria, N. (2007). Yield physiology of rice. </w:t>
      </w:r>
      <w:r w:rsidRPr="00A650E8">
        <w:rPr>
          <w:i/>
          <w:iCs/>
          <w:lang w:val="en-US"/>
        </w:rPr>
        <w:t>Journal of Plant Nutrition</w:t>
      </w:r>
      <w:r w:rsidRPr="00A650E8">
        <w:rPr>
          <w:lang w:val="en-US"/>
        </w:rPr>
        <w:t xml:space="preserve">, </w:t>
      </w:r>
      <w:r w:rsidRPr="00A650E8">
        <w:rPr>
          <w:i/>
          <w:iCs/>
          <w:lang w:val="en-US"/>
        </w:rPr>
        <w:t>30</w:t>
      </w:r>
      <w:r w:rsidRPr="00A650E8">
        <w:rPr>
          <w:lang w:val="en-US"/>
        </w:rPr>
        <w:t>, 843-879. https://doi.org/10.1080/15226510701374831</w:t>
      </w:r>
    </w:p>
    <w:p w14:paraId="52A7E7FF" w14:textId="77777777" w:rsidR="00A650E8" w:rsidRPr="00A650E8" w:rsidRDefault="00A650E8" w:rsidP="00A650E8">
      <w:pPr>
        <w:pStyle w:val="Bibliografa"/>
        <w:rPr>
          <w:lang w:val="en-US"/>
        </w:rPr>
      </w:pPr>
      <w:r w:rsidRPr="00A650E8">
        <w:rPr>
          <w:lang w:val="en-US"/>
        </w:rPr>
        <w:t xml:space="preserve">FAOSTAT. (2020). </w:t>
      </w:r>
      <w:r w:rsidRPr="00A650E8">
        <w:rPr>
          <w:i/>
          <w:iCs/>
          <w:lang w:val="en-US"/>
        </w:rPr>
        <w:t>Crops</w:t>
      </w:r>
      <w:r w:rsidRPr="00A650E8">
        <w:rPr>
          <w:lang w:val="en-US"/>
        </w:rPr>
        <w:t>. Food and Agriculture Organization of the United Nations. https://www.fao.org/faostat/</w:t>
      </w:r>
    </w:p>
    <w:p w14:paraId="0E7BF915" w14:textId="77777777" w:rsidR="00A650E8" w:rsidRDefault="00A650E8" w:rsidP="00A650E8">
      <w:pPr>
        <w:pStyle w:val="Bibliografa"/>
      </w:pPr>
      <w:r>
        <w:t xml:space="preserve">Gálvez, G. (2008). Modelación del crecimiento de las plantas. Modelación de cultivos agrícolas. </w:t>
      </w:r>
      <w:r>
        <w:rPr>
          <w:i/>
          <w:iCs/>
        </w:rPr>
        <w:t>Seminario de modelación de cultivos.(1: 2008 mar. 13-14)</w:t>
      </w:r>
      <w:r>
        <w:t>.</w:t>
      </w:r>
    </w:p>
    <w:p w14:paraId="450F4D21" w14:textId="77777777" w:rsidR="00A650E8" w:rsidRDefault="00A650E8" w:rsidP="00A650E8">
      <w:pPr>
        <w:pStyle w:val="Bibliografa"/>
      </w:pPr>
      <w:r>
        <w:lastRenderedPageBreak/>
        <w:t xml:space="preserve">Gálvez, G., Sigarroa, A., López, T., &amp; Fernández, J. (2010). MODELACIÓN DE CULTIVOS AGRÍCOLAS. ALGUNOS EJEMPLOS. </w:t>
      </w:r>
      <w:r>
        <w:rPr>
          <w:i/>
          <w:iCs/>
        </w:rPr>
        <w:t>Cultivos Tropicales</w:t>
      </w:r>
      <w:r>
        <w:t xml:space="preserve">, </w:t>
      </w:r>
      <w:r>
        <w:rPr>
          <w:i/>
          <w:iCs/>
        </w:rPr>
        <w:t>31</w:t>
      </w:r>
      <w:r>
        <w:t>(3), 60-65.</w:t>
      </w:r>
    </w:p>
    <w:p w14:paraId="770ED529" w14:textId="77777777" w:rsidR="00A650E8" w:rsidRDefault="00A650E8" w:rsidP="00A650E8">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0F146E7F" w14:textId="77777777" w:rsidR="00A650E8" w:rsidRDefault="00A650E8" w:rsidP="00A650E8">
      <w:pPr>
        <w:pStyle w:val="Bibliografa"/>
      </w:pPr>
      <w:r>
        <w:t xml:space="preserve">Guevara, E. (2007). </w:t>
      </w:r>
      <w:r>
        <w:rPr>
          <w:i/>
          <w:iCs/>
        </w:rPr>
        <w:t>La simulación del desarrollo, crecimiento y rendimiento en maíz</w:t>
      </w:r>
      <w:r>
        <w:t>. 37.</w:t>
      </w:r>
    </w:p>
    <w:p w14:paraId="1DDFC77E" w14:textId="77777777" w:rsidR="00A650E8" w:rsidRDefault="00A650E8" w:rsidP="00A650E8">
      <w:pPr>
        <w:pStyle w:val="Bibliografa"/>
      </w:pPr>
      <w:r>
        <w:t xml:space="preserve">Hernández, N., Soto, F., &amp; Caballero, A. (2009). Modelos de simulación de cultivos: Características y usos. </w:t>
      </w:r>
      <w:r>
        <w:rPr>
          <w:i/>
          <w:iCs/>
        </w:rPr>
        <w:t>Cultivos Tropicales</w:t>
      </w:r>
      <w:r>
        <w:t xml:space="preserve">, </w:t>
      </w:r>
      <w:r>
        <w:rPr>
          <w:i/>
          <w:iCs/>
        </w:rPr>
        <w:t>30</w:t>
      </w:r>
      <w:r>
        <w:t>(1), 00-00.</w:t>
      </w:r>
    </w:p>
    <w:p w14:paraId="2CF4FFF2" w14:textId="77777777" w:rsidR="00A650E8" w:rsidRPr="00A650E8" w:rsidRDefault="00A650E8" w:rsidP="00A650E8">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sidRPr="00A650E8">
        <w:rPr>
          <w:i/>
          <w:iCs/>
          <w:lang w:val="en-US"/>
        </w:rPr>
        <w:t>Cultivos Tropicales</w:t>
      </w:r>
      <w:r w:rsidRPr="00A650E8">
        <w:rPr>
          <w:lang w:val="en-US"/>
        </w:rPr>
        <w:t xml:space="preserve">, </w:t>
      </w:r>
      <w:r w:rsidRPr="00A650E8">
        <w:rPr>
          <w:i/>
          <w:iCs/>
          <w:lang w:val="en-US"/>
        </w:rPr>
        <w:t>37</w:t>
      </w:r>
      <w:r w:rsidRPr="00A650E8">
        <w:rPr>
          <w:lang w:val="en-US"/>
        </w:rPr>
        <w:t>(1), 7.</w:t>
      </w:r>
    </w:p>
    <w:p w14:paraId="4E0BB237" w14:textId="77777777" w:rsidR="00A650E8" w:rsidRPr="00A650E8" w:rsidRDefault="00A650E8" w:rsidP="00A650E8">
      <w:pPr>
        <w:pStyle w:val="Bibliografa"/>
        <w:rPr>
          <w:lang w:val="en-US"/>
        </w:rPr>
      </w:pPr>
      <w:r w:rsidRPr="00A650E8">
        <w:rPr>
          <w:lang w:val="en-US"/>
        </w:rPr>
        <w:t xml:space="preserve">Hodges, T., &amp; Ritchie, J. T. (1991). The CERES-Wheat phenology model. </w:t>
      </w:r>
      <w:r w:rsidRPr="00A650E8">
        <w:rPr>
          <w:i/>
          <w:iCs/>
          <w:lang w:val="en-US"/>
        </w:rPr>
        <w:t>Predicting crop phenology</w:t>
      </w:r>
      <w:r w:rsidRPr="00A650E8">
        <w:rPr>
          <w:lang w:val="en-US"/>
        </w:rPr>
        <w:t>, 133-141.</w:t>
      </w:r>
    </w:p>
    <w:p w14:paraId="31C0D6E0" w14:textId="77777777" w:rsidR="00A650E8" w:rsidRDefault="00A650E8" w:rsidP="00A650E8">
      <w:pPr>
        <w:pStyle w:val="Bibliografa"/>
      </w:pPr>
      <w:r w:rsidRPr="00A650E8">
        <w:rPr>
          <w:lang w:val="en-US"/>
        </w:rPr>
        <w:t xml:space="preserve">Hunt, L. A., Jones, J. W., Ritchie, J. T., &amp; Teng, P. S. (1989). Genetic coefficients for the IBSNAT crop models. </w:t>
      </w:r>
      <w:r w:rsidRPr="00A650E8">
        <w:rPr>
          <w:i/>
          <w:iCs/>
          <w:lang w:val="en-US"/>
        </w:rPr>
        <w:t xml:space="preserve">Proceedings of IBSNAT Symposium, 81st Ann. </w:t>
      </w:r>
      <w:r>
        <w:rPr>
          <w:i/>
          <w:iCs/>
        </w:rPr>
        <w:t>Meeting of Amer. Soc. Agronomy, Las Vegas</w:t>
      </w:r>
      <w:r>
        <w:t>, 15-30.</w:t>
      </w:r>
    </w:p>
    <w:p w14:paraId="4E00229F" w14:textId="77777777" w:rsidR="00A650E8" w:rsidRDefault="00A650E8" w:rsidP="00A650E8">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763D0008" w14:textId="77777777" w:rsidR="00A650E8" w:rsidRDefault="00A650E8" w:rsidP="00A650E8">
      <w:pPr>
        <w:pStyle w:val="Bibliografa"/>
      </w:pPr>
      <w:r>
        <w:t xml:space="preserve">IIG. (2020). </w:t>
      </w:r>
      <w:r>
        <w:rPr>
          <w:i/>
          <w:iCs/>
        </w:rPr>
        <w:t>Guía técnica para la producción de maíz</w:t>
      </w:r>
      <w:r>
        <w:t>.</w:t>
      </w:r>
    </w:p>
    <w:p w14:paraId="1D371DAE" w14:textId="77777777" w:rsidR="00A650E8" w:rsidRDefault="00A650E8" w:rsidP="00A650E8">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67A6FE7" w14:textId="77777777" w:rsidR="00A650E8" w:rsidRPr="00A650E8" w:rsidRDefault="00A650E8" w:rsidP="00A650E8">
      <w:pPr>
        <w:pStyle w:val="Bibliografa"/>
        <w:rPr>
          <w:lang w:val="en-US"/>
        </w:rPr>
      </w:pPr>
      <w:r w:rsidRPr="00A650E8">
        <w:rPr>
          <w:lang w:val="en-US"/>
        </w:rPr>
        <w:lastRenderedPageBreak/>
        <w:t xml:space="preserve">Jones, C. A., Dyke, P. T., Williams, J. R., Kiniry, J. R., Benson, V. W., &amp; Griggs, R. H. (1991). EPIC: An operational model for evaluation of agricultural sustainability. </w:t>
      </w:r>
      <w:r w:rsidRPr="00A650E8">
        <w:rPr>
          <w:i/>
          <w:iCs/>
          <w:lang w:val="en-US"/>
        </w:rPr>
        <w:t>Agricultural Systems</w:t>
      </w:r>
      <w:r w:rsidRPr="00A650E8">
        <w:rPr>
          <w:lang w:val="en-US"/>
        </w:rPr>
        <w:t xml:space="preserve">, </w:t>
      </w:r>
      <w:r w:rsidRPr="00A650E8">
        <w:rPr>
          <w:i/>
          <w:iCs/>
          <w:lang w:val="en-US"/>
        </w:rPr>
        <w:t>37</w:t>
      </w:r>
      <w:r w:rsidRPr="00A650E8">
        <w:rPr>
          <w:lang w:val="en-US"/>
        </w:rPr>
        <w:t>(4), 341-350. https://doi.org/10.1016/0308-521X(91)90057-H</w:t>
      </w:r>
    </w:p>
    <w:p w14:paraId="0223ED01"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(2003a).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3747EB0C"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(2003b).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5D11013A" w14:textId="77777777" w:rsidR="00A650E8" w:rsidRPr="00A650E8" w:rsidRDefault="00A650E8" w:rsidP="00A650E8">
      <w:pPr>
        <w:pStyle w:val="Bibliografa"/>
        <w:rPr>
          <w:lang w:val="en-US"/>
        </w:rPr>
      </w:pPr>
      <w:r w:rsidRPr="00A650E8">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A650E8">
        <w:rPr>
          <w:i/>
          <w:iCs/>
          <w:lang w:val="en-US"/>
        </w:rPr>
        <w:t>European Journal of Agronomy</w:t>
      </w:r>
      <w:r w:rsidRPr="00A650E8">
        <w:rPr>
          <w:lang w:val="en-US"/>
        </w:rPr>
        <w:t xml:space="preserve">, </w:t>
      </w:r>
      <w:r w:rsidRPr="00A650E8">
        <w:rPr>
          <w:i/>
          <w:iCs/>
          <w:lang w:val="en-US"/>
        </w:rPr>
        <w:t>18</w:t>
      </w:r>
      <w:r w:rsidRPr="00A650E8">
        <w:rPr>
          <w:lang w:val="en-US"/>
        </w:rPr>
        <w:t>(3-4), 267-288. https://doi.org/10.1016/S1161-0301(02)00108-9</w:t>
      </w:r>
    </w:p>
    <w:p w14:paraId="7069050E" w14:textId="77777777" w:rsidR="00A650E8" w:rsidRDefault="00A650E8" w:rsidP="00A650E8">
      <w:pPr>
        <w:pStyle w:val="Bibliografa"/>
      </w:pPr>
      <w:r w:rsidRPr="00A650E8">
        <w:rPr>
          <w:lang w:val="en-US"/>
        </w:rPr>
        <w:t xml:space="preserve">Link, E. J. (2005). </w:t>
      </w:r>
      <w:r w:rsidRPr="00A650E8">
        <w:rPr>
          <w:i/>
          <w:iCs/>
          <w:lang w:val="en-US"/>
        </w:rPr>
        <w:t>Investigation and modeling of the optimization potential of adapted nitrogen fertilization strategies in corn cropping system with regard to minimize nitrogen losses</w:t>
      </w:r>
      <w:r w:rsidRPr="00A650E8">
        <w:rPr>
          <w:lang w:val="en-US"/>
        </w:rPr>
        <w:t xml:space="preserve"> [Tesis Doctoral]. </w:t>
      </w:r>
      <w:r>
        <w:t>Institut fur  Pflanzenbau und Grunland. Universitat  Hohenheim.</w:t>
      </w:r>
    </w:p>
    <w:p w14:paraId="07F3D503" w14:textId="77777777" w:rsidR="00A650E8" w:rsidRDefault="00A650E8" w:rsidP="00A650E8">
      <w:pPr>
        <w:pStyle w:val="Bibliografa"/>
      </w:pPr>
      <w:r>
        <w:t xml:space="preserve">Martín Alonso, G. M., Rivera Espinosa, R., Arias Pérez, L., &amp; Pérez Díaz, A. (2012). Respuesta de la Canavalia ensiformis a la inoculación micorrízica con Glomus cubense (cepa INCAM-4), su efecto de permanencia en el cultivo del maíz. </w:t>
      </w:r>
      <w:r>
        <w:rPr>
          <w:i/>
          <w:iCs/>
        </w:rPr>
        <w:t>Cultivos Tropicales</w:t>
      </w:r>
      <w:r>
        <w:t xml:space="preserve">, </w:t>
      </w:r>
      <w:r>
        <w:rPr>
          <w:i/>
          <w:iCs/>
        </w:rPr>
        <w:t>33</w:t>
      </w:r>
      <w:r>
        <w:t>(2), 20-28.</w:t>
      </w:r>
    </w:p>
    <w:p w14:paraId="303F8F5C" w14:textId="77777777" w:rsidR="00A650E8" w:rsidRDefault="00A650E8" w:rsidP="00A650E8">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16B89E7" w14:textId="77777777" w:rsidR="00A650E8" w:rsidRDefault="00A650E8" w:rsidP="00A650E8">
      <w:pPr>
        <w:pStyle w:val="Bibliografa"/>
      </w:pPr>
      <w:r>
        <w:lastRenderedPageBreak/>
        <w:t xml:space="preserve">Martín, M. M.-S., Olesen, J. E., &amp; Porter, J. R. (2014). </w:t>
      </w:r>
      <w:r w:rsidRPr="00A650E8">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65960F59" w14:textId="77777777" w:rsidR="00A650E8" w:rsidRDefault="00A650E8" w:rsidP="00A650E8">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48D7BE85" w14:textId="77777777" w:rsidR="00A650E8" w:rsidRDefault="00A650E8" w:rsidP="00A650E8">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17B4D174" w14:textId="77777777" w:rsidR="00A650E8" w:rsidRDefault="00A650E8" w:rsidP="00A650E8">
      <w:pPr>
        <w:pStyle w:val="Bibliografa"/>
      </w:pPr>
      <w:r>
        <w:t xml:space="preserve">MINAG. (2012). </w:t>
      </w:r>
      <w:r>
        <w:rPr>
          <w:i/>
          <w:iCs/>
        </w:rPr>
        <w:t>Guía Técnica para el cultivo del maíz</w:t>
      </w:r>
      <w:r>
        <w:t>. Ministerio de Agricultura.</w:t>
      </w:r>
    </w:p>
    <w:p w14:paraId="0ED42084" w14:textId="77777777" w:rsidR="00A650E8" w:rsidRDefault="00A650E8" w:rsidP="00A650E8">
      <w:pPr>
        <w:pStyle w:val="Bibliografa"/>
      </w:pPr>
      <w:r>
        <w:t xml:space="preserve">MINAG. (2015). </w:t>
      </w:r>
      <w:r>
        <w:rPr>
          <w:i/>
          <w:iCs/>
        </w:rPr>
        <w:t>Lista oficial de variedades comerciales. Registro de variedades comerciales</w:t>
      </w:r>
      <w:r>
        <w:t>. Ministerio de Agricultura.</w:t>
      </w:r>
    </w:p>
    <w:p w14:paraId="7AF02577" w14:textId="77777777" w:rsidR="00A650E8" w:rsidRPr="00F26CEC" w:rsidRDefault="00A650E8" w:rsidP="00A650E8">
      <w:pPr>
        <w:pStyle w:val="Bibliografa"/>
        <w:rPr>
          <w:lang w:val="en-US"/>
        </w:rPr>
      </w:pPr>
      <w:r w:rsidRPr="00A650E8">
        <w:rPr>
          <w:lang w:val="en-US"/>
        </w:rPr>
        <w:t xml:space="preserve">Mohanty, M., Probert, M. E., Reddy, K. S., Dalal, R. C., Mishra, A. K., Subba Rao, A., Singh, M., &amp; Menzies, N. W. (2012). Simulating soybean–wheat cropping system: APSIM model parameterization and validation. </w:t>
      </w:r>
      <w:r w:rsidRPr="00F26CEC">
        <w:rPr>
          <w:i/>
          <w:iCs/>
          <w:lang w:val="en-US"/>
        </w:rPr>
        <w:t>Agriculture, Ecosystems &amp; Environment</w:t>
      </w:r>
      <w:r w:rsidRPr="00F26CEC">
        <w:rPr>
          <w:lang w:val="en-US"/>
        </w:rPr>
        <w:t xml:space="preserve">, </w:t>
      </w:r>
      <w:r w:rsidRPr="00F26CEC">
        <w:rPr>
          <w:i/>
          <w:iCs/>
          <w:lang w:val="en-US"/>
        </w:rPr>
        <w:t>152</w:t>
      </w:r>
      <w:r w:rsidRPr="00F26CEC">
        <w:rPr>
          <w:lang w:val="en-US"/>
        </w:rPr>
        <w:t>, 68-78. https://doi.org/10.1016/j.agee.2012.02.013</w:t>
      </w:r>
    </w:p>
    <w:p w14:paraId="69DA4B4D" w14:textId="77777777" w:rsidR="00A650E8" w:rsidRPr="00F26CEC" w:rsidRDefault="00A650E8" w:rsidP="00A650E8">
      <w:pPr>
        <w:pStyle w:val="Bibliografa"/>
        <w:rPr>
          <w:lang w:val="en-US"/>
        </w:rPr>
      </w:pPr>
      <w:r w:rsidRPr="00F26CEC">
        <w:rPr>
          <w:lang w:val="en-US"/>
        </w:rPr>
        <w:t xml:space="preserve">Muchow, R., &amp; Davis, R. (1988). Effect of nitrogen supply on the comparative productivity of maize and sorghum in a semi-arid tropical environment II. Radiation interception and biomass accumulation. </w:t>
      </w:r>
      <w:r w:rsidRPr="00F26CEC">
        <w:rPr>
          <w:i/>
          <w:iCs/>
          <w:lang w:val="en-US"/>
        </w:rPr>
        <w:t>Field Crops Research</w:t>
      </w:r>
      <w:r w:rsidRPr="00F26CEC">
        <w:rPr>
          <w:lang w:val="en-US"/>
        </w:rPr>
        <w:t xml:space="preserve">, </w:t>
      </w:r>
      <w:r w:rsidRPr="00F26CEC">
        <w:rPr>
          <w:i/>
          <w:iCs/>
          <w:lang w:val="en-US"/>
        </w:rPr>
        <w:t>18</w:t>
      </w:r>
      <w:r w:rsidRPr="00F26CEC">
        <w:rPr>
          <w:lang w:val="en-US"/>
        </w:rPr>
        <w:t>(1), 17-30. https://doi.org/10.1016/0378-4290(88)90056-1</w:t>
      </w:r>
    </w:p>
    <w:p w14:paraId="7687B996" w14:textId="77777777" w:rsidR="00A650E8" w:rsidRPr="00F26CEC" w:rsidRDefault="00A650E8" w:rsidP="00A650E8">
      <w:pPr>
        <w:pStyle w:val="Bibliografa"/>
        <w:rPr>
          <w:lang w:val="en-US"/>
        </w:rPr>
      </w:pPr>
      <w:r w:rsidRPr="00F26CEC">
        <w:rPr>
          <w:lang w:val="en-US"/>
        </w:rPr>
        <w:t xml:space="preserve">Murthy, V. R. K. (2011). Crop growth modeling and its applications in agricultural meteorology. En </w:t>
      </w:r>
      <w:r w:rsidRPr="00F26CEC">
        <w:rPr>
          <w:i/>
          <w:iCs/>
          <w:lang w:val="en-US"/>
        </w:rPr>
        <w:t>Satellite Remote Sensing and GIS Applications in Agricultural Meteorology</w:t>
      </w:r>
      <w:r w:rsidRPr="00F26CEC">
        <w:rPr>
          <w:lang w:val="en-US"/>
        </w:rPr>
        <w:t xml:space="preserve"> (Vol. 1, pp. 235-261).</w:t>
      </w:r>
    </w:p>
    <w:p w14:paraId="4FE7AFEB" w14:textId="77777777" w:rsidR="00A650E8" w:rsidRDefault="00A650E8" w:rsidP="00A650E8">
      <w:pPr>
        <w:pStyle w:val="Bibliografa"/>
      </w:pPr>
      <w:r w:rsidRPr="00F26CEC">
        <w:rPr>
          <w:lang w:val="en-US"/>
        </w:rPr>
        <w:lastRenderedPageBreak/>
        <w:t xml:space="preserve">Nleya, T. (2019). Corn Growth and Development. En </w:t>
      </w:r>
      <w:r w:rsidRPr="00F26CEC">
        <w:rPr>
          <w:i/>
          <w:iCs/>
          <w:lang w:val="en-US"/>
        </w:rPr>
        <w:t>Corn best management practices</w:t>
      </w:r>
      <w:r w:rsidRPr="00F26CEC">
        <w:rPr>
          <w:lang w:val="en-US"/>
        </w:rPr>
        <w:t xml:space="preserve">. </w:t>
      </w:r>
      <w:r>
        <w:t>South Dakota State University.</w:t>
      </w:r>
    </w:p>
    <w:p w14:paraId="0654B11A" w14:textId="77777777" w:rsidR="00A650E8" w:rsidRDefault="00A650E8" w:rsidP="00A650E8">
      <w:pPr>
        <w:pStyle w:val="Bibliografa"/>
      </w:pPr>
      <w:r>
        <w:t xml:space="preserve">ONEI. (2022). </w:t>
      </w:r>
      <w:r>
        <w:rPr>
          <w:i/>
          <w:iCs/>
        </w:rPr>
        <w:t>Anuario estadístico de Cuba, 2020</w:t>
      </w:r>
      <w:r>
        <w:t>.</w:t>
      </w:r>
    </w:p>
    <w:p w14:paraId="7A1AE70B" w14:textId="77777777" w:rsidR="00A650E8" w:rsidRDefault="00A650E8" w:rsidP="00A650E8">
      <w:pPr>
        <w:pStyle w:val="Bibliografa"/>
      </w:pPr>
      <w:r>
        <w:t xml:space="preserve">PIONEER. (2015). </w:t>
      </w:r>
      <w:r>
        <w:rPr>
          <w:i/>
          <w:iCs/>
        </w:rPr>
        <w:t>Maíz. Crecimiento y desarrollo</w:t>
      </w:r>
      <w:r>
        <w:t>.</w:t>
      </w:r>
    </w:p>
    <w:p w14:paraId="751E7E77" w14:textId="77777777" w:rsidR="00A650E8" w:rsidRDefault="00A650E8" w:rsidP="00A650E8">
      <w:pPr>
        <w:pStyle w:val="Bibliografa"/>
      </w:pPr>
      <w:r>
        <w:t xml:space="preserve">Ritchie, J. T., Singh, U., Godwin, D., &amp; Hunt, L. (1989). </w:t>
      </w:r>
      <w:r w:rsidRPr="00F26CEC">
        <w:rPr>
          <w:lang w:val="en-US"/>
        </w:rPr>
        <w:t xml:space="preserve">A user’s guide to CERES-Maize V2. 10. </w:t>
      </w:r>
      <w:r>
        <w:rPr>
          <w:i/>
          <w:iCs/>
        </w:rPr>
        <w:t>International Fertilizer Development Center, Muscle Shoals, AL</w:t>
      </w:r>
      <w:r>
        <w:t>.</w:t>
      </w:r>
    </w:p>
    <w:p w14:paraId="2DE6839B" w14:textId="77777777" w:rsidR="00A650E8" w:rsidRPr="00F26CEC" w:rsidRDefault="00A650E8" w:rsidP="00A650E8">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F26CEC">
        <w:rPr>
          <w:i/>
          <w:iCs/>
          <w:lang w:val="en-US"/>
        </w:rPr>
        <w:t>Cuban Journal of Agricultural Science</w:t>
      </w:r>
      <w:r w:rsidRPr="00F26CEC">
        <w:rPr>
          <w:lang w:val="en-US"/>
        </w:rPr>
        <w:t xml:space="preserve">, </w:t>
      </w:r>
      <w:r w:rsidRPr="00F26CEC">
        <w:rPr>
          <w:i/>
          <w:iCs/>
          <w:lang w:val="en-US"/>
        </w:rPr>
        <w:t>55</w:t>
      </w:r>
      <w:r w:rsidRPr="00F26CEC">
        <w:rPr>
          <w:lang w:val="en-US"/>
        </w:rPr>
        <w:t>(2). http://scielo.sld.cu/scielo.php?script=sci_abstract&amp;pid=S2079-34802021000200008&amp;lng=es&amp;nrm=iso&amp;tlng=en</w:t>
      </w:r>
    </w:p>
    <w:p w14:paraId="7F53AC31" w14:textId="77777777" w:rsidR="00A650E8" w:rsidRDefault="00A650E8" w:rsidP="00A650E8">
      <w:pPr>
        <w:pStyle w:val="Bibliografa"/>
      </w:pPr>
      <w:r>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4801E0AA" w14:textId="77777777" w:rsidR="00A650E8" w:rsidRDefault="00A650E8" w:rsidP="00A650E8">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0B14C62F" w14:textId="77777777" w:rsidR="00A650E8" w:rsidRPr="00F26CEC" w:rsidRDefault="00A650E8" w:rsidP="00A650E8">
      <w:pPr>
        <w:pStyle w:val="Bibliografa"/>
        <w:rPr>
          <w:lang w:val="en-US"/>
        </w:rPr>
      </w:pPr>
      <w:r w:rsidRPr="00F26CEC">
        <w:rPr>
          <w:lang w:val="en-US"/>
        </w:rPr>
        <w:t xml:space="preserve">Singh, U., Godwin, D. C., &amp; Ritchie, J. T. (1988). Modeling growth and Development of rice under upland lowland conditions. </w:t>
      </w:r>
      <w:r w:rsidRPr="00F26CEC">
        <w:rPr>
          <w:i/>
          <w:iCs/>
          <w:lang w:val="en-US"/>
        </w:rPr>
        <w:t>Agronomy Abs</w:t>
      </w:r>
      <w:r w:rsidRPr="00F26CEC">
        <w:rPr>
          <w:lang w:val="en-US"/>
        </w:rPr>
        <w:t xml:space="preserve">, </w:t>
      </w:r>
      <w:r w:rsidRPr="00F26CEC">
        <w:rPr>
          <w:i/>
          <w:iCs/>
          <w:lang w:val="en-US"/>
        </w:rPr>
        <w:t>80</w:t>
      </w:r>
      <w:r w:rsidRPr="00F26CEC">
        <w:rPr>
          <w:lang w:val="en-US"/>
        </w:rPr>
        <w:t>, 27.</w:t>
      </w:r>
    </w:p>
    <w:p w14:paraId="3703A62F" w14:textId="77777777" w:rsidR="00A650E8" w:rsidRPr="00F26CEC" w:rsidRDefault="00A650E8" w:rsidP="00A650E8">
      <w:pPr>
        <w:pStyle w:val="Bibliografa"/>
        <w:rPr>
          <w:lang w:val="en-US"/>
        </w:rPr>
      </w:pPr>
      <w:r w:rsidRPr="00F26CEC">
        <w:rPr>
          <w:lang w:val="en-US"/>
        </w:rPr>
        <w:lastRenderedPageBreak/>
        <w:t xml:space="preserve">Singh, U., Ritchie, J. T., &amp; Godwin, D. C. (1993). </w:t>
      </w:r>
      <w:r w:rsidRPr="00F26CEC">
        <w:rPr>
          <w:i/>
          <w:iCs/>
          <w:lang w:val="en-US"/>
        </w:rPr>
        <w:t>A User’s Guide to CERES Rice, V2. 10</w:t>
      </w:r>
      <w:r w:rsidRPr="00F26CEC">
        <w:rPr>
          <w:lang w:val="en-US"/>
        </w:rPr>
        <w:t>. International Fertilizer Development Center Muscle Schoals.</w:t>
      </w:r>
    </w:p>
    <w:p w14:paraId="220B19E4" w14:textId="77777777" w:rsidR="00A650E8" w:rsidRDefault="00A650E8" w:rsidP="00A650E8">
      <w:pPr>
        <w:pStyle w:val="Bibliografa"/>
      </w:pPr>
      <w:r w:rsidRPr="00F26CEC">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1EECF7E0" w14:textId="77777777" w:rsidR="00A650E8" w:rsidRDefault="00A650E8" w:rsidP="00A650E8">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3EE211F" w14:textId="77777777" w:rsidR="00A650E8" w:rsidRPr="00F26CEC" w:rsidRDefault="00A650E8" w:rsidP="00A650E8">
      <w:pPr>
        <w:pStyle w:val="Bibliografa"/>
        <w:rPr>
          <w:lang w:val="en-US"/>
        </w:rPr>
      </w:pPr>
      <w:r>
        <w:t xml:space="preserve">Trombetta, A., Iacobellis, V., Tarantino, E., &amp; Gentile, F. (2016). </w:t>
      </w:r>
      <w:r w:rsidRPr="00F26CEC">
        <w:rPr>
          <w:lang w:val="en-US"/>
        </w:rPr>
        <w:t xml:space="preserve">Calibration of the AquaCrop model for winter wheat using MODIS LAI images. </w:t>
      </w:r>
      <w:r w:rsidRPr="00F26CEC">
        <w:rPr>
          <w:i/>
          <w:iCs/>
          <w:lang w:val="en-US"/>
        </w:rPr>
        <w:t>Agricultural Water Management</w:t>
      </w:r>
      <w:r w:rsidRPr="00F26CEC">
        <w:rPr>
          <w:lang w:val="en-US"/>
        </w:rPr>
        <w:t xml:space="preserve">, </w:t>
      </w:r>
      <w:r w:rsidRPr="00F26CEC">
        <w:rPr>
          <w:i/>
          <w:iCs/>
          <w:lang w:val="en-US"/>
        </w:rPr>
        <w:t>164</w:t>
      </w:r>
      <w:r w:rsidRPr="00F26CEC">
        <w:rPr>
          <w:lang w:val="en-US"/>
        </w:rPr>
        <w:t>, 304-316. https://doi.org/10.1016/j.agwat.2015.10.013</w:t>
      </w:r>
    </w:p>
    <w:p w14:paraId="61796672" w14:textId="77777777" w:rsidR="00A650E8" w:rsidRDefault="00A650E8" w:rsidP="00A650E8">
      <w:pPr>
        <w:pStyle w:val="Bibliografa"/>
      </w:pPr>
      <w:r w:rsidRPr="00F26CEC">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095C087F" w14:textId="77777777" w:rsidR="00A650E8" w:rsidRDefault="00A650E8" w:rsidP="00A650E8">
      <w:pPr>
        <w:pStyle w:val="Bibliografa"/>
      </w:pPr>
      <w:r>
        <w:t xml:space="preserve">Vanderlip, R., &amp; Fjell, D. (2007). </w:t>
      </w:r>
      <w:r w:rsidRPr="00F26CEC">
        <w:rPr>
          <w:lang w:val="en-US"/>
        </w:rPr>
        <w:t xml:space="preserve">Corn growth and development. En </w:t>
      </w:r>
      <w:r w:rsidRPr="00F26CEC">
        <w:rPr>
          <w:i/>
          <w:iCs/>
          <w:lang w:val="en-US"/>
        </w:rPr>
        <w:t>Crop production handbook</w:t>
      </w:r>
      <w:r w:rsidRPr="00F26CEC">
        <w:rPr>
          <w:lang w:val="en-US"/>
        </w:rPr>
        <w:t xml:space="preserve">. </w:t>
      </w:r>
      <w:r>
        <w:t>Kansas State University.</w:t>
      </w:r>
    </w:p>
    <w:p w14:paraId="2ABEA4E3" w14:textId="77777777" w:rsidR="00A650E8" w:rsidRDefault="00A650E8" w:rsidP="00A650E8">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6E0E25A7" w:rsidR="001877EF" w:rsidRDefault="000C6959">
      <w:pPr>
        <w:rPr>
          <w:lang w:val="es-ES_tradnl"/>
        </w:rPr>
      </w:pPr>
      <w:r>
        <w:rPr>
          <w:lang w:val="es-ES_tradnl"/>
        </w:rPr>
        <w:fldChar w:fldCharType="end"/>
      </w:r>
    </w:p>
    <w:p w14:paraId="2FC77CAB" w14:textId="77777777" w:rsidR="001877EF" w:rsidRDefault="001877EF">
      <w:pPr>
        <w:rPr>
          <w:lang w:val="es-ES_tradnl"/>
        </w:rPr>
      </w:pPr>
      <w:r>
        <w:rPr>
          <w:lang w:val="es-ES_tradnl"/>
        </w:rPr>
        <w:br w:type="page"/>
      </w:r>
    </w:p>
    <w:p w14:paraId="7165EBA6" w14:textId="5E6AA3B4" w:rsidR="00481A01" w:rsidRPr="00497013" w:rsidRDefault="001877EF" w:rsidP="001877EF">
      <w:pPr>
        <w:pStyle w:val="Ttulo1"/>
        <w:rPr>
          <w:lang w:val="es-ES_tradnl"/>
        </w:rPr>
      </w:pPr>
      <w:r>
        <w:rPr>
          <w:lang w:val="es-ES_tradnl"/>
        </w:rPr>
        <w:lastRenderedPageBreak/>
        <w:t>Anexos</w:t>
      </w:r>
    </w:p>
    <w:sectPr w:rsidR="00481A01" w:rsidRPr="00497013">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oría desconocida" w:date="2025-04-02T10:05:00Z" w:initials="">
    <w:p w14:paraId="09155970"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De maíz</w:t>
      </w:r>
    </w:p>
    <w:p w14:paraId="1314D01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(Para evaluar esto vamos a decir que se montó el experimento que está en el artículo como si lo hubiese hecho él???)</w:t>
      </w:r>
    </w:p>
  </w:comment>
  <w:comment w:id="19" w:author="Autoría desconocida" w:date="2025-04-02T10:13:00Z" w:initials="">
    <w:p w14:paraId="2080CBB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Aquí creo que se debería incluir los beneficios del EcoMic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14D01E" w15:done="0"/>
  <w15:commentEx w15:paraId="2080CB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TimesNewRoman">
    <w:altName w:val="Malgun Gothic"/>
    <w:panose1 w:val="00000000000000000000"/>
    <w:charset w:val="81"/>
    <w:family w:val="auto"/>
    <w:notTrueType/>
    <w:pitch w:val="default"/>
    <w:sig w:usb0="00000000" w:usb1="09060000" w:usb2="00000010" w:usb3="00000000" w:csb0="00080000"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2"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13"/>
    <w:rsid w:val="0000087A"/>
    <w:rsid w:val="000453DA"/>
    <w:rsid w:val="00046453"/>
    <w:rsid w:val="000630B1"/>
    <w:rsid w:val="00073DE4"/>
    <w:rsid w:val="000767F6"/>
    <w:rsid w:val="000A5207"/>
    <w:rsid w:val="000C6959"/>
    <w:rsid w:val="000F6792"/>
    <w:rsid w:val="000F6E65"/>
    <w:rsid w:val="00132B57"/>
    <w:rsid w:val="00137927"/>
    <w:rsid w:val="001877EF"/>
    <w:rsid w:val="001B075B"/>
    <w:rsid w:val="001B6351"/>
    <w:rsid w:val="00252DF7"/>
    <w:rsid w:val="00257E56"/>
    <w:rsid w:val="002920C4"/>
    <w:rsid w:val="002B0084"/>
    <w:rsid w:val="002B3CA8"/>
    <w:rsid w:val="00303142"/>
    <w:rsid w:val="00315322"/>
    <w:rsid w:val="003216E1"/>
    <w:rsid w:val="0035449F"/>
    <w:rsid w:val="00386826"/>
    <w:rsid w:val="003D2BE6"/>
    <w:rsid w:val="0041551E"/>
    <w:rsid w:val="00480D10"/>
    <w:rsid w:val="00481A01"/>
    <w:rsid w:val="00497013"/>
    <w:rsid w:val="004A25AD"/>
    <w:rsid w:val="004B3728"/>
    <w:rsid w:val="004D3BF2"/>
    <w:rsid w:val="004D47B0"/>
    <w:rsid w:val="004F160A"/>
    <w:rsid w:val="005249EC"/>
    <w:rsid w:val="00532166"/>
    <w:rsid w:val="0055400C"/>
    <w:rsid w:val="0056501D"/>
    <w:rsid w:val="005873E4"/>
    <w:rsid w:val="005D6EB7"/>
    <w:rsid w:val="005F4E32"/>
    <w:rsid w:val="006076D2"/>
    <w:rsid w:val="00633438"/>
    <w:rsid w:val="00656B51"/>
    <w:rsid w:val="00672A69"/>
    <w:rsid w:val="006A377C"/>
    <w:rsid w:val="006A4740"/>
    <w:rsid w:val="006B46FE"/>
    <w:rsid w:val="007370C6"/>
    <w:rsid w:val="007A1346"/>
    <w:rsid w:val="007A23D1"/>
    <w:rsid w:val="007C3032"/>
    <w:rsid w:val="007C533B"/>
    <w:rsid w:val="00827D5F"/>
    <w:rsid w:val="00852C68"/>
    <w:rsid w:val="008B4890"/>
    <w:rsid w:val="008B4F15"/>
    <w:rsid w:val="008E012D"/>
    <w:rsid w:val="008E1F11"/>
    <w:rsid w:val="008E3AD8"/>
    <w:rsid w:val="008E3C27"/>
    <w:rsid w:val="008E48CA"/>
    <w:rsid w:val="008F1D40"/>
    <w:rsid w:val="00910009"/>
    <w:rsid w:val="0091067A"/>
    <w:rsid w:val="00915B86"/>
    <w:rsid w:val="009234E1"/>
    <w:rsid w:val="0093634A"/>
    <w:rsid w:val="0094027D"/>
    <w:rsid w:val="00963BA4"/>
    <w:rsid w:val="00975304"/>
    <w:rsid w:val="00992695"/>
    <w:rsid w:val="009C09B4"/>
    <w:rsid w:val="00A1112D"/>
    <w:rsid w:val="00A16170"/>
    <w:rsid w:val="00A57E4C"/>
    <w:rsid w:val="00A6097C"/>
    <w:rsid w:val="00A650E8"/>
    <w:rsid w:val="00A77DDE"/>
    <w:rsid w:val="00A874FA"/>
    <w:rsid w:val="00AB5322"/>
    <w:rsid w:val="00AC0D07"/>
    <w:rsid w:val="00AE7722"/>
    <w:rsid w:val="00B23BF3"/>
    <w:rsid w:val="00B944A2"/>
    <w:rsid w:val="00BC1925"/>
    <w:rsid w:val="00BD1E72"/>
    <w:rsid w:val="00BF07CB"/>
    <w:rsid w:val="00BF4609"/>
    <w:rsid w:val="00C15C45"/>
    <w:rsid w:val="00C56C04"/>
    <w:rsid w:val="00C94912"/>
    <w:rsid w:val="00CC3CFF"/>
    <w:rsid w:val="00CF1EE0"/>
    <w:rsid w:val="00CF47D4"/>
    <w:rsid w:val="00D06BE4"/>
    <w:rsid w:val="00D1093D"/>
    <w:rsid w:val="00D7244C"/>
    <w:rsid w:val="00D84FCB"/>
    <w:rsid w:val="00D869BC"/>
    <w:rsid w:val="00DA07D0"/>
    <w:rsid w:val="00DA17E7"/>
    <w:rsid w:val="00DC7253"/>
    <w:rsid w:val="00E01AB7"/>
    <w:rsid w:val="00E36226"/>
    <w:rsid w:val="00E67C88"/>
    <w:rsid w:val="00E73FD5"/>
    <w:rsid w:val="00EA2C92"/>
    <w:rsid w:val="00EA3EA3"/>
    <w:rsid w:val="00EE6312"/>
    <w:rsid w:val="00EF799D"/>
    <w:rsid w:val="00F1421C"/>
    <w:rsid w:val="00F26CEC"/>
    <w:rsid w:val="00F550C5"/>
    <w:rsid w:val="00F554F0"/>
    <w:rsid w:val="00F725CE"/>
    <w:rsid w:val="00FA1A3D"/>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013"/>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84"/>
    <w:rPr>
      <w:rFonts w:ascii="Arial" w:eastAsiaTheme="majorEastAsia" w:hAnsi="Arial" w:cstheme="majorBidi"/>
      <w:b/>
      <w:bCs/>
      <w:sz w:val="28"/>
      <w:szCs w:val="28"/>
      <w:lang w:val="es-ES"/>
    </w:rPr>
  </w:style>
  <w:style w:type="paragraph" w:customStyle="1" w:styleId="Default">
    <w:name w:val="Default"/>
    <w:qFormat/>
    <w:rsid w:val="00497013"/>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4970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after="0"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decuadrcula5oscura-nfasis4">
    <w:name w:val="Grid Table 5 Dark Accent 4"/>
    <w:basedOn w:val="Tablanormal"/>
    <w:uiPriority w:val="50"/>
    <w:rsid w:val="0038682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4">
    <w:name w:val="Grid Table 4 Accent 4"/>
    <w:basedOn w:val="Tablanormal"/>
    <w:uiPriority w:val="49"/>
    <w:rsid w:val="00132B57"/>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onicet.gov.ar/handle/11336/162758" TargetMode="Externa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i.conicet.gov.ar/handle/11336/1627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ACA7-C0EA-4658-A18F-AA262F04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26293</Words>
  <Characters>144614</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Admin</cp:lastModifiedBy>
  <cp:revision>7</cp:revision>
  <cp:lastPrinted>2023-07-11T03:47:00Z</cp:lastPrinted>
  <dcterms:created xsi:type="dcterms:W3CDTF">2025-04-03T15:05:00Z</dcterms:created>
  <dcterms:modified xsi:type="dcterms:W3CDTF">2025-04-03T18:22:00Z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