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4D5761" w14:textId="77777777" w:rsidR="00F6075E" w:rsidRPr="00756AF1" w:rsidRDefault="00F6075E" w:rsidP="00F6075E">
      <w:pPr>
        <w:pStyle w:val="Ttulo1"/>
        <w:jc w:val="center"/>
        <w:rPr>
          <w:rFonts w:cs="Arial"/>
        </w:rPr>
      </w:pPr>
      <w:r w:rsidRPr="00756AF1">
        <w:rPr>
          <w:rFonts w:cs="Arial"/>
        </w:rPr>
        <w:t xml:space="preserve">Revisión </w:t>
      </w:r>
      <w:r w:rsidRPr="00756AF1">
        <w:rPr>
          <w:rStyle w:val="ai-text"/>
          <w:rFonts w:cs="Arial"/>
        </w:rPr>
        <w:t>bibliográfica:</w:t>
      </w:r>
      <w:r w:rsidRPr="00756AF1">
        <w:rPr>
          <w:rFonts w:cs="Arial"/>
        </w:rPr>
        <w:t xml:space="preserve"> LOS MODELOS DE SIMULACIÓN DE CULTIVOS COMO HERRAMIENTA DE INTELIGENCIA </w:t>
      </w:r>
      <w:r w:rsidRPr="00756AF1">
        <w:rPr>
          <w:rStyle w:val="ai-text"/>
          <w:rFonts w:cs="Arial"/>
        </w:rPr>
        <w:t>ARTIFICIAL.</w:t>
      </w:r>
    </w:p>
    <w:p w14:paraId="5F1DD829" w14:textId="77777777" w:rsidR="00F6075E" w:rsidRPr="00756AF1" w:rsidRDefault="00F6075E" w:rsidP="00F6075E">
      <w:pPr>
        <w:pStyle w:val="NormalWeb"/>
        <w:rPr>
          <w:rFonts w:ascii="Arial" w:hAnsi="Arial" w:cs="Arial"/>
        </w:rPr>
      </w:pPr>
      <w:r w:rsidRPr="00756AF1">
        <w:rPr>
          <w:rFonts w:ascii="Arial" w:hAnsi="Arial" w:cs="Arial"/>
        </w:rPr>
        <w:t>Daniel Fernandez Sotolongo</w:t>
      </w:r>
    </w:p>
    <w:p w14:paraId="6D803014" w14:textId="77777777" w:rsidR="00CF35ED" w:rsidRPr="00756AF1" w:rsidRDefault="00F6075E" w:rsidP="00F6075E">
      <w:pPr>
        <w:pStyle w:val="NormalWeb"/>
        <w:rPr>
          <w:rFonts w:ascii="Arial" w:hAnsi="Arial" w:cs="Arial"/>
        </w:rPr>
      </w:pPr>
      <w:r w:rsidRPr="00756AF1">
        <w:rPr>
          <w:rFonts w:ascii="Arial" w:hAnsi="Arial" w:cs="Arial"/>
        </w:rPr>
        <w:t xml:space="preserve">Instituto Nacional de Ciencias Agrícolas </w:t>
      </w:r>
    </w:p>
    <w:p w14:paraId="16FA9861" w14:textId="1482093C" w:rsidR="00F6075E" w:rsidRPr="00756AF1" w:rsidRDefault="00756AF1" w:rsidP="00F6075E">
      <w:pPr>
        <w:pStyle w:val="NormalWeb"/>
        <w:rPr>
          <w:rFonts w:ascii="Arial" w:hAnsi="Arial" w:cs="Arial"/>
        </w:rPr>
      </w:pPr>
      <w:hyperlink r:id="rId5" w:history="1">
        <w:r w:rsidR="00CF35ED" w:rsidRPr="00756AF1">
          <w:rPr>
            <w:rStyle w:val="Hipervnculo"/>
            <w:rFonts w:ascii="Arial" w:hAnsi="Arial" w:cs="Arial"/>
          </w:rPr>
          <w:t>https://orcid.org/0009-0005-2267-5193</w:t>
        </w:r>
      </w:hyperlink>
    </w:p>
    <w:p w14:paraId="26B481E7" w14:textId="77777777" w:rsidR="00F6075E" w:rsidRPr="00756AF1" w:rsidRDefault="00F6075E" w:rsidP="00F6075E">
      <w:pPr>
        <w:pStyle w:val="NormalWeb"/>
        <w:rPr>
          <w:rFonts w:ascii="Arial" w:hAnsi="Arial" w:cs="Arial"/>
        </w:rPr>
      </w:pPr>
      <w:r w:rsidRPr="00756AF1">
        <w:rPr>
          <w:rFonts w:ascii="Arial" w:hAnsi="Arial" w:cs="Arial"/>
        </w:rPr>
        <w:t>René Florido Bacallao</w:t>
      </w:r>
    </w:p>
    <w:p w14:paraId="75E84B63" w14:textId="77777777" w:rsidR="00F6075E" w:rsidRPr="00756AF1" w:rsidRDefault="00F6075E" w:rsidP="00F6075E">
      <w:pPr>
        <w:pStyle w:val="NormalWeb"/>
        <w:rPr>
          <w:rFonts w:ascii="Arial" w:hAnsi="Arial" w:cs="Arial"/>
        </w:rPr>
      </w:pPr>
      <w:r w:rsidRPr="00756AF1">
        <w:rPr>
          <w:rFonts w:ascii="Arial" w:hAnsi="Arial" w:cs="Arial"/>
        </w:rPr>
        <w:t>Instituto Nacional de Ciencias Agrícolas</w:t>
      </w:r>
    </w:p>
    <w:p w14:paraId="6BA11850" w14:textId="77777777" w:rsidR="00F6075E" w:rsidRPr="00756AF1" w:rsidRDefault="00756AF1" w:rsidP="00F6075E">
      <w:pPr>
        <w:pStyle w:val="NormalWeb"/>
        <w:rPr>
          <w:rFonts w:ascii="Arial" w:hAnsi="Arial" w:cs="Arial"/>
        </w:rPr>
      </w:pPr>
      <w:hyperlink r:id="rId6" w:tgtFrame="_blank" w:history="1">
        <w:r w:rsidR="00F6075E" w:rsidRPr="00756AF1">
          <w:rPr>
            <w:rStyle w:val="Hipervnculo"/>
            <w:rFonts w:ascii="Arial" w:hAnsi="Arial" w:cs="Arial"/>
          </w:rPr>
          <w:t>https://orcid.org/0000-0003-4494-660X</w:t>
        </w:r>
      </w:hyperlink>
    </w:p>
    <w:p w14:paraId="1E2E9EF0" w14:textId="77777777" w:rsidR="00F6075E" w:rsidRPr="00756AF1" w:rsidRDefault="00F6075E" w:rsidP="00F6075E">
      <w:pPr>
        <w:pStyle w:val="NormalWeb"/>
        <w:rPr>
          <w:rFonts w:ascii="Arial" w:hAnsi="Arial" w:cs="Arial"/>
        </w:rPr>
      </w:pPr>
      <w:r w:rsidRPr="00756AF1">
        <w:rPr>
          <w:rFonts w:ascii="Arial" w:hAnsi="Arial" w:cs="Arial"/>
        </w:rPr>
        <w:t>Osmel Rodríguez González</w:t>
      </w:r>
    </w:p>
    <w:p w14:paraId="7D9429FC" w14:textId="77777777" w:rsidR="00F6075E" w:rsidRPr="00756AF1" w:rsidRDefault="00F6075E" w:rsidP="00F6075E">
      <w:pPr>
        <w:pStyle w:val="NormalWeb"/>
        <w:rPr>
          <w:rFonts w:ascii="Arial" w:hAnsi="Arial" w:cs="Arial"/>
        </w:rPr>
      </w:pPr>
      <w:r w:rsidRPr="00756AF1">
        <w:rPr>
          <w:rFonts w:ascii="Arial" w:hAnsi="Arial" w:cs="Arial"/>
        </w:rPr>
        <w:t xml:space="preserve">Empresa de Telecomunicaciones de Cuba </w:t>
      </w:r>
      <w:r w:rsidRPr="00756AF1">
        <w:rPr>
          <w:rStyle w:val="ai-text"/>
          <w:rFonts w:ascii="Arial" w:hAnsi="Arial" w:cs="Arial"/>
        </w:rPr>
        <w:t>S.A.</w:t>
      </w:r>
    </w:p>
    <w:p w14:paraId="381BAFB8" w14:textId="77777777" w:rsidR="00F6075E" w:rsidRPr="00756AF1" w:rsidRDefault="00756AF1" w:rsidP="00F6075E">
      <w:pPr>
        <w:pStyle w:val="NormalWeb"/>
        <w:rPr>
          <w:rFonts w:ascii="Arial" w:hAnsi="Arial" w:cs="Arial"/>
        </w:rPr>
      </w:pPr>
      <w:hyperlink r:id="rId7" w:tgtFrame="_blank" w:history="1">
        <w:r w:rsidR="00F6075E" w:rsidRPr="00756AF1">
          <w:rPr>
            <w:rStyle w:val="Hipervnculo"/>
            <w:rFonts w:ascii="Arial" w:hAnsi="Arial" w:cs="Arial"/>
          </w:rPr>
          <w:t>https://orcid.org/0000-0002-6480-9971</w:t>
        </w:r>
      </w:hyperlink>
    </w:p>
    <w:p w14:paraId="1930F366" w14:textId="77777777" w:rsidR="00F6075E" w:rsidRPr="00756AF1" w:rsidRDefault="00F6075E" w:rsidP="00F6075E">
      <w:pPr>
        <w:pStyle w:val="NormalWeb"/>
        <w:rPr>
          <w:rFonts w:ascii="Arial" w:hAnsi="Arial" w:cs="Arial"/>
        </w:rPr>
      </w:pPr>
      <w:r w:rsidRPr="00756AF1">
        <w:rPr>
          <w:rFonts w:ascii="Arial" w:hAnsi="Arial" w:cs="Arial"/>
        </w:rPr>
        <w:t> </w:t>
      </w:r>
    </w:p>
    <w:p w14:paraId="05F64376" w14:textId="77777777" w:rsidR="00F6075E" w:rsidRPr="00756AF1" w:rsidRDefault="00F6075E" w:rsidP="00F6075E">
      <w:pPr>
        <w:pStyle w:val="NormalWeb"/>
        <w:rPr>
          <w:rFonts w:ascii="Arial" w:hAnsi="Arial" w:cs="Arial"/>
        </w:rPr>
      </w:pPr>
      <w:r w:rsidRPr="00756AF1">
        <w:rPr>
          <w:rStyle w:val="Ttulo2Car"/>
          <w:rFonts w:cs="Arial"/>
        </w:rPr>
        <w:t>Resumen</w:t>
      </w:r>
      <w:r w:rsidRPr="00756AF1">
        <w:rPr>
          <w:rStyle w:val="ai-text"/>
          <w:rFonts w:ascii="Arial" w:hAnsi="Arial" w:cs="Arial"/>
        </w:rPr>
        <w:t>.</w:t>
      </w:r>
    </w:p>
    <w:p w14:paraId="5E8A7D0D" w14:textId="174ED399" w:rsidR="00F6075E" w:rsidRPr="00756AF1" w:rsidRDefault="00F6075E" w:rsidP="00F6075E">
      <w:pPr>
        <w:pStyle w:val="NormalWeb"/>
        <w:rPr>
          <w:rFonts w:ascii="Arial" w:hAnsi="Arial" w:cs="Arial"/>
        </w:rPr>
      </w:pPr>
      <w:r w:rsidRPr="00756AF1">
        <w:rPr>
          <w:rFonts w:ascii="Arial" w:hAnsi="Arial" w:cs="Arial"/>
        </w:rPr>
        <w:t xml:space="preserve">Se realizó una revisión bibliográfica sobre el uso de los modelos de simulación de cultivos como herramienta de inteligencia </w:t>
      </w:r>
      <w:r w:rsidRPr="00756AF1">
        <w:rPr>
          <w:rStyle w:val="ai-text"/>
          <w:rFonts w:ascii="Arial" w:hAnsi="Arial" w:cs="Arial"/>
        </w:rPr>
        <w:t>artificial. El</w:t>
      </w:r>
      <w:r w:rsidRPr="00756AF1">
        <w:rPr>
          <w:rFonts w:ascii="Arial" w:hAnsi="Arial" w:cs="Arial"/>
        </w:rPr>
        <w:t xml:space="preserve"> objetivo </w:t>
      </w:r>
      <w:r w:rsidRPr="00756AF1">
        <w:rPr>
          <w:rStyle w:val="ai-text"/>
          <w:rFonts w:ascii="Arial" w:hAnsi="Arial" w:cs="Arial"/>
        </w:rPr>
        <w:t>fue</w:t>
      </w:r>
      <w:r w:rsidRPr="00756AF1">
        <w:rPr>
          <w:rFonts w:ascii="Arial" w:hAnsi="Arial" w:cs="Arial"/>
        </w:rPr>
        <w:t xml:space="preserve"> dar a conocer la importancia del uso de los mismos, los diferentes que se pueden utilizar, sus ventajas y desventajas, así como los impactos económicos, </w:t>
      </w:r>
      <w:r w:rsidRPr="00756AF1">
        <w:rPr>
          <w:rStyle w:val="ai-text"/>
          <w:rFonts w:ascii="Arial" w:hAnsi="Arial" w:cs="Arial"/>
        </w:rPr>
        <w:t>sociales</w:t>
      </w:r>
      <w:r w:rsidRPr="00756AF1">
        <w:rPr>
          <w:rFonts w:ascii="Arial" w:hAnsi="Arial" w:cs="Arial"/>
        </w:rPr>
        <w:t xml:space="preserve"> y </w:t>
      </w:r>
      <w:r w:rsidRPr="00756AF1">
        <w:rPr>
          <w:rStyle w:val="ai-text"/>
          <w:rFonts w:ascii="Arial" w:hAnsi="Arial" w:cs="Arial"/>
        </w:rPr>
        <w:t>ambientales.</w:t>
      </w:r>
      <w:r w:rsidRPr="00756AF1">
        <w:rPr>
          <w:rFonts w:ascii="Arial" w:hAnsi="Arial" w:cs="Arial"/>
        </w:rPr>
        <w:t xml:space="preserve"> Se presenta un resumen de algunos conceptos relacionados con la inteligencia artificial y los modelos de simulación de cultivos. Los resultados de esta revisión </w:t>
      </w:r>
      <w:r w:rsidRPr="00756AF1">
        <w:rPr>
          <w:rStyle w:val="ai-text"/>
          <w:rFonts w:ascii="Arial" w:hAnsi="Arial" w:cs="Arial"/>
        </w:rPr>
        <w:t>destacan</w:t>
      </w:r>
      <w:r w:rsidRPr="00756AF1">
        <w:rPr>
          <w:rFonts w:ascii="Arial" w:hAnsi="Arial" w:cs="Arial"/>
        </w:rPr>
        <w:t xml:space="preserve"> el impacto de estas tecnologías para contribuir al desarrollo de sistemas agrícolas más eficientes y sostenibles. Este trabajo ofrece un marco teórico referencial que </w:t>
      </w:r>
      <w:r w:rsidRPr="00756AF1">
        <w:rPr>
          <w:rStyle w:val="ai-text"/>
          <w:rFonts w:ascii="Arial" w:hAnsi="Arial" w:cs="Arial"/>
        </w:rPr>
        <w:t>es</w:t>
      </w:r>
      <w:r w:rsidRPr="00756AF1">
        <w:rPr>
          <w:rFonts w:ascii="Arial" w:hAnsi="Arial" w:cs="Arial"/>
        </w:rPr>
        <w:t xml:space="preserve"> útil para orientar investigaciones futuras y </w:t>
      </w:r>
      <w:r w:rsidRPr="00756AF1">
        <w:rPr>
          <w:rStyle w:val="ai-text"/>
          <w:rFonts w:ascii="Arial" w:hAnsi="Arial" w:cs="Arial"/>
        </w:rPr>
        <w:t>guiar</w:t>
      </w:r>
      <w:r w:rsidRPr="00756AF1">
        <w:rPr>
          <w:rFonts w:ascii="Arial" w:hAnsi="Arial" w:cs="Arial"/>
        </w:rPr>
        <w:t xml:space="preserve"> a productores hacia prácticas resilientes frente al cambio climático.</w:t>
      </w:r>
      <w:r w:rsidR="00AF2EA5" w:rsidRPr="00756AF1">
        <w:rPr>
          <w:rFonts w:ascii="Arial" w:hAnsi="Arial" w:cs="Arial"/>
        </w:rPr>
        <w:br/>
      </w:r>
      <w:r w:rsidR="00AF2EA5" w:rsidRPr="00756AF1">
        <w:rPr>
          <w:rFonts w:ascii="Arial" w:hAnsi="Arial" w:cs="Arial"/>
        </w:rPr>
        <w:br/>
      </w:r>
      <w:r w:rsidRPr="00756AF1">
        <w:rPr>
          <w:rFonts w:ascii="Arial" w:hAnsi="Arial" w:cs="Arial"/>
        </w:rPr>
        <w:t xml:space="preserve">Palabras </w:t>
      </w:r>
      <w:r w:rsidRPr="00756AF1">
        <w:rPr>
          <w:rStyle w:val="ai-text"/>
          <w:rFonts w:ascii="Arial" w:hAnsi="Arial" w:cs="Arial"/>
        </w:rPr>
        <w:t>clave:</w:t>
      </w:r>
      <w:r w:rsidRPr="00756AF1">
        <w:rPr>
          <w:rStyle w:val="Textoennegrita"/>
          <w:rFonts w:ascii="Arial" w:hAnsi="Arial" w:cs="Arial"/>
        </w:rPr>
        <w:t xml:space="preserve"> </w:t>
      </w:r>
      <w:r w:rsidRPr="00756AF1">
        <w:rPr>
          <w:rFonts w:ascii="Arial" w:hAnsi="Arial" w:cs="Arial"/>
        </w:rPr>
        <w:t xml:space="preserve">modelos de simulación de cultivos, </w:t>
      </w:r>
      <w:r w:rsidRPr="00756AF1">
        <w:rPr>
          <w:rStyle w:val="ai-text"/>
          <w:rFonts w:ascii="Arial" w:hAnsi="Arial" w:cs="Arial"/>
        </w:rPr>
        <w:t>inteligencia</w:t>
      </w:r>
      <w:r w:rsidRPr="00756AF1">
        <w:rPr>
          <w:rFonts w:ascii="Arial" w:hAnsi="Arial" w:cs="Arial"/>
        </w:rPr>
        <w:t xml:space="preserve"> artificial,</w:t>
      </w:r>
      <w:r w:rsidRPr="00756AF1">
        <w:rPr>
          <w:rStyle w:val="Textoennegrita"/>
          <w:rFonts w:ascii="Arial" w:hAnsi="Arial" w:cs="Arial"/>
        </w:rPr>
        <w:t xml:space="preserve"> </w:t>
      </w:r>
      <w:r w:rsidRPr="00756AF1">
        <w:rPr>
          <w:rStyle w:val="ai-text"/>
          <w:rFonts w:ascii="Arial" w:hAnsi="Arial" w:cs="Arial"/>
        </w:rPr>
        <w:t>DSSAT.</w:t>
      </w:r>
    </w:p>
    <w:p w14:paraId="136D4538" w14:textId="77777777" w:rsidR="003F1D31" w:rsidRPr="00756AF1" w:rsidRDefault="003F1D31">
      <w:pPr>
        <w:rPr>
          <w:rFonts w:ascii="Arial" w:eastAsia="Times New Roman" w:hAnsi="Arial" w:cs="Arial"/>
          <w:b/>
          <w:bCs/>
          <w:sz w:val="28"/>
          <w:szCs w:val="36"/>
          <w:lang w:val="es-ES" w:eastAsia="es-ES"/>
        </w:rPr>
      </w:pPr>
      <w:r w:rsidRPr="00756AF1">
        <w:rPr>
          <w:rFonts w:ascii="Arial" w:hAnsi="Arial" w:cs="Arial"/>
          <w:lang w:val="es-ES"/>
        </w:rPr>
        <w:br w:type="page"/>
      </w:r>
    </w:p>
    <w:p w14:paraId="491D291B" w14:textId="1BBBEC84" w:rsidR="00187767" w:rsidRPr="00756AF1" w:rsidRDefault="00187767" w:rsidP="00187767">
      <w:pPr>
        <w:pStyle w:val="Ttulo2"/>
        <w:rPr>
          <w:rFonts w:cs="Arial"/>
          <w:lang w:val="en-US"/>
        </w:rPr>
      </w:pPr>
      <w:r w:rsidRPr="00756AF1">
        <w:rPr>
          <w:rFonts w:cs="Arial"/>
          <w:lang w:val="en-US"/>
        </w:rPr>
        <w:lastRenderedPageBreak/>
        <w:t>ABSTRACT</w:t>
      </w:r>
    </w:p>
    <w:p w14:paraId="092AA729" w14:textId="77777777" w:rsidR="00187767" w:rsidRPr="00756AF1" w:rsidRDefault="00187767" w:rsidP="00187767">
      <w:pPr>
        <w:spacing w:before="100" w:beforeAutospacing="1" w:after="100" w:afterAutospacing="1" w:line="240" w:lineRule="auto"/>
        <w:rPr>
          <w:rFonts w:ascii="Arial" w:eastAsia="Times New Roman" w:hAnsi="Arial" w:cs="Arial"/>
          <w:sz w:val="24"/>
          <w:szCs w:val="24"/>
          <w:lang w:eastAsia="es-ES"/>
        </w:rPr>
      </w:pPr>
      <w:r w:rsidRPr="00756AF1">
        <w:rPr>
          <w:rFonts w:ascii="Arial" w:eastAsia="Times New Roman" w:hAnsi="Arial" w:cs="Arial"/>
          <w:sz w:val="24"/>
          <w:szCs w:val="24"/>
          <w:lang w:eastAsia="es-ES"/>
        </w:rPr>
        <w:t>A literature review was carried out on the use of crop simulation models as a tool for artificial intelligence. The objective was to highlight the importance of their use, the different ones that can be used, their advantages and disadvantages, as well as the economic, social and environmental impacts. A summary of some concepts related to artificial intelligence and crop simulation models is presented. The results of this review highlight the impact of these technologies to contribute to the development of more efficient and sustainable agricultural systems. This work offers a referential theoretical framework that is useful to guide future research and guide producers towards resilient practices in the face of climate change.</w:t>
      </w:r>
    </w:p>
    <w:p w14:paraId="54FA9090" w14:textId="620530D6" w:rsidR="00CF35ED" w:rsidRPr="00756AF1" w:rsidRDefault="00187767" w:rsidP="003F1D31">
      <w:pPr>
        <w:rPr>
          <w:rFonts w:ascii="Arial" w:hAnsi="Arial" w:cs="Arial"/>
        </w:rPr>
      </w:pPr>
      <w:r w:rsidRPr="00756AF1">
        <w:rPr>
          <w:rFonts w:ascii="Arial" w:hAnsi="Arial" w:cs="Arial"/>
        </w:rPr>
        <w:t>Key words:</w:t>
      </w:r>
      <w:r w:rsidR="003F1D31" w:rsidRPr="00756AF1">
        <w:rPr>
          <w:rFonts w:ascii="Arial" w:hAnsi="Arial" w:cs="Arial"/>
        </w:rPr>
        <w:t xml:space="preserve"> crop simulation models, artificial intelligence, DSSAT.</w:t>
      </w:r>
    </w:p>
    <w:p w14:paraId="01EC5170" w14:textId="56960996" w:rsidR="00F6075E" w:rsidRPr="00756AF1" w:rsidRDefault="00F6075E" w:rsidP="00F6075E">
      <w:pPr>
        <w:pStyle w:val="Ttulo2"/>
        <w:rPr>
          <w:rFonts w:cs="Arial"/>
        </w:rPr>
      </w:pPr>
      <w:r w:rsidRPr="00756AF1">
        <w:rPr>
          <w:rFonts w:cs="Arial"/>
        </w:rPr>
        <w:t>Introducción</w:t>
      </w:r>
    </w:p>
    <w:p w14:paraId="61FCF6E0" w14:textId="120A738D" w:rsidR="00F6075E" w:rsidRPr="00756AF1" w:rsidRDefault="00F6075E" w:rsidP="00F6075E">
      <w:pPr>
        <w:pStyle w:val="NormalWeb"/>
        <w:rPr>
          <w:rFonts w:ascii="Arial" w:hAnsi="Arial" w:cs="Arial"/>
        </w:rPr>
      </w:pPr>
      <w:r w:rsidRPr="00756AF1">
        <w:rPr>
          <w:rFonts w:ascii="Arial" w:hAnsi="Arial" w:cs="Arial"/>
        </w:rPr>
        <w:t xml:space="preserve">La </w:t>
      </w:r>
      <w:r w:rsidRPr="00756AF1">
        <w:rPr>
          <w:rStyle w:val="ai-text"/>
          <w:rFonts w:ascii="Arial" w:hAnsi="Arial" w:cs="Arial"/>
        </w:rPr>
        <w:t>inteligencia</w:t>
      </w:r>
      <w:r w:rsidRPr="00756AF1">
        <w:rPr>
          <w:rFonts w:ascii="Arial" w:hAnsi="Arial" w:cs="Arial"/>
        </w:rPr>
        <w:t xml:space="preserve"> artificial ha surgido como una herramienta revolucionaria para el desarrollo </w:t>
      </w:r>
      <w:r w:rsidRPr="00756AF1">
        <w:rPr>
          <w:rStyle w:val="ai-text"/>
          <w:rFonts w:ascii="Arial" w:hAnsi="Arial" w:cs="Arial"/>
        </w:rPr>
        <w:t>tecnológico. En</w:t>
      </w:r>
      <w:r w:rsidRPr="00756AF1">
        <w:rPr>
          <w:rFonts w:ascii="Arial" w:hAnsi="Arial" w:cs="Arial"/>
        </w:rPr>
        <w:t xml:space="preserve"> sus </w:t>
      </w:r>
      <w:r w:rsidRPr="00756AF1">
        <w:rPr>
          <w:rStyle w:val="ai-text"/>
          <w:rFonts w:ascii="Arial" w:hAnsi="Arial" w:cs="Arial"/>
        </w:rPr>
        <w:t>inicios,</w:t>
      </w:r>
      <w:r w:rsidRPr="00756AF1">
        <w:rPr>
          <w:rFonts w:ascii="Arial" w:hAnsi="Arial" w:cs="Arial"/>
        </w:rPr>
        <w:t xml:space="preserve"> estuvo relacionada con la comunidad científica y la ciencia </w:t>
      </w:r>
      <w:r w:rsidRPr="00756AF1">
        <w:rPr>
          <w:rStyle w:val="ai-text"/>
          <w:rFonts w:ascii="Arial" w:hAnsi="Arial" w:cs="Arial"/>
        </w:rPr>
        <w:t>ficción;</w:t>
      </w:r>
      <w:r w:rsidRPr="00756AF1">
        <w:rPr>
          <w:rFonts w:ascii="Arial" w:hAnsi="Arial" w:cs="Arial"/>
        </w:rPr>
        <w:t xml:space="preserve"> en la actualidad se evidencia su creciente aplicación a todas las actividades humanas, lo que </w:t>
      </w:r>
      <w:r w:rsidRPr="00756AF1">
        <w:rPr>
          <w:rStyle w:val="ai-text"/>
          <w:rFonts w:ascii="Arial" w:hAnsi="Arial" w:cs="Arial"/>
        </w:rPr>
        <w:t>sugiere</w:t>
      </w:r>
      <w:r w:rsidRPr="00756AF1">
        <w:rPr>
          <w:rFonts w:ascii="Arial" w:hAnsi="Arial" w:cs="Arial"/>
        </w:rPr>
        <w:t xml:space="preserve"> un futuro más </w:t>
      </w:r>
      <w:r w:rsidRPr="00756AF1">
        <w:rPr>
          <w:rStyle w:val="ai-text"/>
          <w:rFonts w:ascii="Arial" w:hAnsi="Arial" w:cs="Arial"/>
        </w:rPr>
        <w:t>prometedor</w:t>
      </w:r>
      <w:r w:rsidRPr="00756AF1">
        <w:rPr>
          <w:rFonts w:ascii="Arial" w:hAnsi="Arial" w:cs="Arial"/>
        </w:rPr>
        <w:t xml:space="preserve"> de esta disciplina en todos los sectores de la sociedad. </w:t>
      </w:r>
      <w:r w:rsidRPr="00756AF1">
        <w:rPr>
          <w:rFonts w:ascii="Arial" w:hAnsi="Arial" w:cs="Arial"/>
        </w:rPr>
        <w:fldChar w:fldCharType="begin"/>
      </w:r>
      <w:r w:rsidRPr="00756AF1">
        <w:rPr>
          <w:rFonts w:ascii="Arial" w:hAnsi="Arial" w:cs="Arial"/>
        </w:rPr>
        <w:instrText xml:space="preserve"> ADDIN ZOTERO_ITEM CSL_CITATION {"citationID":"Lk8yVRnv","properties":{"formattedCitation":"(Melgar, 2021)","plainCitation":"(Melgar, 2021)","noteIndex":0},"citationItems":[{"id":3612,"uris":["http://zotero.org/users/13364072/items/5GGVQGQX"],"itemData":{"id":3612,"type":"document","publisher":"Cengicaña","source":"Google Scholar","title":"Inteligencia artificial aplicada a la agricultura","author":[{"family":"Melgar","given":"Mario"}],"issued":{"date-parts":[["2021"]]},"citation-key":"melgarInteligenciaArtificialAplicada2021a"}}],"schema":"https://github.com/citation-style-language/schema/raw/master/csl-citation.json"} </w:instrText>
      </w:r>
      <w:r w:rsidRPr="00756AF1">
        <w:rPr>
          <w:rFonts w:ascii="Arial" w:hAnsi="Arial" w:cs="Arial"/>
        </w:rPr>
        <w:fldChar w:fldCharType="separate"/>
      </w:r>
      <w:r w:rsidRPr="00756AF1">
        <w:rPr>
          <w:rFonts w:ascii="Arial" w:hAnsi="Arial" w:cs="Arial"/>
        </w:rPr>
        <w:t>(Melgar, 2021)</w:t>
      </w:r>
      <w:r w:rsidRPr="00756AF1">
        <w:rPr>
          <w:rFonts w:ascii="Arial" w:hAnsi="Arial" w:cs="Arial"/>
        </w:rPr>
        <w:fldChar w:fldCharType="end"/>
      </w:r>
    </w:p>
    <w:p w14:paraId="4097CA44" w14:textId="2D230B58" w:rsidR="00F6075E" w:rsidRPr="00756AF1" w:rsidRDefault="00F6075E" w:rsidP="00F6075E">
      <w:pPr>
        <w:pStyle w:val="NormalWeb"/>
        <w:rPr>
          <w:rFonts w:ascii="Arial" w:hAnsi="Arial" w:cs="Arial"/>
        </w:rPr>
      </w:pPr>
      <w:r w:rsidRPr="00756AF1">
        <w:rPr>
          <w:rFonts w:ascii="Arial" w:hAnsi="Arial" w:cs="Arial"/>
        </w:rPr>
        <w:t xml:space="preserve">La IA se ha utilizado para predecir el </w:t>
      </w:r>
      <w:r w:rsidRPr="00756AF1">
        <w:rPr>
          <w:rStyle w:val="ai-text"/>
          <w:rFonts w:ascii="Arial" w:hAnsi="Arial" w:cs="Arial"/>
        </w:rPr>
        <w:t>clima. Esto proporciona</w:t>
      </w:r>
      <w:r w:rsidRPr="00756AF1">
        <w:rPr>
          <w:rFonts w:ascii="Arial" w:hAnsi="Arial" w:cs="Arial"/>
        </w:rPr>
        <w:t xml:space="preserve"> información a los agricultores</w:t>
      </w:r>
      <w:r w:rsidRPr="00756AF1">
        <w:rPr>
          <w:rStyle w:val="ai-text"/>
          <w:rFonts w:ascii="Arial" w:hAnsi="Arial" w:cs="Arial"/>
        </w:rPr>
        <w:t xml:space="preserve"> para </w:t>
      </w:r>
      <w:r w:rsidRPr="00756AF1">
        <w:rPr>
          <w:rFonts w:ascii="Arial" w:hAnsi="Arial" w:cs="Arial"/>
        </w:rPr>
        <w:t xml:space="preserve">decidir cuándo sembrar, </w:t>
      </w:r>
      <w:r w:rsidRPr="00756AF1">
        <w:rPr>
          <w:rStyle w:val="ai-text"/>
          <w:rFonts w:ascii="Arial" w:hAnsi="Arial" w:cs="Arial"/>
        </w:rPr>
        <w:t>protegiéndolos</w:t>
      </w:r>
      <w:r w:rsidRPr="00756AF1">
        <w:rPr>
          <w:rFonts w:ascii="Arial" w:hAnsi="Arial" w:cs="Arial"/>
        </w:rPr>
        <w:t xml:space="preserve"> de condiciones meteorológicas </w:t>
      </w:r>
      <w:r w:rsidRPr="00756AF1">
        <w:rPr>
          <w:rStyle w:val="ai-text"/>
          <w:rFonts w:ascii="Arial" w:hAnsi="Arial" w:cs="Arial"/>
        </w:rPr>
        <w:t>adversas</w:t>
      </w:r>
      <w:r w:rsidRPr="00756AF1">
        <w:rPr>
          <w:rFonts w:ascii="Arial" w:hAnsi="Arial" w:cs="Arial"/>
        </w:rPr>
        <w:t xml:space="preserve"> </w:t>
      </w:r>
      <w:r w:rsidRPr="00756AF1">
        <w:rPr>
          <w:rStyle w:val="ai-text"/>
          <w:rFonts w:ascii="Arial" w:hAnsi="Arial" w:cs="Arial"/>
        </w:rPr>
        <w:t>y permitiendo</w:t>
      </w:r>
      <w:r w:rsidRPr="00756AF1">
        <w:rPr>
          <w:rFonts w:ascii="Arial" w:hAnsi="Arial" w:cs="Arial"/>
        </w:rPr>
        <w:t xml:space="preserve"> el seguimiento en tiempo real de los cultivos, detectando enfermedades y carencias de </w:t>
      </w:r>
      <w:r w:rsidRPr="00756AF1">
        <w:rPr>
          <w:rStyle w:val="ai-text"/>
          <w:rFonts w:ascii="Arial" w:hAnsi="Arial" w:cs="Arial"/>
        </w:rPr>
        <w:t>nutrientes.</w:t>
      </w:r>
      <w:r w:rsidRPr="00756AF1">
        <w:rPr>
          <w:rFonts w:ascii="Arial" w:hAnsi="Arial" w:cs="Arial"/>
        </w:rPr>
        <w:t xml:space="preserve"> Asimismo, estas tecnologías ayudan a los agricultores a tomar acciones preventivas para obtener los mayores rendimientos y los más económicos, </w:t>
      </w:r>
      <w:r w:rsidRPr="00756AF1">
        <w:rPr>
          <w:rStyle w:val="ai-text"/>
          <w:rFonts w:ascii="Arial" w:hAnsi="Arial" w:cs="Arial"/>
        </w:rPr>
        <w:t>definiendo</w:t>
      </w:r>
      <w:r w:rsidRPr="00756AF1">
        <w:rPr>
          <w:rFonts w:ascii="Arial" w:hAnsi="Arial" w:cs="Arial"/>
        </w:rPr>
        <w:t xml:space="preserve"> la cantidad de riego y fertilizante, así como el momento más </w:t>
      </w:r>
      <w:r w:rsidRPr="00756AF1">
        <w:rPr>
          <w:rStyle w:val="ai-text"/>
          <w:rFonts w:ascii="Arial" w:hAnsi="Arial" w:cs="Arial"/>
        </w:rPr>
        <w:t>adecuado</w:t>
      </w:r>
      <w:r w:rsidRPr="00756AF1">
        <w:rPr>
          <w:rFonts w:ascii="Arial" w:hAnsi="Arial" w:cs="Arial"/>
        </w:rPr>
        <w:t xml:space="preserve"> para </w:t>
      </w:r>
      <w:r w:rsidRPr="00756AF1">
        <w:rPr>
          <w:rStyle w:val="ai-text"/>
          <w:rFonts w:ascii="Arial" w:hAnsi="Arial" w:cs="Arial"/>
        </w:rPr>
        <w:t xml:space="preserve">aplicarlo </w:t>
      </w:r>
      <w:r w:rsidR="00887619" w:rsidRPr="00756AF1">
        <w:rPr>
          <w:rStyle w:val="ai-text"/>
          <w:rFonts w:ascii="Arial" w:hAnsi="Arial" w:cs="Arial"/>
        </w:rPr>
        <w:fldChar w:fldCharType="begin"/>
      </w:r>
      <w:r w:rsidR="00887619" w:rsidRPr="00756AF1">
        <w:rPr>
          <w:rStyle w:val="ai-text"/>
          <w:rFonts w:ascii="Arial" w:hAnsi="Arial" w:cs="Arial"/>
        </w:rPr>
        <w:instrText xml:space="preserve"> ADDIN ZOTERO_ITEM CSL_CITATION {"citationID":"KVb749yS","properties":{"formattedCitation":"(Kamilaris &amp; Prenafeta-Bold\\uc0\\u250{}, 2018)","plainCitation":"(Kamilaris &amp; Prenafeta-Boldú, 2018)","noteIndex":0},"citationItems":[{"id":3699,"uris":["http://zotero.org/users/13364072/items/4E73B4VB"],"itemData":{"id":3699,"type":"article-journal","abstract":"Deep learning constitutes a recent, modern technique for image processing and data analysis, with promising results and large potential. As deep learning has been successfully applied in various domains, it has recently entered also the domain of agriculture. In this paper, we perform a survey of 40 research efforts that employ deep learning techniques, applied to various agricultural and food production challenges. We examine the particular agricultural problems under study, the specific models and frameworks employed, the sources, nature and pre-processing of data used, and the overall performance achieved according to the metrics used at each work under study. Moreover, we study comparisons of deep learning with other existing popular techniques, in respect to differences in classification or regression performance. Our findings indicate that deep learning provides high accuracy, outperforming existing commonly used image processing techniques.","container-title":"Computers and Electronics in Agriculture","DOI":"10.1016/j.compag.2018.02.016","ISSN":"0168-1699","journalAbbreviation":"Computers and Electronics in Agriculture","page":"70-90","source":"ScienceDirect","title":"Deep learning in agriculture: A survey","title-short":"Deep learning in agriculture","volume":"147","author":[{"family":"Kamilaris","given":"Andreas"},{"family":"Prenafeta-Boldú","given":"Francesc X."}],"issued":{"date-parts":[["2018",4,1]]},"citation-key":"kamilarisDeepLearningAgriculture2018"}}],"schema":"https://github.com/citation-style-language/schema/raw/master/csl-citation.json"} </w:instrText>
      </w:r>
      <w:r w:rsidR="00887619" w:rsidRPr="00756AF1">
        <w:rPr>
          <w:rStyle w:val="ai-text"/>
          <w:rFonts w:ascii="Arial" w:hAnsi="Arial" w:cs="Arial"/>
        </w:rPr>
        <w:fldChar w:fldCharType="separate"/>
      </w:r>
      <w:r w:rsidR="00887619" w:rsidRPr="00756AF1">
        <w:rPr>
          <w:rFonts w:ascii="Arial" w:hAnsi="Arial" w:cs="Arial"/>
        </w:rPr>
        <w:t>(Kamilaris &amp; Prenafeta-Boldú, 2018)</w:t>
      </w:r>
      <w:r w:rsidR="00887619" w:rsidRPr="00756AF1">
        <w:rPr>
          <w:rStyle w:val="ai-text"/>
          <w:rFonts w:ascii="Arial" w:hAnsi="Arial" w:cs="Arial"/>
        </w:rPr>
        <w:fldChar w:fldCharType="end"/>
      </w:r>
      <w:r w:rsidRPr="00756AF1">
        <w:rPr>
          <w:rStyle w:val="ai-text"/>
          <w:rFonts w:ascii="Arial" w:hAnsi="Arial" w:cs="Arial"/>
        </w:rPr>
        <w:t>.</w:t>
      </w:r>
    </w:p>
    <w:p w14:paraId="41D5DAE0" w14:textId="77777777" w:rsidR="00F6075E" w:rsidRPr="00756AF1" w:rsidRDefault="00F6075E" w:rsidP="00F6075E">
      <w:pPr>
        <w:pStyle w:val="NormalWeb"/>
        <w:rPr>
          <w:rFonts w:ascii="Arial" w:hAnsi="Arial" w:cs="Arial"/>
        </w:rPr>
      </w:pPr>
      <w:r w:rsidRPr="00756AF1">
        <w:rPr>
          <w:rFonts w:ascii="Arial" w:hAnsi="Arial" w:cs="Arial"/>
        </w:rPr>
        <w:t xml:space="preserve">El sector agrícola ha sufrido cambios con el desarrollo de las tecnologías de la </w:t>
      </w:r>
      <w:r w:rsidRPr="00756AF1">
        <w:rPr>
          <w:rStyle w:val="ai-text"/>
          <w:rFonts w:ascii="Arial" w:hAnsi="Arial" w:cs="Arial"/>
        </w:rPr>
        <w:t>información</w:t>
      </w:r>
      <w:r w:rsidRPr="00756AF1">
        <w:rPr>
          <w:rFonts w:ascii="Arial" w:hAnsi="Arial" w:cs="Arial"/>
        </w:rPr>
        <w:t xml:space="preserve"> y las comunicaciones que </w:t>
      </w:r>
      <w:r w:rsidRPr="00756AF1">
        <w:rPr>
          <w:rStyle w:val="ai-text"/>
          <w:rFonts w:ascii="Arial" w:hAnsi="Arial" w:cs="Arial"/>
        </w:rPr>
        <w:t>favorecen</w:t>
      </w:r>
      <w:r w:rsidRPr="00756AF1">
        <w:rPr>
          <w:rFonts w:ascii="Arial" w:hAnsi="Arial" w:cs="Arial"/>
        </w:rPr>
        <w:t xml:space="preserve"> la utilización de términos como: sistemas de información para la toma de decisiones, modelación de cultivos, agricultura de precisión e inteligencia artificial. </w:t>
      </w:r>
      <w:r w:rsidRPr="00756AF1">
        <w:rPr>
          <w:rFonts w:ascii="Arial" w:hAnsi="Arial" w:cs="Arial"/>
        </w:rPr>
        <w:fldChar w:fldCharType="begin"/>
      </w:r>
      <w:r w:rsidRPr="00756AF1">
        <w:rPr>
          <w:rFonts w:ascii="Arial" w:hAnsi="Arial" w:cs="Arial"/>
        </w:rPr>
        <w:instrText xml:space="preserve"> ADDIN ZOTERO_ITEM CSL_CITATION {"citationID":"5yRcSILA","properties":{"formattedCitation":"(Karam et\\uc0\\u160{}al., 2024)","plainCitation":"(Karam et al., 2024)","noteIndex":0},"citationItems":[{"id":3683,"uris":["http://zotero.org/users/13364072/items/K2UZY5GH"],"itemData":{"id":3683,"type":"article-journal","abstract":"Despite technological growth and worldwide advancements in various fields, the agriculture sector continues to face numerous challenges such as desertification, environmental pollution, resource scarcity, and the excessive use of pesticides and inorganic fertilizers. These unsustainable problems in agricultural field can lead to land degradation, threaten food security, affect the economy, and put human health at risk. To mitigate these global issues, it is essential for researchers and agricultural professionals to promote advancements in smart agriculture by integrating modern technologies such as Internet of Things (IoT), Unmanned Aerial Vehicles (UAVs), Wireless Sensor Networks (WSNs), and more. Among these technologies, this paper focuses on UAVs, particularly quadcopters, which can assist in each phase of the agricultural cycle and improve productivity, quality, and sustainability. With their diverse capabilities, quadcopters have become the most widely used UAVs in smart agriculture and are frequently utilized by researchers in various projects. To explore the different aspects of quadcopters’ use in smart agriculture, this paper focuses on the following: (a) the unique advantages of quadcopters over other UAVs, including an examination of the quadcopter types particularly used in smart agriculture; (b) various agricultural missions where quadcopters are deployed, with examples highlighting their indispensable role; (c) the modelling of quadcopters, from configurations to the derivation of mathematical equations, to create a well-modelled system that closely represents real-world conditions; and (d) the challenges that must be addressed, along with suggestions for future research to ensure sustainable development. Although the use of UAVs in smart agriculture has been discussed in other papers, to the best of our knowledge, none have specifically examined the most popular among them, “quadcopters”, and their particular use in smart agriculture in terms of types, applications, and modelling techniques. Therefore, this paper provides a comprehensive survey of quadcopters’ use in smart agriculture and offers researchers and engineers valuable insights into this evolving field, presenting a roadmap for future enhancements and developments.","container-title":"Applied Sciences","DOI":"10.3390/app14199132","ISSN":"2076-3417","issue":"19","language":"en","license":"http://creativecommons.org/licenses/by/3.0/","note":"publisher: Multidisciplinary Digital Publishing Institute","page":"9132","source":"www.mdpi.com","title":"Quadcopters in Smart Agriculture: Applications and Modelling","title-short":"Quadcopters in Smart Agriculture","volume":"14","author":[{"family":"Karam","given":"Katia"},{"family":"Mansour","given":"Ali"},{"family":"Khaldi","given":"Mohamad"},{"family":"Clement","given":"Benoit"},{"family":"Ammad-Uddin","given":"Mohammad"}],"issued":{"date-parts":[["2024",1]]},"citation-key":"karamQuadcoptersSmartAgriculture2024"}}],"schema":"https://github.com/citation-style-language/schema/raw/master/csl-citation.json"} </w:instrText>
      </w:r>
      <w:r w:rsidRPr="00756AF1">
        <w:rPr>
          <w:rFonts w:ascii="Arial" w:hAnsi="Arial" w:cs="Arial"/>
        </w:rPr>
        <w:fldChar w:fldCharType="separate"/>
      </w:r>
      <w:r w:rsidRPr="00756AF1">
        <w:rPr>
          <w:rFonts w:ascii="Arial" w:hAnsi="Arial" w:cs="Arial"/>
        </w:rPr>
        <w:t>(Karam et al., 2024)</w:t>
      </w:r>
      <w:r w:rsidRPr="00756AF1">
        <w:rPr>
          <w:rFonts w:ascii="Arial" w:hAnsi="Arial" w:cs="Arial"/>
        </w:rPr>
        <w:fldChar w:fldCharType="end"/>
      </w:r>
    </w:p>
    <w:p w14:paraId="5AE466D3" w14:textId="4EEB00FE" w:rsidR="00F6075E" w:rsidRPr="00756AF1" w:rsidRDefault="00F6075E" w:rsidP="00F6075E">
      <w:pPr>
        <w:pStyle w:val="NormalWeb"/>
        <w:rPr>
          <w:rFonts w:ascii="Arial" w:hAnsi="Arial" w:cs="Arial"/>
        </w:rPr>
      </w:pPr>
      <w:r w:rsidRPr="00756AF1">
        <w:rPr>
          <w:rFonts w:ascii="Arial" w:hAnsi="Arial" w:cs="Arial"/>
        </w:rPr>
        <w:t xml:space="preserve">Estas herramientas permiten que la agricultura sea más eficiente y eficaz. Entre las principales aplicaciones de la Inteligencia Artificial en este sector se encuentra el manejo general del </w:t>
      </w:r>
      <w:r w:rsidRPr="00756AF1">
        <w:rPr>
          <w:rStyle w:val="ai-text"/>
          <w:rFonts w:ascii="Arial" w:hAnsi="Arial" w:cs="Arial"/>
        </w:rPr>
        <w:t>cultivo,</w:t>
      </w:r>
      <w:r w:rsidRPr="00756AF1">
        <w:rPr>
          <w:rFonts w:ascii="Arial" w:hAnsi="Arial" w:cs="Arial"/>
        </w:rPr>
        <w:t xml:space="preserve"> como el riego, la fertilización, información del suelo y clima, rendimiento y sus componentes </w:t>
      </w:r>
      <w:r w:rsidRPr="00756AF1">
        <w:rPr>
          <w:rFonts w:ascii="Arial" w:hAnsi="Arial" w:cs="Arial"/>
        </w:rPr>
        <w:fldChar w:fldCharType="begin"/>
      </w:r>
      <w:r w:rsidRPr="00756AF1">
        <w:rPr>
          <w:rFonts w:ascii="Arial" w:hAnsi="Arial" w:cs="Arial"/>
        </w:rPr>
        <w:instrText xml:space="preserve"> ADDIN ZOTERO_ITEM CSL_CITATION {"citationID":"qmQF0WDp","properties":{"formattedCitation":"(Melgar, 2021; Serrano et\\uc0\\u160{}al., 2024)","plainCitation":"(Melgar, 2021; Serrano et al., 2024)","noteIndex":0},"citationItems":[{"id":3612,"uris":["http://zotero.org/users/13364072/items/5GGVQGQX"],"itemData":{"id":3612,"type":"document","publisher":"Cengicaña","source":"Google Scholar","title":"Inteligencia artificial aplicada a la agricultura","author":[{"family":"Melgar","given":"Mario"}],"issued":{"date-parts":[["2021"]]},"citation-key":"melgarInteligenciaArtificialAplicada2021a"}},{"id":3679,"uris":["http://zotero.org/users/13364072/items/46EP4L3A"],"itemData":{"id":3679,"type":"article-journal","abstract":"Contemporary agriculture faces critical challenges in terms of sustainability and efficiency, in the context of constant population growth and the need for environmentally responsible agricultural practices. This study addresses the application of Artificial Intelligence (AI) in the optimization of Decision Support Systems (SSD) for agriculture, with the aim of improving crop management and resource utilization. By integrating machine learning methods and implementing predictive models, crop productivity was analyzed under various environmental conditions. The results demonstrate improved accuracy in yield prediction, with a 15% increase in water and fertilizer use efficiency compared to conventional techniques. The research also reveals a significant increase in scientific collaboration and publication in this field since 2018, highlighting the importance of AI in the future of sustainable agriculture. The study's findings underline the potential of AI-based SSDs to transform agriculture, promoting more efficient and sustainable practices that can adapt to global challenges.","container-title":"e-CUCBA","DOI":"10.32870/e-cucba.vi21.333","ISSN":"2448-5225","issue":"21","language":"es","license":"Derechos de autor 2024 Luis Tonatiuh Castellanos Serrano, María Victoria Gómez Aguila, José Alfredo Castellanos Suárez, Marcelino Aurelio Pérez Vivar","page":"150-155","source":"e-cucba.cucba.udg.mx","title":"Optimización de sistemas de soporte de decisiones en agricultura mediante IA: un enfoque integrado: Optimization of decision support systems in agriculture using AI: an integrated approach","title-short":"Optimización de sistemas de soporte de decisiones en agricultura mediante IA","author":[{"family":"Serrano","given":"Luis Tonatiuh Castellanos"},{"family":"Aguila","given":"María Victoria Gómez"},{"family":"Suárez","given":"José Alfredo Castellanos"},{"family":"Vivar","given":"Marcelino Aurelio Pérez"}],"issued":{"date-parts":[["2024"]]},"citation-key":"serranoOptimizacionSistemasSoporte2024"}}],"schema":"https://github.com/citation-style-language/schema/raw/master/csl-citation.json"} </w:instrText>
      </w:r>
      <w:r w:rsidRPr="00756AF1">
        <w:rPr>
          <w:rFonts w:ascii="Arial" w:hAnsi="Arial" w:cs="Arial"/>
        </w:rPr>
        <w:fldChar w:fldCharType="separate"/>
      </w:r>
      <w:r w:rsidRPr="00756AF1">
        <w:rPr>
          <w:rFonts w:ascii="Arial" w:hAnsi="Arial" w:cs="Arial"/>
        </w:rPr>
        <w:t>(Melgar, 2021; Serrano et al., 2024)</w:t>
      </w:r>
      <w:r w:rsidRPr="00756AF1">
        <w:rPr>
          <w:rFonts w:ascii="Arial" w:hAnsi="Arial" w:cs="Arial"/>
        </w:rPr>
        <w:fldChar w:fldCharType="end"/>
      </w:r>
    </w:p>
    <w:p w14:paraId="074980F3" w14:textId="77777777" w:rsidR="00F6075E" w:rsidRPr="00756AF1" w:rsidRDefault="00F6075E" w:rsidP="00F6075E">
      <w:pPr>
        <w:pStyle w:val="NormalWeb"/>
        <w:rPr>
          <w:rFonts w:ascii="Arial" w:hAnsi="Arial" w:cs="Arial"/>
        </w:rPr>
      </w:pPr>
      <w:r w:rsidRPr="00756AF1">
        <w:rPr>
          <w:rFonts w:ascii="Arial" w:hAnsi="Arial" w:cs="Arial"/>
        </w:rPr>
        <w:t> </w:t>
      </w:r>
    </w:p>
    <w:p w14:paraId="29E4AB04" w14:textId="77777777" w:rsidR="00F6075E" w:rsidRPr="00756AF1" w:rsidRDefault="00F6075E" w:rsidP="00F6075E">
      <w:pPr>
        <w:pStyle w:val="Ttulo2"/>
        <w:rPr>
          <w:rFonts w:cs="Arial"/>
        </w:rPr>
      </w:pPr>
      <w:r w:rsidRPr="00756AF1">
        <w:rPr>
          <w:rFonts w:cs="Arial"/>
        </w:rPr>
        <w:t xml:space="preserve">La inteligencia artificial y su aplicación en el sector </w:t>
      </w:r>
      <w:r w:rsidRPr="00756AF1">
        <w:rPr>
          <w:rStyle w:val="ai-text"/>
          <w:rFonts w:cs="Arial"/>
        </w:rPr>
        <w:t>agrícola.</w:t>
      </w:r>
    </w:p>
    <w:p w14:paraId="44818FE5" w14:textId="07999672" w:rsidR="00F6075E" w:rsidRPr="00756AF1" w:rsidRDefault="00F6075E" w:rsidP="00F6075E">
      <w:pPr>
        <w:pStyle w:val="NormalWeb"/>
        <w:rPr>
          <w:rFonts w:ascii="Arial" w:hAnsi="Arial" w:cs="Arial"/>
        </w:rPr>
      </w:pPr>
      <w:r w:rsidRPr="00756AF1">
        <w:rPr>
          <w:rFonts w:ascii="Arial" w:hAnsi="Arial" w:cs="Arial"/>
        </w:rPr>
        <w:lastRenderedPageBreak/>
        <w:t xml:space="preserve">La inteligencia artificial (IA) ha emergido como una tecnología disruptiva con aplicaciones en numerosos sectores, desde la </w:t>
      </w:r>
      <w:r w:rsidRPr="00756AF1">
        <w:rPr>
          <w:rStyle w:val="ai-text"/>
          <w:rFonts w:ascii="Arial" w:hAnsi="Arial" w:cs="Arial"/>
        </w:rPr>
        <w:t>salud</w:t>
      </w:r>
      <w:r w:rsidRPr="00756AF1">
        <w:rPr>
          <w:rFonts w:ascii="Arial" w:hAnsi="Arial" w:cs="Arial"/>
        </w:rPr>
        <w:t xml:space="preserve"> y la educación hasta la industria y el </w:t>
      </w:r>
      <w:r w:rsidRPr="00756AF1">
        <w:rPr>
          <w:rStyle w:val="ai-text"/>
          <w:rFonts w:ascii="Arial" w:hAnsi="Arial" w:cs="Arial"/>
        </w:rPr>
        <w:t>transporte. De</w:t>
      </w:r>
      <w:r w:rsidRPr="00756AF1">
        <w:rPr>
          <w:rFonts w:ascii="Arial" w:hAnsi="Arial" w:cs="Arial"/>
        </w:rPr>
        <w:t xml:space="preserve"> esta </w:t>
      </w:r>
      <w:r w:rsidRPr="00756AF1">
        <w:rPr>
          <w:rStyle w:val="ai-text"/>
          <w:rFonts w:ascii="Arial" w:hAnsi="Arial" w:cs="Arial"/>
        </w:rPr>
        <w:t>forma,</w:t>
      </w:r>
      <w:r w:rsidRPr="00756AF1">
        <w:rPr>
          <w:rFonts w:ascii="Arial" w:hAnsi="Arial" w:cs="Arial"/>
        </w:rPr>
        <w:t xml:space="preserve"> está transformando la </w:t>
      </w:r>
      <w:r w:rsidRPr="00756AF1">
        <w:rPr>
          <w:rStyle w:val="ai-text"/>
          <w:rFonts w:ascii="Arial" w:hAnsi="Arial" w:cs="Arial"/>
        </w:rPr>
        <w:t>manera</w:t>
      </w:r>
      <w:r w:rsidRPr="00756AF1">
        <w:rPr>
          <w:rFonts w:ascii="Arial" w:hAnsi="Arial" w:cs="Arial"/>
        </w:rPr>
        <w:t xml:space="preserve"> en que se abordan los desafíos globales </w:t>
      </w:r>
      <w:r w:rsidRPr="00756AF1">
        <w:rPr>
          <w:rFonts w:ascii="Arial" w:hAnsi="Arial" w:cs="Arial"/>
        </w:rPr>
        <w:fldChar w:fldCharType="begin"/>
      </w:r>
      <w:r w:rsidRPr="00756AF1">
        <w:rPr>
          <w:rFonts w:ascii="Arial" w:hAnsi="Arial" w:cs="Arial"/>
        </w:rPr>
        <w:instrText xml:space="preserve"> ADDIN ZOTERO_ITEM CSL_CITATION {"citationID":"bBtDYFKa","properties":{"formattedCitation":"(Hern\\uc0\\u225{}ndez-Salazar et\\uc0\\u160{}al., 2024)","plainCitation":"(Hernández-Salazar et al., 2024)","noteIndex":0},"citationItems":[{"id":3613,"uris":["http://zotero.org/users/13364072/items/EWNW6IDF"],"itemData":{"id":3613,"type":"article-journal","container-title":"Revista UIS Ingenierías","DOI":"10.18273/revuin.v23n4-2024012","issue":"4","page":"145","source":"Google Scholar","title":"Integración de la inteligencia artificial y la agricultura de precisión en cultivos de café","volume":"23","author":[{"family":"Hernández-Salazar","given":"Cristian Andrés"},{"family":"Estrada","given":"Octavio Andrés González"},{"family":"González-Silva","given":"Germán"}],"issued":{"date-parts":[["2024"]]},"citation-key":"hernandez-salazarIntegracionInteligenciaArtificial2024"}}],"schema":"https://github.com/citation-style-language/schema/raw/master/csl-citation.json"} </w:instrText>
      </w:r>
      <w:r w:rsidRPr="00756AF1">
        <w:rPr>
          <w:rFonts w:ascii="Arial" w:hAnsi="Arial" w:cs="Arial"/>
        </w:rPr>
        <w:fldChar w:fldCharType="separate"/>
      </w:r>
      <w:r w:rsidRPr="00756AF1">
        <w:rPr>
          <w:rFonts w:ascii="Arial" w:hAnsi="Arial" w:cs="Arial"/>
        </w:rPr>
        <w:t>(Hernández-Salazar et al., 2024)</w:t>
      </w:r>
      <w:r w:rsidRPr="00756AF1">
        <w:rPr>
          <w:rFonts w:ascii="Arial" w:hAnsi="Arial" w:cs="Arial"/>
        </w:rPr>
        <w:fldChar w:fldCharType="end"/>
      </w:r>
    </w:p>
    <w:p w14:paraId="397A1D0F" w14:textId="19AD903D" w:rsidR="00F6075E" w:rsidRPr="00756AF1" w:rsidRDefault="00F6075E" w:rsidP="00F6075E">
      <w:pPr>
        <w:pStyle w:val="NormalWeb"/>
        <w:rPr>
          <w:rFonts w:ascii="Arial" w:hAnsi="Arial" w:cs="Arial"/>
        </w:rPr>
      </w:pPr>
      <w:r w:rsidRPr="00756AF1">
        <w:rPr>
          <w:rFonts w:ascii="Arial" w:hAnsi="Arial" w:cs="Arial"/>
        </w:rPr>
        <w:t xml:space="preserve">El aspecto más importante que define a la IA es la capacidad de procesar grandes volúmenes de datos e información, identificar patrones complejos y optimizar </w:t>
      </w:r>
      <w:r w:rsidRPr="00756AF1">
        <w:rPr>
          <w:rStyle w:val="ai-text"/>
          <w:rFonts w:ascii="Arial" w:hAnsi="Arial" w:cs="Arial"/>
        </w:rPr>
        <w:t>procesos. Esta capacidad es</w:t>
      </w:r>
      <w:r w:rsidRPr="00756AF1">
        <w:rPr>
          <w:rFonts w:ascii="Arial" w:hAnsi="Arial" w:cs="Arial"/>
        </w:rPr>
        <w:t xml:space="preserve"> similar a un comportamiento inteligente que abarca aspectos de razonamiento, aprendizaje y creatividad para predecir o </w:t>
      </w:r>
      <w:r w:rsidRPr="00756AF1">
        <w:rPr>
          <w:rStyle w:val="ai-text"/>
          <w:rFonts w:ascii="Arial" w:hAnsi="Arial" w:cs="Arial"/>
        </w:rPr>
        <w:t>planear. Lo</w:t>
      </w:r>
      <w:r w:rsidRPr="00756AF1">
        <w:rPr>
          <w:rFonts w:ascii="Arial" w:hAnsi="Arial" w:cs="Arial"/>
        </w:rPr>
        <w:t xml:space="preserve"> antes expuesto demuestra sus </w:t>
      </w:r>
      <w:r w:rsidRPr="00756AF1">
        <w:rPr>
          <w:rStyle w:val="ai-text"/>
          <w:rFonts w:ascii="Arial" w:hAnsi="Arial" w:cs="Arial"/>
        </w:rPr>
        <w:t>potencialidades,</w:t>
      </w:r>
      <w:r w:rsidRPr="00756AF1">
        <w:rPr>
          <w:rFonts w:ascii="Arial" w:hAnsi="Arial" w:cs="Arial"/>
        </w:rPr>
        <w:t xml:space="preserve"> ya que este sistema informático </w:t>
      </w:r>
      <w:r w:rsidRPr="00756AF1">
        <w:rPr>
          <w:rStyle w:val="ai-text"/>
          <w:rFonts w:ascii="Arial" w:hAnsi="Arial" w:cs="Arial"/>
        </w:rPr>
        <w:t>simula</w:t>
      </w:r>
      <w:r w:rsidRPr="00756AF1">
        <w:rPr>
          <w:rFonts w:ascii="Arial" w:hAnsi="Arial" w:cs="Arial"/>
        </w:rPr>
        <w:t xml:space="preserve"> características propias de la inteligencia </w:t>
      </w:r>
      <w:r w:rsidRPr="00756AF1">
        <w:rPr>
          <w:rStyle w:val="ai-text"/>
          <w:rFonts w:ascii="Arial" w:hAnsi="Arial" w:cs="Arial"/>
        </w:rPr>
        <w:t>humana,</w:t>
      </w:r>
      <w:r w:rsidRPr="00756AF1">
        <w:rPr>
          <w:rFonts w:ascii="Arial" w:hAnsi="Arial" w:cs="Arial"/>
        </w:rPr>
        <w:t xml:space="preserve"> como la toma de decisiones. </w:t>
      </w:r>
      <w:r w:rsidRPr="00756AF1">
        <w:rPr>
          <w:rFonts w:ascii="Arial" w:hAnsi="Arial" w:cs="Arial"/>
        </w:rPr>
        <w:fldChar w:fldCharType="begin"/>
      </w:r>
      <w:r w:rsidRPr="00756AF1">
        <w:rPr>
          <w:rFonts w:ascii="Arial" w:hAnsi="Arial" w:cs="Arial"/>
        </w:rPr>
        <w:instrText xml:space="preserve"> ADDIN ZOTERO_ITEM CSL_CITATION {"citationID":"zQ2XkDdx","properties":{"formattedCitation":"(Hern\\uc0\\u225{}ndez-Salazar et\\uc0\\u160{}al., 2024; Perez-Ugena, 2024)","plainCitation":"(Hernández-Salazar et al., 2024; Perez-Ugena, 2024)","noteIndex":0},"citationItems":[{"id":3613,"uris":["http://zotero.org/users/13364072/items/EWNW6IDF"],"itemData":{"id":3613,"type":"article-journal","container-title":"Revista UIS Ingenierías","DOI":"10.18273/revuin.v23n4-2024012","issue":"4","page":"145","source":"Google Scholar","title":"Integración de la inteligencia artificial y la agricultura de precisión en cultivos de café","volume":"23","author":[{"family":"Hernández-Salazar","given":"Cristian Andrés"},{"family":"Estrada","given":"Octavio Andrés González"},{"family":"González-Silva","given":"Germán"}],"issued":{"date-parts":[["2024"]]},"citation-key":"hernandez-salazarIntegracionInteligenciaArtificial2024"}},{"id":3591,"uris":["http://zotero.org/users/13364072/items/CDZE2EA4"],"itemData":{"id":3591,"type":"article-journal","DOI":"10.18543/ed.3108","note":"publisher: Facultad de Derecho, Universidad de Deusto","source":"Google Scholar","title":"La inteligencia artificial: definición, regulación y riesgos para los derechos fundamentales","title-short":"La inteligencia artificial","URL":"https://burjcdigital.urjc.es/items/8d7be011-5b6d-4ace-a1e7-267746bd3de0","author":[{"family":"Perez-Ugena","given":"María"}],"accessed":{"date-parts":[["2025",9,19]]},"issued":{"date-parts":[["2024"]]},"citation-key":"perez-ugenaInteligenciaArtificialDefinicion2024"}}],"schema":"https://github.com/citation-style-language/schema/raw/master/csl-citation.json"} </w:instrText>
      </w:r>
      <w:r w:rsidRPr="00756AF1">
        <w:rPr>
          <w:rFonts w:ascii="Arial" w:hAnsi="Arial" w:cs="Arial"/>
        </w:rPr>
        <w:fldChar w:fldCharType="separate"/>
      </w:r>
      <w:r w:rsidRPr="00756AF1">
        <w:rPr>
          <w:rFonts w:ascii="Arial" w:hAnsi="Arial" w:cs="Arial"/>
        </w:rPr>
        <w:t>(Hernández-Salazar et al., 2024; Perez-Ugena, 2024)</w:t>
      </w:r>
      <w:r w:rsidRPr="00756AF1">
        <w:rPr>
          <w:rFonts w:ascii="Arial" w:hAnsi="Arial" w:cs="Arial"/>
        </w:rPr>
        <w:fldChar w:fldCharType="end"/>
      </w:r>
    </w:p>
    <w:p w14:paraId="1CB98C43" w14:textId="5578C75C" w:rsidR="00F6075E" w:rsidRPr="00756AF1" w:rsidRDefault="00F6075E" w:rsidP="00F6075E">
      <w:pPr>
        <w:pStyle w:val="NormalWeb"/>
        <w:rPr>
          <w:rFonts w:ascii="Arial" w:hAnsi="Arial" w:cs="Arial"/>
        </w:rPr>
      </w:pPr>
      <w:r w:rsidRPr="00756AF1">
        <w:rPr>
          <w:rStyle w:val="ai-text"/>
          <w:rFonts w:ascii="Arial" w:hAnsi="Arial" w:cs="Arial"/>
        </w:rPr>
        <w:t>En los últimos años, el</w:t>
      </w:r>
      <w:r w:rsidRPr="00756AF1">
        <w:rPr>
          <w:rFonts w:ascii="Arial" w:hAnsi="Arial" w:cs="Arial"/>
        </w:rPr>
        <w:t xml:space="preserve"> desarrollo tecnológico ha </w:t>
      </w:r>
      <w:r w:rsidRPr="00756AF1">
        <w:rPr>
          <w:rStyle w:val="ai-text"/>
          <w:rFonts w:ascii="Arial" w:hAnsi="Arial" w:cs="Arial"/>
        </w:rPr>
        <w:t>transformado</w:t>
      </w:r>
      <w:r w:rsidRPr="00756AF1">
        <w:rPr>
          <w:rFonts w:ascii="Arial" w:hAnsi="Arial" w:cs="Arial"/>
        </w:rPr>
        <w:t xml:space="preserve"> el sector </w:t>
      </w:r>
      <w:r w:rsidRPr="00756AF1">
        <w:rPr>
          <w:rStyle w:val="ai-text"/>
          <w:rFonts w:ascii="Arial" w:hAnsi="Arial" w:cs="Arial"/>
        </w:rPr>
        <w:t>agrícola. Se</w:t>
      </w:r>
      <w:r w:rsidRPr="00756AF1">
        <w:rPr>
          <w:rFonts w:ascii="Arial" w:hAnsi="Arial" w:cs="Arial"/>
        </w:rPr>
        <w:t xml:space="preserve"> incrementan las innovaciones en la recolección de información que resultan de gran interés para comprender la condición de las áreas agrícolas y los cultivos. Estas herramientas proporcionan </w:t>
      </w:r>
      <w:r w:rsidRPr="00756AF1">
        <w:rPr>
          <w:rStyle w:val="ai-text"/>
          <w:rFonts w:ascii="Arial" w:hAnsi="Arial" w:cs="Arial"/>
        </w:rPr>
        <w:t>datos detallados</w:t>
      </w:r>
      <w:r w:rsidRPr="00756AF1">
        <w:rPr>
          <w:rFonts w:ascii="Arial" w:hAnsi="Arial" w:cs="Arial"/>
        </w:rPr>
        <w:t xml:space="preserve"> para optimizar el uso de productos fitosanitarios, fertilizantes, necesidad de riego, densidad de </w:t>
      </w:r>
      <w:r w:rsidRPr="00756AF1">
        <w:rPr>
          <w:rStyle w:val="ai-text"/>
          <w:rFonts w:ascii="Arial" w:hAnsi="Arial" w:cs="Arial"/>
        </w:rPr>
        <w:t>siembra,</w:t>
      </w:r>
      <w:r w:rsidRPr="00756AF1">
        <w:rPr>
          <w:rFonts w:ascii="Arial" w:hAnsi="Arial" w:cs="Arial"/>
        </w:rPr>
        <w:t xml:space="preserve"> momento ideal de </w:t>
      </w:r>
      <w:r w:rsidRPr="00756AF1">
        <w:rPr>
          <w:rStyle w:val="ai-text"/>
          <w:rFonts w:ascii="Arial" w:hAnsi="Arial" w:cs="Arial"/>
        </w:rPr>
        <w:t>cosecha y</w:t>
      </w:r>
      <w:r w:rsidRPr="00756AF1">
        <w:rPr>
          <w:rFonts w:ascii="Arial" w:hAnsi="Arial" w:cs="Arial"/>
        </w:rPr>
        <w:t xml:space="preserve"> manejo de plagas </w:t>
      </w:r>
      <w:r w:rsidR="00982367" w:rsidRPr="00756AF1">
        <w:rPr>
          <w:rFonts w:ascii="Arial" w:hAnsi="Arial" w:cs="Arial"/>
        </w:rPr>
        <w:fldChar w:fldCharType="begin"/>
      </w:r>
      <w:r w:rsidR="00982367" w:rsidRPr="00756AF1">
        <w:rPr>
          <w:rFonts w:ascii="Arial" w:hAnsi="Arial" w:cs="Arial"/>
        </w:rPr>
        <w:instrText xml:space="preserve"> ADDIN ZOTERO_ITEM CSL_CITATION {"citationID":"NEzEo83l","properties":{"formattedCitation":"(P\\uc0\\u233{}rez-Madruga et\\uc0\\u160{}al., 2019)","plainCitation":"(Pérez-Madruga et al., 2019)","noteIndex":0},"citationItems":[{"id":3165,"uris":["http://zotero.org/users/13364072/items/TCF2I4CT"],"itemData":{"id":3165,"type":"article-journal","abstract":"Se realizaron dos experimentos en condiciones de campo, con el objetivo de evaluar los bioestimulantes QuitoMax® y EcoMic®, solos y combinados, en el rendimiento de dos variedades de maíz (Zea mays L.), durante los años 2015 y 2016. En ambos experimentos, los bioestimulantes fueron aplicados por imbibición de granos en soluciones de QuitoMax®, que después fueron peletizadas con EcoMic®, previo a la siembra y, posteriormente, las plantas fueron asperjadas en el área foliar con QuitoMax®. En el primer experimento, las distintas combinaciones de los bioproductos estimularon la mayoría de los componentes del rendimiento del maíz, variedad Criolla. En el segundo, el tratamiento de los granos con QuitoMax® y EcoMic® estimuló el diámetro de la mazorca, el número de hileras de granos y el rendimiento agrícola de la variedad P 7928, conjuntamente con la aspersión foliar de QuitoMax® en el cultivo. En la variedad Criolla, el tratamiento de los granos previo a la siembra con QuitoMax® y EcoMic® seguido de la aspersión foliar de QuitoMax®, aumentó en 62 % el rendimiento respecto al control peletizado con EcoMic®, mientras que en la variedad P 7928, tanto los tratamientos de cada producto solo como sus combinaciones, aumentaron el rendimiento respecto al control no tratado entre 15 y 22 %. En general, el rendimiento del maíz aumentó significativamente con el empleo de los bioestimulantes, lo que sugiere que la aplicación en el campo de EcoMic® y QuitoMax®, solos y combinados, es una opción recomendable para aumentar los rendimientos del cultivo, en dependencia de la variedad. Palabras-clave: bioestimulantes; biofertilizantes; micorrizas; polímeros","container-title":"Cultivos Tropicales","ISSN":"0258-5936","issue":"4","note":"number: 4\npublisher: Ediciones INCA","source":"SciELO","title":"Aplicación combinada de quitosano y HMA en el rendimiento de maíz","URL":"http://scielo.sld.cu/scielo.php?script=sci_abstract&amp;pid=S0258-59362019000400006&amp;lng=es&amp;nrm=iso&amp;tlng=es","volume":"40","author":[{"family":"Pérez-Madruga","given":"Yanebis"},{"family":"Rosales-Jenquis","given":"Pedro Rafael"},{"family":"Menéndez","given":"Daimy Costales-"},{"family":"Falcón-Rodríguez","given":"Alejandro"},{"family":"Pérez-Madruga","given":"Yanebis"},{"family":"Rosales-Jenquis","given":"Pedro Rafael"},{"family":"Menéndez","given":"Daimy Costales-"},{"family":"Falcón-Rodríguez","given":"Alejandro"}],"accessed":{"date-parts":[["2024",9,11]]},"issued":{"date-parts":[["2019",12]]},"citation-key":"perez-madrugaAplicacionCombinadaQuitosano2019b"}}],"schema":"https://github.com/citation-style-language/schema/raw/master/csl-citation.json"} </w:instrText>
      </w:r>
      <w:r w:rsidR="00982367" w:rsidRPr="00756AF1">
        <w:rPr>
          <w:rFonts w:ascii="Arial" w:hAnsi="Arial" w:cs="Arial"/>
        </w:rPr>
        <w:fldChar w:fldCharType="separate"/>
      </w:r>
      <w:r w:rsidR="00982367" w:rsidRPr="00756AF1">
        <w:rPr>
          <w:rFonts w:ascii="Arial" w:hAnsi="Arial" w:cs="Arial"/>
        </w:rPr>
        <w:t>(Pérez-Madruga et al., 2019)</w:t>
      </w:r>
      <w:r w:rsidR="00982367" w:rsidRPr="00756AF1">
        <w:rPr>
          <w:rFonts w:ascii="Arial" w:hAnsi="Arial" w:cs="Arial"/>
        </w:rPr>
        <w:fldChar w:fldCharType="end"/>
      </w:r>
    </w:p>
    <w:p w14:paraId="1546A894" w14:textId="749A7F45" w:rsidR="00F6075E" w:rsidRPr="00756AF1" w:rsidRDefault="00F6075E" w:rsidP="00F6075E">
      <w:pPr>
        <w:pStyle w:val="NormalWeb"/>
        <w:rPr>
          <w:rFonts w:ascii="Arial" w:hAnsi="Arial" w:cs="Arial"/>
        </w:rPr>
      </w:pPr>
      <w:r w:rsidRPr="00756AF1">
        <w:rPr>
          <w:rFonts w:ascii="Arial" w:hAnsi="Arial" w:cs="Arial"/>
        </w:rPr>
        <w:t xml:space="preserve">La IA para la recopilación de datos requiere de máquinas, sensores, dispositivos de monitoreo o computadoras capaces de ejecutar tareas con alta </w:t>
      </w:r>
      <w:r w:rsidRPr="00756AF1">
        <w:rPr>
          <w:rStyle w:val="ai-text"/>
          <w:rFonts w:ascii="Arial" w:hAnsi="Arial" w:cs="Arial"/>
        </w:rPr>
        <w:t>precisión. Esta</w:t>
      </w:r>
      <w:r w:rsidRPr="00756AF1">
        <w:rPr>
          <w:rFonts w:ascii="Arial" w:hAnsi="Arial" w:cs="Arial"/>
        </w:rPr>
        <w:t xml:space="preserve"> tecnología </w:t>
      </w:r>
      <w:r w:rsidRPr="00756AF1">
        <w:rPr>
          <w:rStyle w:val="ai-text"/>
          <w:rFonts w:ascii="Arial" w:hAnsi="Arial" w:cs="Arial"/>
        </w:rPr>
        <w:t>se utiliza</w:t>
      </w:r>
      <w:r w:rsidRPr="00756AF1">
        <w:rPr>
          <w:rFonts w:ascii="Arial" w:hAnsi="Arial" w:cs="Arial"/>
        </w:rPr>
        <w:t xml:space="preserve"> para determinar qué cultivos plantar, su ubicación, el momento de siembra, rendimiento y sus </w:t>
      </w:r>
      <w:r w:rsidRPr="00756AF1">
        <w:rPr>
          <w:rStyle w:val="ai-text"/>
          <w:rFonts w:ascii="Arial" w:hAnsi="Arial" w:cs="Arial"/>
        </w:rPr>
        <w:t xml:space="preserve">componentes </w:t>
      </w:r>
      <w:r w:rsidR="00887619" w:rsidRPr="00756AF1">
        <w:rPr>
          <w:rStyle w:val="ai-text"/>
          <w:rFonts w:ascii="Arial" w:hAnsi="Arial" w:cs="Arial"/>
        </w:rPr>
        <w:fldChar w:fldCharType="begin"/>
      </w:r>
      <w:r w:rsidR="00887619" w:rsidRPr="00756AF1">
        <w:rPr>
          <w:rStyle w:val="ai-text"/>
          <w:rFonts w:ascii="Arial" w:hAnsi="Arial" w:cs="Arial"/>
        </w:rPr>
        <w:instrText xml:space="preserve"> ADDIN ZOTERO_ITEM CSL_CITATION {"citationID":"7LiybCeo","properties":{"formattedCitation":"(Liakos et\\uc0\\u160{}al., 2018)","plainCitation":"(Liakos et al., 2018)","noteIndex":0},"citationItems":[{"id":3701,"uris":["http://zotero.org/users/13364072/items/B7HULSHB"],"itemData":{"id":3701,"type":"article-journal","abstract":"Machine learning has emerged with big data technologies and high-performance computing to create new opportunities for data intensive science in the multi-disciplinary agri-technologies domain. In this paper, we present a comprehensive review of research dedicated to applications of machine learning in agricultural production systems. The works analyzed were categorized in (a) crop management, including applications on yield prediction, disease detection, weed detection crop quality, and species recognition; (b) livestock management, including applications on animal welfare and livestock production; (c) water management; and (d) soil management. The filtering and classification of the presented articles demonstrate how agriculture will benefit from machine learning technologies. By applying machine learning to sensor data, farm management systems are evolving into real time artificial intelligence enabled programs that provide rich recommendations and insights for farmer decision support and action.","container-title":"Sensors","DOI":"10.3390/s18082674","ISSN":"1424-8220","issue":"8","language":"en","license":"http://creativecommons.org/licenses/by/3.0/","note":"publisher: Multidisciplinary Digital Publishing Institute","page":"2674","source":"www.mdpi.com","title":"Machine Learning in Agriculture: A Review","title-short":"Machine Learning in Agriculture","volume":"18","author":[{"family":"Liakos","given":"Konstantinos G."},{"family":"Busato","given":"Patrizia"},{"family":"Moshou","given":"Dimitrios"},{"family":"Pearson","given":"Simon"},{"family":"Bochtis","given":"Dionysis"}],"issued":{"date-parts":[["2018",8]]},"citation-key":"liakosMachineLearningAgriculture2018"}}],"schema":"https://github.com/citation-style-language/schema/raw/master/csl-citation.json"} </w:instrText>
      </w:r>
      <w:r w:rsidR="00887619" w:rsidRPr="00756AF1">
        <w:rPr>
          <w:rStyle w:val="ai-text"/>
          <w:rFonts w:ascii="Arial" w:hAnsi="Arial" w:cs="Arial"/>
        </w:rPr>
        <w:fldChar w:fldCharType="separate"/>
      </w:r>
      <w:r w:rsidR="00887619" w:rsidRPr="00756AF1">
        <w:rPr>
          <w:rFonts w:ascii="Arial" w:hAnsi="Arial" w:cs="Arial"/>
        </w:rPr>
        <w:t>(Liakos et al., 2018)</w:t>
      </w:r>
      <w:r w:rsidR="00887619" w:rsidRPr="00756AF1">
        <w:rPr>
          <w:rStyle w:val="ai-text"/>
          <w:rFonts w:ascii="Arial" w:hAnsi="Arial" w:cs="Arial"/>
        </w:rPr>
        <w:fldChar w:fldCharType="end"/>
      </w:r>
      <w:r w:rsidRPr="00756AF1">
        <w:rPr>
          <w:rStyle w:val="ai-text"/>
          <w:rFonts w:ascii="Arial" w:hAnsi="Arial" w:cs="Arial"/>
        </w:rPr>
        <w:t>.</w:t>
      </w:r>
      <w:r w:rsidRPr="00756AF1">
        <w:rPr>
          <w:rFonts w:ascii="Arial" w:hAnsi="Arial" w:cs="Arial"/>
        </w:rPr>
        <w:t xml:space="preserve"> Estas herramientas </w:t>
      </w:r>
      <w:r w:rsidRPr="00756AF1">
        <w:rPr>
          <w:rStyle w:val="ai-text"/>
          <w:rFonts w:ascii="Arial" w:hAnsi="Arial" w:cs="Arial"/>
        </w:rPr>
        <w:t>facilitan</w:t>
      </w:r>
      <w:r w:rsidRPr="00756AF1">
        <w:rPr>
          <w:rFonts w:ascii="Arial" w:hAnsi="Arial" w:cs="Arial"/>
        </w:rPr>
        <w:t xml:space="preserve"> la producción de más saludables con seguimiento en tiempo real, el control de plagas y un </w:t>
      </w:r>
      <w:r w:rsidRPr="00756AF1">
        <w:rPr>
          <w:rStyle w:val="ai-text"/>
          <w:rFonts w:ascii="Arial" w:hAnsi="Arial" w:cs="Arial"/>
        </w:rPr>
        <w:t>monitoreo continuo</w:t>
      </w:r>
      <w:r w:rsidRPr="00756AF1">
        <w:rPr>
          <w:rFonts w:ascii="Arial" w:hAnsi="Arial" w:cs="Arial"/>
        </w:rPr>
        <w:t xml:space="preserve"> del estado del suelo.</w:t>
      </w:r>
    </w:p>
    <w:p w14:paraId="52BDFF1F" w14:textId="19964E06" w:rsidR="00F6075E" w:rsidRPr="00756AF1" w:rsidRDefault="00F6075E" w:rsidP="00F6075E">
      <w:pPr>
        <w:pStyle w:val="NormalWeb"/>
        <w:rPr>
          <w:rFonts w:ascii="Arial" w:hAnsi="Arial" w:cs="Arial"/>
        </w:rPr>
      </w:pPr>
      <w:r w:rsidRPr="00756AF1">
        <w:rPr>
          <w:rFonts w:ascii="Arial" w:hAnsi="Arial" w:cs="Arial"/>
        </w:rPr>
        <w:t xml:space="preserve">Uno de los aspectos más aplicados de la IA en la agricultura es el análisis predictivo, que contribuye a mantener una producción agrícola eficiente. </w:t>
      </w:r>
      <w:r w:rsidRPr="00756AF1">
        <w:rPr>
          <w:rStyle w:val="ai-text"/>
          <w:rFonts w:ascii="Arial" w:hAnsi="Arial" w:cs="Arial"/>
        </w:rPr>
        <w:t>Las</w:t>
      </w:r>
      <w:r w:rsidRPr="00756AF1">
        <w:rPr>
          <w:rFonts w:ascii="Arial" w:hAnsi="Arial" w:cs="Arial"/>
        </w:rPr>
        <w:t xml:space="preserve"> técnicas de reconocimiento de patrones, el estudio de las variaciones en las hojas de cultivos saludables y enfermas para determinar dónde aplicar </w:t>
      </w:r>
      <w:r w:rsidRPr="00756AF1">
        <w:rPr>
          <w:rStyle w:val="ai-text"/>
          <w:rFonts w:ascii="Arial" w:hAnsi="Arial" w:cs="Arial"/>
        </w:rPr>
        <w:t>herbicidas son ejemplos de ello.</w:t>
      </w:r>
      <w:r w:rsidRPr="00756AF1">
        <w:rPr>
          <w:rFonts w:ascii="Arial" w:hAnsi="Arial" w:cs="Arial"/>
        </w:rPr>
        <w:t xml:space="preserve"> Estos algoritmos también ayudan a identificar brotes de enfermedades mediante el procesamiento y análisis de imágenes </w:t>
      </w:r>
      <w:r w:rsidRPr="00756AF1">
        <w:rPr>
          <w:rStyle w:val="ai-text"/>
          <w:rFonts w:ascii="Arial" w:hAnsi="Arial" w:cs="Arial"/>
        </w:rPr>
        <w:t>obtenidas</w:t>
      </w:r>
      <w:r w:rsidRPr="00756AF1">
        <w:rPr>
          <w:rFonts w:ascii="Arial" w:hAnsi="Arial" w:cs="Arial"/>
        </w:rPr>
        <w:t xml:space="preserve"> de los drones o satélites a través de fotos </w:t>
      </w:r>
      <w:r w:rsidRPr="00756AF1">
        <w:rPr>
          <w:rStyle w:val="ai-text"/>
          <w:rFonts w:ascii="Arial" w:hAnsi="Arial" w:cs="Arial"/>
        </w:rPr>
        <w:t>aéreas. Las</w:t>
      </w:r>
      <w:r w:rsidRPr="00756AF1">
        <w:rPr>
          <w:rFonts w:ascii="Arial" w:hAnsi="Arial" w:cs="Arial"/>
        </w:rPr>
        <w:t xml:space="preserve"> técnicas de IA pueden evaluar el estado de los cultivos, la presencia de malezas y elaborar mapas que identifican áreas con diferentes niveles de humedad, lo que facilita la optimización de la cantidad de riego necesaria para cada área </w:t>
      </w:r>
      <w:r w:rsidR="00982367" w:rsidRPr="00756AF1">
        <w:rPr>
          <w:rFonts w:ascii="Arial" w:hAnsi="Arial" w:cs="Arial"/>
        </w:rPr>
        <w:fldChar w:fldCharType="begin"/>
      </w:r>
      <w:r w:rsidR="00982367" w:rsidRPr="00756AF1">
        <w:rPr>
          <w:rFonts w:ascii="Arial" w:hAnsi="Arial" w:cs="Arial"/>
        </w:rPr>
        <w:instrText xml:space="preserve"> ADDIN ZOTERO_ITEM CSL_CITATION {"citationID":"4E5pP3Hn","properties":{"formattedCitation":"(Ibarra, 2022)","plainCitation":"(Ibarra, 2022)","noteIndex":0},"citationItems":[{"id":3685,"uris":["http://zotero.org/users/13364072/items/AAUE8PAY"],"itemData":{"id":3685,"type":"article-journal","abstract":"Introduction: Precision Agriculture (PA) groups a set of technologies applicable in agricultural production, their common factor is decision making and its subsequent execution. The introduction of information and communication technologies (ICT) in agriculture makes it possible to make it more efficient, reduce costs and introduce certainty in decisions. Similarly, using ICTs based on the use of digital platforms, Big Data, Analytics and IoT, contributes to the rational use of resources, increased productivity, and improved profitability. The implementation of AP entails great challenges, comparable to its benefits.\nObjective: To present a conceptual review of precision agriculture to approach the information and communication technologies that facilitate its implementation.\nMethod: A conceptual-descriptive methodology has been used, based on the exploration of different bibliographic sources of scientific databases.\nResults: This paper presents an approach to the fundamental concept of our research, such as precision agriculture (PA) while allowing us to specify those information and communication technologies that make it possible.\nConclusions: The incorporation of information and communication technologies (ICT) in agriculture, for purposes: descriptive, prescriptive, and predictive, results in the optimization of agricultural processes that circumscribe precision agriculture (PA).","container-title":"CESTA","DOI":"10.17981/cesta.03.01.2022.04","ISSN":"2745-0090","issue":"1","language":"es","license":"Derechos de autor 2022 Computer and Electronic Sciences: Theory and Applications","page":"34-38","source":"revistascientificas.cuc.edu.co","title":"Agricultura de Precisión: La integración de las TIC en la producción Agrícola","title-short":"Agricultura de Precisión","volume":"3","author":[{"family":"Ibarra","given":"Geovanny Esteban Rambauth"}],"issued":{"date-parts":[["2022",3,3]]},"citation-key":"ibarraAgriculturaPrecisionIntegracion2022"}}],"schema":"https://github.com/citation-style-language/schema/raw/master/csl-citation.json"} </w:instrText>
      </w:r>
      <w:r w:rsidR="00982367" w:rsidRPr="00756AF1">
        <w:rPr>
          <w:rFonts w:ascii="Arial" w:hAnsi="Arial" w:cs="Arial"/>
        </w:rPr>
        <w:fldChar w:fldCharType="separate"/>
      </w:r>
      <w:r w:rsidR="00982367" w:rsidRPr="00756AF1">
        <w:rPr>
          <w:rFonts w:ascii="Arial" w:hAnsi="Arial" w:cs="Arial"/>
        </w:rPr>
        <w:t>(Ibarra, 2022)</w:t>
      </w:r>
      <w:r w:rsidR="00982367" w:rsidRPr="00756AF1">
        <w:rPr>
          <w:rFonts w:ascii="Arial" w:hAnsi="Arial" w:cs="Arial"/>
        </w:rPr>
        <w:fldChar w:fldCharType="end"/>
      </w:r>
    </w:p>
    <w:p w14:paraId="5DF11B6E" w14:textId="5BF1008F" w:rsidR="00F6075E" w:rsidRPr="00756AF1" w:rsidRDefault="00F6075E" w:rsidP="00F6075E">
      <w:pPr>
        <w:pStyle w:val="NormalWeb"/>
        <w:rPr>
          <w:rFonts w:ascii="Arial" w:hAnsi="Arial" w:cs="Arial"/>
        </w:rPr>
      </w:pPr>
      <w:r w:rsidRPr="00756AF1">
        <w:rPr>
          <w:rFonts w:ascii="Arial" w:hAnsi="Arial" w:cs="Arial"/>
        </w:rPr>
        <w:t xml:space="preserve">La IA requiere de un gran volumen de información que está presente en los modelos de simulación de cultivos o sistemas de Información para la Toma de </w:t>
      </w:r>
      <w:r w:rsidRPr="00756AF1">
        <w:rPr>
          <w:rStyle w:val="ai-text"/>
          <w:rFonts w:ascii="Arial" w:hAnsi="Arial" w:cs="Arial"/>
        </w:rPr>
        <w:t>Decisiones. Estos modelos</w:t>
      </w:r>
      <w:r w:rsidRPr="00756AF1">
        <w:rPr>
          <w:rFonts w:ascii="Arial" w:hAnsi="Arial" w:cs="Arial"/>
        </w:rPr>
        <w:t xml:space="preserve"> proporcionan </w:t>
      </w:r>
      <w:r w:rsidRPr="00756AF1">
        <w:rPr>
          <w:rStyle w:val="ai-text"/>
          <w:rFonts w:ascii="Arial" w:hAnsi="Arial" w:cs="Arial"/>
        </w:rPr>
        <w:t>datos útiles</w:t>
      </w:r>
      <w:r w:rsidRPr="00756AF1">
        <w:rPr>
          <w:rFonts w:ascii="Arial" w:hAnsi="Arial" w:cs="Arial"/>
        </w:rPr>
        <w:t xml:space="preserve"> a productores y decisores para optimizar </w:t>
      </w:r>
      <w:r w:rsidRPr="00756AF1">
        <w:rPr>
          <w:rStyle w:val="ai-text"/>
          <w:rFonts w:ascii="Arial" w:hAnsi="Arial" w:cs="Arial"/>
        </w:rPr>
        <w:t xml:space="preserve">recursos </w:t>
      </w:r>
      <w:r w:rsidR="00887619" w:rsidRPr="00756AF1">
        <w:rPr>
          <w:rStyle w:val="ai-text"/>
          <w:rFonts w:ascii="Arial" w:hAnsi="Arial" w:cs="Arial"/>
        </w:rPr>
        <w:fldChar w:fldCharType="begin"/>
      </w:r>
      <w:r w:rsidR="00887619" w:rsidRPr="00756AF1">
        <w:rPr>
          <w:rStyle w:val="ai-text"/>
          <w:rFonts w:ascii="Arial" w:hAnsi="Arial" w:cs="Arial"/>
        </w:rPr>
        <w:instrText xml:space="preserve"> ADDIN ZOTERO_ITEM CSL_CITATION {"citationID":"LPWewnH1","properties":{"formattedCitation":"(Rose &amp; Chilvers, 2018)","plainCitation":"(Rose &amp; Chilvers, 2018)","noteIndex":0},"citationItems":[{"id":3703,"uris":["http://zotero.org/users/13364072/items/F5XEG547"],"itemData":{"id":3703,"type":"article-journal","abstract":"Agriculture is undergoing a technology revolution supported by policy-makers around the world. While smart technologies will play an important role in achieving enhanced productivity and greater eco-efficiency, critics have suggested that a consideration of social impacts is being side-lined. Research illustrates that some agricultural practitioners are concerned about using certain technologies. Indeed, some studies argue that agricultural societies may be changed, or ‘re-scripted’, in undesirable ways, and there is precedent to suggest that wider society may be concerned about radical new technologies. We therefore encourage policy-makers, funders, technology companies, and researchers to consider the views of both farming communities and wider society. In agriculture, the concept of responsible innovation has not been widely considered, although two recent papers have made useful suggestions. We build on these interventions by arguing that key dimensions of responsible innovation - anticipation, inclusion, reflexivity, and responsiveness - should be applied to this fourth agricultural revolution. We argue, however, that ideas in responsible innovation should be further developed in order to make them relevant and robust for emergent agri-tech, and further that frameworks should be tested in practice to see if they can actively shape innovation trajectories. In making suggestions on how to construct a more comprehensive framework for responsible innovation in agriculture, we call for: (i) a more systemic approach that maps and attends to the wider ecology of innovations associated with this fourth agricultural revolution; (ii) a broadening of notions of ‘inclusion’ in responsible innovation to account better for diverse and already existing spaces...","container-title":"Frontiers in Sustainable Food Systems","DOI":"10.3389/fsufs.2018.00087","ISSN":"2571-581X","journalAbbreviation":"Front. Sustain. Food Syst.","language":"English","note":"publisher: Frontiers","source":"Frontiers","title":"Agriculture 4.0: Broadening Responsible Innovation in an Era of Smart Farming","title-short":"Agriculture 4.0","URL":"https://www.frontiersin.org/journals/sustainable-food-systems/articles/10.3389/fsufs.2018.00087/full","volume":"2","author":[{"family":"Rose","given":"David Christian"},{"family":"Chilvers","given":"Jason"}],"accessed":{"date-parts":[["2025",10,4]]},"issued":{"date-parts":[["2018",12,21]]},"citation-key":"roseAgriculture40Broadening2018"}}],"schema":"https://github.com/citation-style-language/schema/raw/master/csl-citation.json"} </w:instrText>
      </w:r>
      <w:r w:rsidR="00887619" w:rsidRPr="00756AF1">
        <w:rPr>
          <w:rStyle w:val="ai-text"/>
          <w:rFonts w:ascii="Arial" w:hAnsi="Arial" w:cs="Arial"/>
        </w:rPr>
        <w:fldChar w:fldCharType="separate"/>
      </w:r>
      <w:r w:rsidR="00887619" w:rsidRPr="00756AF1">
        <w:rPr>
          <w:rFonts w:ascii="Arial" w:hAnsi="Arial" w:cs="Arial"/>
        </w:rPr>
        <w:t>(Rose &amp; Chilvers, 2018)</w:t>
      </w:r>
      <w:r w:rsidR="00887619" w:rsidRPr="00756AF1">
        <w:rPr>
          <w:rStyle w:val="ai-text"/>
          <w:rFonts w:ascii="Arial" w:hAnsi="Arial" w:cs="Arial"/>
        </w:rPr>
        <w:fldChar w:fldCharType="end"/>
      </w:r>
      <w:r w:rsidRPr="00756AF1">
        <w:rPr>
          <w:rStyle w:val="ai-text"/>
          <w:rFonts w:ascii="Arial" w:hAnsi="Arial" w:cs="Arial"/>
        </w:rPr>
        <w:t>.</w:t>
      </w:r>
    </w:p>
    <w:p w14:paraId="05B63CA2" w14:textId="77777777" w:rsidR="00F6075E" w:rsidRPr="00756AF1" w:rsidRDefault="00F6075E" w:rsidP="00F6075E">
      <w:pPr>
        <w:pStyle w:val="Ttulo2"/>
        <w:rPr>
          <w:rFonts w:cs="Arial"/>
        </w:rPr>
      </w:pPr>
      <w:r w:rsidRPr="00756AF1">
        <w:rPr>
          <w:rFonts w:cs="Arial"/>
        </w:rPr>
        <w:t xml:space="preserve">Definición de modelos de simulación de </w:t>
      </w:r>
      <w:r w:rsidRPr="00756AF1">
        <w:rPr>
          <w:rStyle w:val="ai-text"/>
          <w:rFonts w:cs="Arial"/>
        </w:rPr>
        <w:t>cultivos.</w:t>
      </w:r>
    </w:p>
    <w:p w14:paraId="3B40B505" w14:textId="55B96696" w:rsidR="00F6075E" w:rsidRPr="00756AF1" w:rsidRDefault="00F6075E" w:rsidP="00F6075E">
      <w:pPr>
        <w:pStyle w:val="NormalWeb"/>
        <w:rPr>
          <w:rFonts w:ascii="Arial" w:hAnsi="Arial" w:cs="Arial"/>
        </w:rPr>
      </w:pPr>
      <w:r w:rsidRPr="00756AF1">
        <w:rPr>
          <w:rStyle w:val="ai-text"/>
          <w:rFonts w:ascii="Arial" w:hAnsi="Arial" w:cs="Arial"/>
        </w:rPr>
        <w:lastRenderedPageBreak/>
        <w:t>El</w:t>
      </w:r>
      <w:r w:rsidRPr="00756AF1">
        <w:rPr>
          <w:rFonts w:ascii="Arial" w:hAnsi="Arial" w:cs="Arial"/>
        </w:rPr>
        <w:t xml:space="preserve"> uso de modelos en la </w:t>
      </w:r>
      <w:r w:rsidRPr="00756AF1">
        <w:rPr>
          <w:rStyle w:val="ai-text"/>
          <w:rFonts w:ascii="Arial" w:hAnsi="Arial" w:cs="Arial"/>
        </w:rPr>
        <w:t>agricultura es de gran importancia. Como</w:t>
      </w:r>
      <w:r w:rsidRPr="00756AF1">
        <w:rPr>
          <w:rFonts w:ascii="Arial" w:hAnsi="Arial" w:cs="Arial"/>
        </w:rPr>
        <w:t xml:space="preserve"> plantea </w:t>
      </w:r>
      <w:r w:rsidR="00982367" w:rsidRPr="00756AF1">
        <w:rPr>
          <w:rFonts w:ascii="Arial" w:hAnsi="Arial" w:cs="Arial"/>
        </w:rPr>
        <w:fldChar w:fldCharType="begin"/>
      </w:r>
      <w:r w:rsidR="00982367" w:rsidRPr="00756AF1">
        <w:rPr>
          <w:rFonts w:ascii="Arial" w:hAnsi="Arial" w:cs="Arial"/>
        </w:rPr>
        <w:instrText xml:space="preserve"> ADDIN ZOTERO_ITEM CSL_CITATION {"citationID":"0G3XLMvD","properties":{"formattedCitation":"(Martinez et\\uc0\\u160{}al., 2011)","plainCitation":"(Martinez et al., 2011)","noteIndex":0},"citationItems":[{"id":3631,"uris":["http://zotero.org/users/13364072/items/D7GS3942"],"itemData":{"id":3631,"type":"article-journal","abstract":"Since the beginnings of agriculture, about ten thousand years ago, mankind has benefited from the use of its products by satisfying needs for food and by trade. The agricultural production systems have become more organized and productive, as a result of a greater knowledge on agriculture. However, specialization in agronomyhas led in some cases to the implementation of technical innovations that put out key elements of the production systems, such as social and cultural aspects, climate, and physical, chemical and biological soil properties, that result in failure in the practice. The use of different types of models in agriculture has become an alternative for planning and research, since they can be used to predict the behavior of a plant or animal under different management practices, the soil characteristics, the interaction among different crops, and the behavior of production systems in which livestock and crops interact. Currently the effect of agricultural policies, the rationality of producers, the market characteristics and the environmental aspects have been incorporated. From the point of view of the theory of agroecosystems they have been used to simulate the sustainability, under a holistic and systemic vision. Another important development has been to consider the producer as subject that participates in the modeling process and not as a component of the system that needs to be modeled in what is called the participative modeling. Therefore, the objective of this paper is to analyze the different approaches for the application of the models for the study and planning of agriculture, and their challenges.","container-title":"Tropical and Subtropical Agroecosystems","DOI":"10.56369/tsaes.1103","ISSN":"1870-0462","issue":"3","journalAbbreviation":"Trop Subtrop Agroecosyst","language":"es","source":"DOI.org (Crossref)","title":"APPLICATION OF SIMULATION MODELS IN AGRICULTURAL RESEARCH AND PLANNING, A REVIEW","URL":"https://www.revista.ccba.uady.mx/ojs/index.php/TSA/article/view/1103","volume":"14","author":[{"family":"Martinez","given":"Bernardino Candelaria"},{"family":"Ruiz-Rosado","given":"Octavio"},{"family":"Gallardo Lopez","given":"Felipe"},{"family":"Perez-Hernandez","given":"Ponciano"},{"family":"Martinez Becerra","given":"Angel"},{"family":"Vargas Villamil","given":"Luis"}],"accessed":{"date-parts":[["2025",9,19]]},"issued":{"date-parts":[["2011",9,25]]},"citation-key":"martinezAPPLICATIONSIMULATIONMODELS2011"}}],"schema":"https://github.com/citation-style-language/schema/raw/master/csl-citation.json"} </w:instrText>
      </w:r>
      <w:r w:rsidR="00982367" w:rsidRPr="00756AF1">
        <w:rPr>
          <w:rFonts w:ascii="Arial" w:hAnsi="Arial" w:cs="Arial"/>
        </w:rPr>
        <w:fldChar w:fldCharType="separate"/>
      </w:r>
      <w:r w:rsidR="00982367" w:rsidRPr="00756AF1">
        <w:rPr>
          <w:rFonts w:ascii="Arial" w:hAnsi="Arial" w:cs="Arial"/>
        </w:rPr>
        <w:t>(Martinez et al., 2011)</w:t>
      </w:r>
      <w:r w:rsidR="00982367" w:rsidRPr="00756AF1">
        <w:rPr>
          <w:rFonts w:ascii="Arial" w:hAnsi="Arial" w:cs="Arial"/>
        </w:rPr>
        <w:fldChar w:fldCharType="end"/>
      </w:r>
      <w:r w:rsidRPr="00756AF1">
        <w:rPr>
          <w:rFonts w:ascii="Arial" w:hAnsi="Arial" w:cs="Arial"/>
        </w:rPr>
        <w:t xml:space="preserve">, en el desarrollo científico se han diseñado y aplicado durante </w:t>
      </w:r>
      <w:r w:rsidRPr="00756AF1">
        <w:rPr>
          <w:rStyle w:val="ai-text"/>
          <w:rFonts w:ascii="Arial" w:hAnsi="Arial" w:cs="Arial"/>
        </w:rPr>
        <w:t>siglos</w:t>
      </w:r>
      <w:r w:rsidRPr="00756AF1">
        <w:rPr>
          <w:rFonts w:ascii="Arial" w:hAnsi="Arial" w:cs="Arial"/>
        </w:rPr>
        <w:t xml:space="preserve"> en diferentes </w:t>
      </w:r>
      <w:r w:rsidRPr="00756AF1">
        <w:rPr>
          <w:rStyle w:val="ai-text"/>
          <w:rFonts w:ascii="Arial" w:hAnsi="Arial" w:cs="Arial"/>
        </w:rPr>
        <w:t>disciplinas. Los</w:t>
      </w:r>
      <w:r w:rsidRPr="00756AF1">
        <w:rPr>
          <w:rFonts w:ascii="Arial" w:hAnsi="Arial" w:cs="Arial"/>
        </w:rPr>
        <w:t xml:space="preserve"> vinculados a los procesos agrícolas y ambientales se han implementado en las últimas décadas. Lo antes mencionado evidencia que es más fácil trabajar con </w:t>
      </w:r>
      <w:r w:rsidRPr="00756AF1">
        <w:rPr>
          <w:rStyle w:val="ai-text"/>
          <w:rFonts w:ascii="Arial" w:hAnsi="Arial" w:cs="Arial"/>
        </w:rPr>
        <w:t>los</w:t>
      </w:r>
      <w:r w:rsidRPr="00756AF1">
        <w:rPr>
          <w:rFonts w:ascii="Arial" w:hAnsi="Arial" w:cs="Arial"/>
        </w:rPr>
        <w:t xml:space="preserve"> de simulación que con los sistemas reales, ya que estos últimos requieren de más recursos humanos y económicos.</w:t>
      </w:r>
    </w:p>
    <w:p w14:paraId="3C6D5410" w14:textId="08C41023" w:rsidR="00F6075E" w:rsidRPr="00756AF1" w:rsidRDefault="00F6075E" w:rsidP="00F6075E">
      <w:pPr>
        <w:pStyle w:val="NormalWeb"/>
        <w:rPr>
          <w:rFonts w:ascii="Arial" w:hAnsi="Arial" w:cs="Arial"/>
        </w:rPr>
      </w:pPr>
      <w:r w:rsidRPr="00756AF1">
        <w:rPr>
          <w:rStyle w:val="ai-text"/>
          <w:rFonts w:ascii="Arial" w:hAnsi="Arial" w:cs="Arial"/>
        </w:rPr>
        <w:t>El</w:t>
      </w:r>
      <w:r w:rsidRPr="00756AF1">
        <w:rPr>
          <w:rFonts w:ascii="Arial" w:hAnsi="Arial" w:cs="Arial"/>
        </w:rPr>
        <w:t xml:space="preserve"> uso de modelos de simulación, sustentada en la información científica disponible, para la planificación agrícola en diferentes </w:t>
      </w:r>
      <w:r w:rsidRPr="00756AF1">
        <w:rPr>
          <w:rStyle w:val="ai-text"/>
          <w:rFonts w:ascii="Arial" w:hAnsi="Arial" w:cs="Arial"/>
        </w:rPr>
        <w:t>procesos. Estos</w:t>
      </w:r>
      <w:r w:rsidRPr="00756AF1">
        <w:rPr>
          <w:rFonts w:ascii="Arial" w:hAnsi="Arial" w:cs="Arial"/>
        </w:rPr>
        <w:t xml:space="preserve"> son útiles para proporcionar resultados en situaciones específicas y tomar alternativas tempranas por parte de los </w:t>
      </w:r>
      <w:r w:rsidRPr="00756AF1">
        <w:rPr>
          <w:rStyle w:val="ai-text"/>
          <w:rFonts w:ascii="Arial" w:hAnsi="Arial" w:cs="Arial"/>
        </w:rPr>
        <w:t xml:space="preserve">decisores </w:t>
      </w:r>
      <w:r w:rsidR="00887619" w:rsidRPr="00756AF1">
        <w:rPr>
          <w:rStyle w:val="ai-text"/>
          <w:rFonts w:ascii="Arial" w:hAnsi="Arial" w:cs="Arial"/>
        </w:rPr>
        <w:fldChar w:fldCharType="begin"/>
      </w:r>
      <w:r w:rsidR="00887619" w:rsidRPr="00756AF1">
        <w:rPr>
          <w:rStyle w:val="ai-text"/>
          <w:rFonts w:ascii="Arial" w:hAnsi="Arial" w:cs="Arial"/>
        </w:rPr>
        <w:instrText xml:space="preserve"> ADDIN ZOTERO_ITEM CSL_CITATION {"citationID":"NM5czgwa","properties":{"formattedCitation":"(Basso &amp; Antle, 2020)","plainCitation":"(Basso &amp; Antle, 2020)","noteIndex":0},"citationItems":[{"id":3705,"uris":["http://zotero.org/users/13364072/items/F68XRNDV"],"itemData":{"id":3705,"type":"article-journal","abstract":"The global food system must become more sustainable. Digital agriculture — digital and geospatial technologies to monitor, assess and manage soil, climatic and genetic resources — illustrates how to meet this challenge so as to balance the economic, environmental and social dimensions of sustainable food production.","container-title":"Nature Sustainability","DOI":"10.1038/s41893-020-0510-0","ISSN":"2398-9629","issue":"4","journalAbbreviation":"Nat Sustain","language":"en","license":"2020 Springer Nature Limited","note":"publisher: Nature Publishing Group","page":"254-256","source":"www.nature.com","title":"Digital agriculture to design sustainable agricultural systems","volume":"3","author":[{"family":"Basso","given":"Bruno"},{"family":"Antle","given":"John"}],"issued":{"date-parts":[["2020",4]]},"citation-key":"bassoDigitalAgricultureDesign2020"}}],"schema":"https://github.com/citation-style-language/schema/raw/master/csl-citation.json"} </w:instrText>
      </w:r>
      <w:r w:rsidR="00887619" w:rsidRPr="00756AF1">
        <w:rPr>
          <w:rStyle w:val="ai-text"/>
          <w:rFonts w:ascii="Arial" w:hAnsi="Arial" w:cs="Arial"/>
        </w:rPr>
        <w:fldChar w:fldCharType="separate"/>
      </w:r>
      <w:r w:rsidR="00887619" w:rsidRPr="00756AF1">
        <w:rPr>
          <w:rFonts w:ascii="Arial" w:hAnsi="Arial" w:cs="Arial"/>
        </w:rPr>
        <w:t>(Basso &amp; Antle, 2020)</w:t>
      </w:r>
      <w:r w:rsidR="00887619" w:rsidRPr="00756AF1">
        <w:rPr>
          <w:rStyle w:val="ai-text"/>
          <w:rFonts w:ascii="Arial" w:hAnsi="Arial" w:cs="Arial"/>
        </w:rPr>
        <w:fldChar w:fldCharType="end"/>
      </w:r>
      <w:r w:rsidRPr="00756AF1">
        <w:rPr>
          <w:rStyle w:val="ai-text"/>
          <w:rFonts w:ascii="Arial" w:hAnsi="Arial" w:cs="Arial"/>
        </w:rPr>
        <w:t>.</w:t>
      </w:r>
    </w:p>
    <w:p w14:paraId="493EBC15" w14:textId="2AAE1285" w:rsidR="00F6075E" w:rsidRPr="00756AF1" w:rsidRDefault="00982367" w:rsidP="00F6075E">
      <w:pPr>
        <w:pStyle w:val="NormalWeb"/>
        <w:rPr>
          <w:rFonts w:ascii="Arial" w:hAnsi="Arial" w:cs="Arial"/>
        </w:rPr>
      </w:pPr>
      <w:r w:rsidRPr="00756AF1">
        <w:rPr>
          <w:rFonts w:ascii="Arial" w:hAnsi="Arial" w:cs="Arial"/>
        </w:rPr>
        <w:fldChar w:fldCharType="begin"/>
      </w:r>
      <w:r w:rsidRPr="00756AF1">
        <w:rPr>
          <w:rFonts w:ascii="Arial" w:hAnsi="Arial" w:cs="Arial"/>
        </w:rPr>
        <w:instrText xml:space="preserve"> ADDIN ZOTERO_ITEM CSL_CITATION {"citationID":"QHNEtDd7","properties":{"formattedCitation":"(Mart\\uc0\\u237{}nez et\\uc0\\u160{}al., 2011)","plainCitation":"(Martínez et al., 2011)","noteIndex":0},"citationItems":[{"id":3151,"uris":["http://zotero.org/users/13364072/items/JQP8YD2B"],"itemData":{"id":3151,"type":"article-journal","abstract":"Since the beginnings of agriculture, about ten thousand years ago, mankind has benefited from the use of its products by satisfying needs for food and by trade. The agricultural production systems have become more organized and productive, as a result of a greater knowledge on agriculture. However, specialization in agronomyhas led in some cases to the implementation of technical innovations that put out key elements of the production systems, such as social and cultural aspects, climate, and physical, chemical and biological soil properties, that result in failure in the practice. The use of different types of models in agriculture has become an alternative for planning and research, since they can be used to predict the behavior of a plant or animal under different management practices, the soil characteristics, the interaction among different crops, and the behavior of production systems in which livestock and crops interact. Currently the effect of agricultural policies, the rationality of producers, the market characteristics and the environmental aspects have been incorporated. From the point of view of the theory of agroecosystems they have been used to simulate the sustainability, under a holistic and systemic vision. Another important development has been to consider the producer as subject that participates in the modeling process and not as a component of the system that needs to be modeled in what is called the participative modeling. Therefore, the objective of this paper is to analyze the different approaches for the application of the models for the study and planning of agriculture, and their challenges.","container-title":"Tropical and subtropical agroecosystems","journalAbbreviation":"Tropical and subtropical agroecosystems","page":"999-1010","source":"ResearchGate","title":"Aplicación de modelos de simulación en el estudio y planificación de la agricultura, una revisión","volume":"14","author":[{"family":"Martínez","given":"Bernardino"},{"family":"Ruiz Rosado","given":"Octavio"},{"family":"Gallardo-López","given":"Felipe"},{"family":"Pérez-Hernández","given":"Ponciano"},{"family":"Martínez-Becerra","given":"Ángel"},{"family":"Vargas-Villamil","given":"Luis"}],"issued":{"date-parts":[["2011",12,1]]},"citation-key":"martinezAplicacionModelosSimulacion2011"}}],"schema":"https://github.com/citation-style-language/schema/raw/master/csl-citation.json"} </w:instrText>
      </w:r>
      <w:r w:rsidRPr="00756AF1">
        <w:rPr>
          <w:rFonts w:ascii="Arial" w:hAnsi="Arial" w:cs="Arial"/>
        </w:rPr>
        <w:fldChar w:fldCharType="separate"/>
      </w:r>
      <w:r w:rsidRPr="00756AF1">
        <w:rPr>
          <w:rFonts w:ascii="Arial" w:hAnsi="Arial" w:cs="Arial"/>
        </w:rPr>
        <w:t>(Martínez et al., 2011)</w:t>
      </w:r>
      <w:r w:rsidRPr="00756AF1">
        <w:rPr>
          <w:rFonts w:ascii="Arial" w:hAnsi="Arial" w:cs="Arial"/>
        </w:rPr>
        <w:fldChar w:fldCharType="end"/>
      </w:r>
      <w:r w:rsidR="00F6075E" w:rsidRPr="00756AF1">
        <w:rPr>
          <w:rFonts w:ascii="Arial" w:hAnsi="Arial" w:cs="Arial"/>
        </w:rPr>
        <w:t xml:space="preserve"> plantea que un modelo es una representación conceptual, numérica o gráfica de un objeto, sistema, proceso, actividad o </w:t>
      </w:r>
      <w:r w:rsidR="00F6075E" w:rsidRPr="00756AF1">
        <w:rPr>
          <w:rStyle w:val="ai-text"/>
          <w:rFonts w:ascii="Arial" w:hAnsi="Arial" w:cs="Arial"/>
        </w:rPr>
        <w:t>pensamiento. Se</w:t>
      </w:r>
      <w:r w:rsidR="00F6075E" w:rsidRPr="00756AF1">
        <w:rPr>
          <w:rFonts w:ascii="Arial" w:hAnsi="Arial" w:cs="Arial"/>
        </w:rPr>
        <w:t xml:space="preserve"> utilizan para analizar cada una de sus relaciones e </w:t>
      </w:r>
      <w:r w:rsidR="00F6075E" w:rsidRPr="00756AF1">
        <w:rPr>
          <w:rStyle w:val="ai-text"/>
          <w:rFonts w:ascii="Arial" w:hAnsi="Arial" w:cs="Arial"/>
        </w:rPr>
        <w:t>interacciones;</w:t>
      </w:r>
      <w:r w:rsidR="00F6075E" w:rsidRPr="00756AF1">
        <w:rPr>
          <w:rFonts w:ascii="Arial" w:hAnsi="Arial" w:cs="Arial"/>
        </w:rPr>
        <w:t xml:space="preserve"> con base en su análisis, predecir posibles escenarios </w:t>
      </w:r>
      <w:r w:rsidR="00F6075E" w:rsidRPr="00756AF1">
        <w:rPr>
          <w:rStyle w:val="ai-text"/>
          <w:rFonts w:ascii="Arial" w:hAnsi="Arial" w:cs="Arial"/>
        </w:rPr>
        <w:t>futuros. De</w:t>
      </w:r>
      <w:r w:rsidR="00F6075E" w:rsidRPr="00756AF1">
        <w:rPr>
          <w:rFonts w:ascii="Arial" w:hAnsi="Arial" w:cs="Arial"/>
        </w:rPr>
        <w:t xml:space="preserve"> igual </w:t>
      </w:r>
      <w:r w:rsidR="00F6075E" w:rsidRPr="00756AF1">
        <w:rPr>
          <w:rStyle w:val="ai-text"/>
          <w:rFonts w:ascii="Arial" w:hAnsi="Arial" w:cs="Arial"/>
        </w:rPr>
        <w:t>forma,</w:t>
      </w:r>
      <w:r w:rsidR="00F6075E" w:rsidRPr="00756AF1">
        <w:rPr>
          <w:rFonts w:ascii="Arial" w:hAnsi="Arial" w:cs="Arial"/>
        </w:rPr>
        <w:t xml:space="preserve"> considera que puede describirse como una representación simplificada de un sistema real y </w:t>
      </w:r>
      <w:r w:rsidR="00F6075E" w:rsidRPr="00756AF1">
        <w:rPr>
          <w:rStyle w:val="ai-text"/>
          <w:rFonts w:ascii="Arial" w:hAnsi="Arial" w:cs="Arial"/>
        </w:rPr>
        <w:t>es,</w:t>
      </w:r>
      <w:r w:rsidR="00F6075E" w:rsidRPr="00756AF1">
        <w:rPr>
          <w:rFonts w:ascii="Arial" w:hAnsi="Arial" w:cs="Arial"/>
        </w:rPr>
        <w:t xml:space="preserve"> en esencia, una descripción de entidades y la relación entre </w:t>
      </w:r>
      <w:r w:rsidR="00F6075E" w:rsidRPr="00756AF1">
        <w:rPr>
          <w:rStyle w:val="ai-text"/>
          <w:rFonts w:ascii="Arial" w:hAnsi="Arial" w:cs="Arial"/>
        </w:rPr>
        <w:t>ellas.</w:t>
      </w:r>
    </w:p>
    <w:p w14:paraId="06C25C68" w14:textId="1732FD94" w:rsidR="00F6075E" w:rsidRPr="00756AF1" w:rsidRDefault="00F6075E" w:rsidP="00F6075E">
      <w:pPr>
        <w:pStyle w:val="NormalWeb"/>
        <w:rPr>
          <w:rFonts w:ascii="Arial" w:hAnsi="Arial" w:cs="Arial"/>
        </w:rPr>
      </w:pPr>
      <w:r w:rsidRPr="00756AF1">
        <w:rPr>
          <w:rFonts w:ascii="Arial" w:hAnsi="Arial" w:cs="Arial"/>
        </w:rPr>
        <w:t xml:space="preserve">De forma </w:t>
      </w:r>
      <w:r w:rsidRPr="00756AF1">
        <w:rPr>
          <w:rStyle w:val="ai-text"/>
          <w:rFonts w:ascii="Arial" w:hAnsi="Arial" w:cs="Arial"/>
        </w:rPr>
        <w:t>similar,</w:t>
      </w:r>
      <w:r w:rsidRPr="00756AF1">
        <w:rPr>
          <w:rFonts w:ascii="Arial" w:hAnsi="Arial" w:cs="Arial"/>
        </w:rPr>
        <w:t xml:space="preserve"> autores como </w:t>
      </w:r>
      <w:r w:rsidR="00982367" w:rsidRPr="00756AF1">
        <w:rPr>
          <w:rFonts w:ascii="Arial" w:hAnsi="Arial" w:cs="Arial"/>
        </w:rPr>
        <w:fldChar w:fldCharType="begin"/>
      </w:r>
      <w:r w:rsidR="00982367" w:rsidRPr="00756AF1">
        <w:rPr>
          <w:rFonts w:ascii="Arial" w:hAnsi="Arial" w:cs="Arial"/>
        </w:rPr>
        <w:instrText xml:space="preserve"> ADDIN ZOTERO_ITEM CSL_CITATION {"citationID":"mOLVGVs2","properties":{"formattedCitation":"(Hern\\uc0\\u225{}ndez et\\uc0\\u160{}al., 2010; Noriega-Navarrete et\\uc0\\u160{}al., 2021)","plainCitation":"(Hernández et al., 2010; Noriega-Navarrete et al., 2021)","noteIndex":0},"citationItems":[{"id":2541,"uris":["http://zotero.org/users/13364072/items/VAEQA7MS"],"itemData":{"id":2541,"type":"document","publisher":"McGraw-Hill/Interamericana Editores","title":"Metodología  de la investigación Quinta edición","URL":"http://repositorio. uasb. edu.bo: 8080/  bitstream/ 54000/ 1210/1/Sampieri-Metdolog%c3%ada%20de%20la%20 investigaci%c3%b3n%205ta%20ed.pdf..","author":[{"family":"Hernández","given":"R"},{"family":"Fernández","given":"C"},{"family":"Baptista","given":"M"}],"issued":{"date-parts":[["2010"]]},"citation-key":"hernandezMetodologiaInvestigacionQuinta2010"}},{"id":3589,"uris":["http://zotero.org/users/13364072/items/8NB885AX"],"itemData":{"id":3589,"type":"article-journal","container-title":"Revista mexicana de ciencias agrícolas","DOI":"10.29312/remexca.v12i1.2552","issue":"1","note":"publisher: Instituto Nacional de Investigaciones Forestales, Agrícolas y Pecuarias","page":"127–140","source":"Google Scholar","title":"Revisión: modelos de crecimiento y rendimiento de maíz en escenarios de cambio climático","title-short":"Revisión","volume":"12","author":[{"family":"Noriega-Navarrete","given":"José Luis"},{"family":"Salazar-Moreno","given":"Raquel"},{"family":"López-Cruz","given":"Irineo Lorenzo"}],"issued":{"date-parts":[["2021"]]},"citation-key":"noriega-navarreteRevisionModelosCrecimiento2021"}}],"schema":"https://github.com/citation-style-language/schema/raw/master/csl-citation.json"} </w:instrText>
      </w:r>
      <w:r w:rsidR="00982367" w:rsidRPr="00756AF1">
        <w:rPr>
          <w:rFonts w:ascii="Arial" w:hAnsi="Arial" w:cs="Arial"/>
        </w:rPr>
        <w:fldChar w:fldCharType="separate"/>
      </w:r>
      <w:r w:rsidR="00982367" w:rsidRPr="00756AF1">
        <w:rPr>
          <w:rFonts w:ascii="Arial" w:hAnsi="Arial" w:cs="Arial"/>
        </w:rPr>
        <w:t>(Hernández et al., 2010; Noriega-Navarrete et al., 2021)</w:t>
      </w:r>
      <w:r w:rsidR="00982367" w:rsidRPr="00756AF1">
        <w:rPr>
          <w:rFonts w:ascii="Arial" w:hAnsi="Arial" w:cs="Arial"/>
        </w:rPr>
        <w:fldChar w:fldCharType="end"/>
      </w:r>
      <w:r w:rsidRPr="00756AF1">
        <w:rPr>
          <w:rFonts w:ascii="Arial" w:hAnsi="Arial" w:cs="Arial"/>
        </w:rPr>
        <w:t xml:space="preserve">, esbozan que </w:t>
      </w:r>
      <w:r w:rsidRPr="00756AF1">
        <w:rPr>
          <w:rStyle w:val="ai-text"/>
          <w:rFonts w:ascii="Arial" w:hAnsi="Arial" w:cs="Arial"/>
        </w:rPr>
        <w:t>un</w:t>
      </w:r>
      <w:r w:rsidRPr="00756AF1">
        <w:rPr>
          <w:rFonts w:ascii="Arial" w:hAnsi="Arial" w:cs="Arial"/>
        </w:rPr>
        <w:t xml:space="preserve"> modelo se describe como una representación simplificada de un sistema </w:t>
      </w:r>
      <w:r w:rsidRPr="00756AF1">
        <w:rPr>
          <w:rStyle w:val="ai-text"/>
          <w:rFonts w:ascii="Arial" w:hAnsi="Arial" w:cs="Arial"/>
        </w:rPr>
        <w:t>real. Un modelo</w:t>
      </w:r>
      <w:r w:rsidRPr="00756AF1">
        <w:rPr>
          <w:rFonts w:ascii="Arial" w:hAnsi="Arial" w:cs="Arial"/>
        </w:rPr>
        <w:t xml:space="preserve"> </w:t>
      </w:r>
      <w:r w:rsidRPr="00756AF1">
        <w:rPr>
          <w:rStyle w:val="ai-text"/>
          <w:rFonts w:ascii="Arial" w:hAnsi="Arial" w:cs="Arial"/>
        </w:rPr>
        <w:t>es,</w:t>
      </w:r>
      <w:r w:rsidRPr="00756AF1">
        <w:rPr>
          <w:rFonts w:ascii="Arial" w:hAnsi="Arial" w:cs="Arial"/>
        </w:rPr>
        <w:t xml:space="preserve"> en esencia, una descripción de </w:t>
      </w:r>
      <w:r w:rsidRPr="00756AF1">
        <w:rPr>
          <w:rStyle w:val="ai-text"/>
          <w:rFonts w:ascii="Arial" w:hAnsi="Arial" w:cs="Arial"/>
        </w:rPr>
        <w:t>las relaciones</w:t>
      </w:r>
      <w:r w:rsidRPr="00756AF1">
        <w:rPr>
          <w:rFonts w:ascii="Arial" w:hAnsi="Arial" w:cs="Arial"/>
        </w:rPr>
        <w:t xml:space="preserve"> entre </w:t>
      </w:r>
      <w:r w:rsidRPr="00756AF1">
        <w:rPr>
          <w:rStyle w:val="ai-text"/>
          <w:rFonts w:ascii="Arial" w:hAnsi="Arial" w:cs="Arial"/>
        </w:rPr>
        <w:t>estos,</w:t>
      </w:r>
      <w:r w:rsidRPr="00756AF1">
        <w:rPr>
          <w:rFonts w:ascii="Arial" w:hAnsi="Arial" w:cs="Arial"/>
        </w:rPr>
        <w:t xml:space="preserve"> para explicar mejor la </w:t>
      </w:r>
      <w:r w:rsidRPr="00756AF1">
        <w:rPr>
          <w:rStyle w:val="ai-text"/>
          <w:rFonts w:ascii="Arial" w:hAnsi="Arial" w:cs="Arial"/>
        </w:rPr>
        <w:t>realidad</w:t>
      </w:r>
      <w:r w:rsidRPr="00756AF1">
        <w:rPr>
          <w:rFonts w:ascii="Arial" w:hAnsi="Arial" w:cs="Arial"/>
        </w:rPr>
        <w:t xml:space="preserve"> cuando es </w:t>
      </w:r>
      <w:r w:rsidRPr="00756AF1">
        <w:rPr>
          <w:rStyle w:val="ai-text"/>
          <w:rFonts w:ascii="Arial" w:hAnsi="Arial" w:cs="Arial"/>
        </w:rPr>
        <w:t>complicado</w:t>
      </w:r>
      <w:r w:rsidRPr="00756AF1">
        <w:rPr>
          <w:rFonts w:ascii="Arial" w:hAnsi="Arial" w:cs="Arial"/>
        </w:rPr>
        <w:t xml:space="preserve"> trabajar directamente en </w:t>
      </w:r>
      <w:r w:rsidRPr="00756AF1">
        <w:rPr>
          <w:rStyle w:val="ai-text"/>
          <w:rFonts w:ascii="Arial" w:hAnsi="Arial" w:cs="Arial"/>
        </w:rPr>
        <w:t>ella.</w:t>
      </w:r>
    </w:p>
    <w:p w14:paraId="695FAF09" w14:textId="50E9F1BB" w:rsidR="00F6075E" w:rsidRPr="00756AF1" w:rsidRDefault="00F6075E" w:rsidP="00F6075E">
      <w:pPr>
        <w:pStyle w:val="NormalWeb"/>
        <w:rPr>
          <w:rFonts w:ascii="Arial" w:hAnsi="Arial" w:cs="Arial"/>
        </w:rPr>
      </w:pPr>
      <w:r w:rsidRPr="00756AF1">
        <w:rPr>
          <w:rFonts w:ascii="Arial" w:hAnsi="Arial" w:cs="Arial"/>
        </w:rPr>
        <w:t xml:space="preserve">Los modelos de simulación son un conjunto de ecuaciones matemáticas que </w:t>
      </w:r>
      <w:r w:rsidRPr="00756AF1">
        <w:rPr>
          <w:rStyle w:val="ai-text"/>
          <w:rFonts w:ascii="Arial" w:hAnsi="Arial" w:cs="Arial"/>
        </w:rPr>
        <w:t>representan</w:t>
      </w:r>
      <w:r w:rsidRPr="00756AF1">
        <w:rPr>
          <w:rFonts w:ascii="Arial" w:hAnsi="Arial" w:cs="Arial"/>
        </w:rPr>
        <w:t xml:space="preserve"> procesos, variables y relaciones entre </w:t>
      </w:r>
      <w:r w:rsidRPr="00756AF1">
        <w:rPr>
          <w:rStyle w:val="ai-text"/>
          <w:rFonts w:ascii="Arial" w:hAnsi="Arial" w:cs="Arial"/>
        </w:rPr>
        <w:t>ellas</w:t>
      </w:r>
      <w:r w:rsidRPr="00756AF1">
        <w:rPr>
          <w:rFonts w:ascii="Arial" w:hAnsi="Arial" w:cs="Arial"/>
        </w:rPr>
        <w:t xml:space="preserve"> de un fenómeno del mundo </w:t>
      </w:r>
      <w:r w:rsidRPr="00756AF1">
        <w:rPr>
          <w:rStyle w:val="ai-text"/>
          <w:rFonts w:ascii="Arial" w:hAnsi="Arial" w:cs="Arial"/>
        </w:rPr>
        <w:t>real. Estos modelos</w:t>
      </w:r>
      <w:r w:rsidRPr="00756AF1">
        <w:rPr>
          <w:rFonts w:ascii="Arial" w:hAnsi="Arial" w:cs="Arial"/>
        </w:rPr>
        <w:t xml:space="preserve"> </w:t>
      </w:r>
      <w:r w:rsidRPr="00756AF1">
        <w:rPr>
          <w:rStyle w:val="ai-text"/>
          <w:rFonts w:ascii="Arial" w:hAnsi="Arial" w:cs="Arial"/>
        </w:rPr>
        <w:t>proporcionan</w:t>
      </w:r>
      <w:r w:rsidRPr="00756AF1">
        <w:rPr>
          <w:rFonts w:ascii="Arial" w:hAnsi="Arial" w:cs="Arial"/>
        </w:rPr>
        <w:t xml:space="preserve"> conjeturas aproximadas de su comportamiento con diferentes variaciones de sus variables.</w:t>
      </w:r>
      <w:r w:rsidR="00982367" w:rsidRPr="00756AF1">
        <w:rPr>
          <w:rFonts w:ascii="Arial" w:hAnsi="Arial" w:cs="Arial"/>
        </w:rPr>
        <w:fldChar w:fldCharType="begin"/>
      </w:r>
      <w:r w:rsidR="00982367" w:rsidRPr="00756AF1">
        <w:rPr>
          <w:rFonts w:ascii="Arial" w:hAnsi="Arial" w:cs="Arial"/>
        </w:rPr>
        <w:instrText xml:space="preserve"> ADDIN ZOTERO_ITEM CSL_CITATION {"citationID":"tXriSTT0","properties":{"formattedCitation":"(Martinez et\\uc0\\u160{}al., 2011)","plainCitation":"(Martinez et al., 2011)","noteIndex":0},"citationItems":[{"id":3631,"uris":["http://zotero.org/users/13364072/items/D7GS3942"],"itemData":{"id":3631,"type":"article-journal","abstract":"Since the beginnings of agriculture, about ten thousand years ago, mankind has benefited from the use of its products by satisfying needs for food and by trade. The agricultural production systems have become more organized and productive, as a result of a greater knowledge on agriculture. However, specialization in agronomyhas led in some cases to the implementation of technical innovations that put out key elements of the production systems, such as social and cultural aspects, climate, and physical, chemical and biological soil properties, that result in failure in the practice. The use of different types of models in agriculture has become an alternative for planning and research, since they can be used to predict the behavior of a plant or animal under different management practices, the soil characteristics, the interaction among different crops, and the behavior of production systems in which livestock and crops interact. Currently the effect of agricultural policies, the rationality of producers, the market characteristics and the environmental aspects have been incorporated. From the point of view of the theory of agroecosystems they have been used to simulate the sustainability, under a holistic and systemic vision. Another important development has been to consider the producer as subject that participates in the modeling process and not as a component of the system that needs to be modeled in what is called the participative modeling. Therefore, the objective of this paper is to analyze the different approaches for the application of the models for the study and planning of agriculture, and their challenges.","container-title":"Tropical and Subtropical Agroecosystems","DOI":"10.56369/tsaes.1103","ISSN":"1870-0462","issue":"3","journalAbbreviation":"Trop Subtrop Agroecosyst","language":"es","source":"DOI.org (Crossref)","title":"APPLICATION OF SIMULATION MODELS IN AGRICULTURAL RESEARCH AND PLANNING, A REVIEW","URL":"https://www.revista.ccba.uady.mx/ojs/index.php/TSA/article/view/1103","volume":"14","author":[{"family":"Martinez","given":"Bernardino Candelaria"},{"family":"Ruiz-Rosado","given":"Octavio"},{"family":"Gallardo Lopez","given":"Felipe"},{"family":"Perez-Hernandez","given":"Ponciano"},{"family":"Martinez Becerra","given":"Angel"},{"family":"Vargas Villamil","given":"Luis"}],"accessed":{"date-parts":[["2025",9,19]]},"issued":{"date-parts":[["2011",9,25]]},"citation-key":"martinezAPPLICATIONSIMULATIONMODELS2011"}}],"schema":"https://github.com/citation-style-language/schema/raw/master/csl-citation.json"} </w:instrText>
      </w:r>
      <w:r w:rsidR="00982367" w:rsidRPr="00756AF1">
        <w:rPr>
          <w:rFonts w:ascii="Arial" w:hAnsi="Arial" w:cs="Arial"/>
        </w:rPr>
        <w:fldChar w:fldCharType="separate"/>
      </w:r>
      <w:r w:rsidR="00982367" w:rsidRPr="00756AF1">
        <w:rPr>
          <w:rFonts w:ascii="Arial" w:hAnsi="Arial" w:cs="Arial"/>
        </w:rPr>
        <w:t>(</w:t>
      </w:r>
      <w:proofErr w:type="spellStart"/>
      <w:r w:rsidR="00982367" w:rsidRPr="00756AF1">
        <w:rPr>
          <w:rFonts w:ascii="Arial" w:hAnsi="Arial" w:cs="Arial"/>
        </w:rPr>
        <w:t>Martinez</w:t>
      </w:r>
      <w:proofErr w:type="spellEnd"/>
      <w:r w:rsidR="00982367" w:rsidRPr="00756AF1">
        <w:rPr>
          <w:rFonts w:ascii="Arial" w:hAnsi="Arial" w:cs="Arial"/>
        </w:rPr>
        <w:t xml:space="preserve"> et al., 2011)</w:t>
      </w:r>
      <w:r w:rsidR="00982367" w:rsidRPr="00756AF1">
        <w:rPr>
          <w:rFonts w:ascii="Arial" w:hAnsi="Arial" w:cs="Arial"/>
        </w:rPr>
        <w:fldChar w:fldCharType="end"/>
      </w:r>
    </w:p>
    <w:p w14:paraId="16CAE163" w14:textId="363194A3" w:rsidR="00F6075E" w:rsidRPr="00756AF1" w:rsidRDefault="00F6075E" w:rsidP="00F6075E">
      <w:pPr>
        <w:pStyle w:val="NormalWeb"/>
        <w:rPr>
          <w:rFonts w:ascii="Arial" w:hAnsi="Arial" w:cs="Arial"/>
        </w:rPr>
      </w:pPr>
      <w:r w:rsidRPr="00756AF1">
        <w:rPr>
          <w:rFonts w:ascii="Arial" w:hAnsi="Arial" w:cs="Arial"/>
        </w:rPr>
        <w:t xml:space="preserve">Lo expuesto permite evidenciar que los modelos de simulación de </w:t>
      </w:r>
      <w:r w:rsidRPr="00756AF1">
        <w:rPr>
          <w:rStyle w:val="ai-text"/>
          <w:rFonts w:ascii="Arial" w:hAnsi="Arial" w:cs="Arial"/>
        </w:rPr>
        <w:t>cultivo ayudan</w:t>
      </w:r>
      <w:r w:rsidRPr="00756AF1">
        <w:rPr>
          <w:rFonts w:ascii="Arial" w:hAnsi="Arial" w:cs="Arial"/>
        </w:rPr>
        <w:t xml:space="preserve"> a comprender mejor la interacción genética-fisiológica-ambiental, con una integración </w:t>
      </w:r>
      <w:r w:rsidRPr="00756AF1">
        <w:rPr>
          <w:rStyle w:val="ai-text"/>
          <w:rFonts w:ascii="Arial" w:hAnsi="Arial" w:cs="Arial"/>
        </w:rPr>
        <w:t xml:space="preserve">interdisciplinaria </w:t>
      </w:r>
      <w:r w:rsidR="00887619" w:rsidRPr="00756AF1">
        <w:rPr>
          <w:rStyle w:val="ai-text"/>
          <w:rFonts w:ascii="Arial" w:hAnsi="Arial" w:cs="Arial"/>
        </w:rPr>
        <w:fldChar w:fldCharType="begin"/>
      </w:r>
      <w:r w:rsidR="00887619" w:rsidRPr="00756AF1">
        <w:rPr>
          <w:rStyle w:val="ai-text"/>
          <w:rFonts w:ascii="Arial" w:hAnsi="Arial" w:cs="Arial"/>
        </w:rPr>
        <w:instrText xml:space="preserve"> ADDIN ZOTERO_ITEM CSL_CITATION {"citationID":"uZMwaUBE","properties":{"formattedCitation":"(Jones et\\uc0\\u160{}al., 2003)","plainCitation":"(Jones et al., 2003)","noteIndex":0},"citationItems":[{"id":3706,"uris":["http://zotero.org/users/13364072/items/L9ADLZFT"],"itemData":{"id":3706,"type":"article-journal","abstract":"The decision support system for agrotechnology transfer (DSSAT) has been in use for the last 15 years by researchers worldwide. This package incorporates models of 16 different crops with software that facilitates the evaluation and application of the crop models for different purposes. Over the last few years, it has become increasingly difficult to maintain the DSSAT crop models, partly due to fact that there were different sets of computer code for different crops with little attention to software design at the level of crop models themselves. Thus, the DSSAT crop models have been re-designed and programmed to facilitate more efficient incorporation of new scientific advances, applications, documentation and maintenance. The basis for the new DSSAT cropping system model (CSM) design is a modular structure in which components separate along scientific discipline lines and are structured to allow easy replacement or addition of modules. It has one Soil module, a Crop Template module which can simulate different crops by defining species input files, an interface to add individual crop models if they have the same design and interface, a Weather module, and a module for dealing with competition for light and water among the soil, plants, and atmosphere. It is also designed for incorporation into various application packages, ranging from those that help researchers adapt and test the CSM to those that operate the DSSAT–CSM to simulate production over time and space for different purposes. In this paper, we describe this new DSSAT–CSM design as well as approaches used to model the primary scientific components (soil, crop, weather, and management). In addition, the paper describes data requirements and methods used for model evaluation. We provide an overview of the hundreds of published studies in which the DSSAT crop models have been used for various applications. The benefits of the new, re-designed DSSAT–CSM will provide considerable opportunities to its developers and others in the scientific community for greater cooperation in interdisciplinary research and in the application of knowledge to solve problems at field, farm, and higher levels.","collection-title":"Modelling Cropping Systems: Science, Software and Applications","container-title":"European Journal of Agronomy","DOI":"10.1016/S1161-0301(02)00107-7","ISSN":"1161-0301","issue":"3","journalAbbreviation":"European Journal of Agronomy","page":"235-265","source":"ScienceDirect","title":"The DSSAT cropping system model","volume":"18","author":[{"family":"Jones","given":"J. W"},{"family":"Hoogenboom","given":"G"},{"family":"Porter","given":"C. H"},{"family":"Boote","given":"K. J"},{"family":"Batchelor","given":"W. D"},{"family":"Hunt","given":"L. A"},{"family":"Wilkens","given":"P. W"},{"family":"Singh","given":"U"},{"family":"Gijsman","given":"A. J"},{"family":"Ritchie","given":"J. T"}],"issued":{"date-parts":[["2003",1,1]]},"citation-key":"jonesDSSATCroppingSystem2003i"}}],"schema":"https://github.com/citation-style-language/schema/raw/master/csl-citation.json"} </w:instrText>
      </w:r>
      <w:r w:rsidR="00887619" w:rsidRPr="00756AF1">
        <w:rPr>
          <w:rStyle w:val="ai-text"/>
          <w:rFonts w:ascii="Arial" w:hAnsi="Arial" w:cs="Arial"/>
        </w:rPr>
        <w:fldChar w:fldCharType="separate"/>
      </w:r>
      <w:r w:rsidR="00887619" w:rsidRPr="00756AF1">
        <w:rPr>
          <w:rFonts w:ascii="Arial" w:hAnsi="Arial" w:cs="Arial"/>
        </w:rPr>
        <w:t>(Jones et al., 2003)</w:t>
      </w:r>
      <w:r w:rsidR="00887619" w:rsidRPr="00756AF1">
        <w:rPr>
          <w:rStyle w:val="ai-text"/>
          <w:rFonts w:ascii="Arial" w:hAnsi="Arial" w:cs="Arial"/>
        </w:rPr>
        <w:fldChar w:fldCharType="end"/>
      </w:r>
      <w:r w:rsidRPr="00756AF1">
        <w:rPr>
          <w:rStyle w:val="ai-text"/>
          <w:rFonts w:ascii="Arial" w:hAnsi="Arial" w:cs="Arial"/>
        </w:rPr>
        <w:t>.</w:t>
      </w:r>
    </w:p>
    <w:p w14:paraId="003542C6" w14:textId="60EF6BB1" w:rsidR="00F6075E" w:rsidRPr="00756AF1" w:rsidRDefault="00F6075E" w:rsidP="00F6075E">
      <w:pPr>
        <w:pStyle w:val="NormalWeb"/>
        <w:rPr>
          <w:rFonts w:ascii="Arial" w:hAnsi="Arial" w:cs="Arial"/>
        </w:rPr>
      </w:pPr>
      <w:r w:rsidRPr="00756AF1">
        <w:rPr>
          <w:rFonts w:ascii="Arial" w:hAnsi="Arial" w:cs="Arial"/>
        </w:rPr>
        <w:t xml:space="preserve">La agricultura es una actividad con múltiples implicaciones: sociales, biológicas, económicas, culturales, humanas, políticas y de </w:t>
      </w:r>
      <w:r w:rsidRPr="00756AF1">
        <w:rPr>
          <w:rStyle w:val="ai-text"/>
          <w:rFonts w:ascii="Arial" w:hAnsi="Arial" w:cs="Arial"/>
        </w:rPr>
        <w:t>mercado. Por</w:t>
      </w:r>
      <w:r w:rsidRPr="00756AF1">
        <w:rPr>
          <w:rFonts w:ascii="Arial" w:hAnsi="Arial" w:cs="Arial"/>
        </w:rPr>
        <w:t xml:space="preserve"> lo que obtener modelos que logren abarcarlas, representarlas y relacionarlas totalmente como sistema, es una tarea difícil de conseguir, pero con gran </w:t>
      </w:r>
      <w:r w:rsidRPr="00756AF1">
        <w:rPr>
          <w:rStyle w:val="ai-text"/>
          <w:rFonts w:ascii="Arial" w:hAnsi="Arial" w:cs="Arial"/>
        </w:rPr>
        <w:t>importancia</w:t>
      </w:r>
      <w:r w:rsidRPr="00756AF1">
        <w:rPr>
          <w:rFonts w:ascii="Arial" w:hAnsi="Arial" w:cs="Arial"/>
        </w:rPr>
        <w:t xml:space="preserve"> para complementar los esfuerzos realizados en diferentes campos y lograr el desarrollo agrícola. Estos modelos de simulación de cultivos ofrecen grandes ventajas para los sistemas </w:t>
      </w:r>
      <w:r w:rsidRPr="00756AF1">
        <w:rPr>
          <w:rStyle w:val="ai-text"/>
          <w:rFonts w:ascii="Arial" w:hAnsi="Arial" w:cs="Arial"/>
        </w:rPr>
        <w:t>productivos,</w:t>
      </w:r>
      <w:r w:rsidRPr="00756AF1">
        <w:rPr>
          <w:rFonts w:ascii="Arial" w:hAnsi="Arial" w:cs="Arial"/>
        </w:rPr>
        <w:t xml:space="preserve"> como se muestran a continuación</w:t>
      </w:r>
      <w:r w:rsidRPr="00756AF1">
        <w:rPr>
          <w:rStyle w:val="Textoennegrita"/>
          <w:rFonts w:ascii="Arial" w:hAnsi="Arial" w:cs="Arial"/>
        </w:rPr>
        <w:t xml:space="preserve"> </w:t>
      </w:r>
      <w:r w:rsidR="00CC733C" w:rsidRPr="00756AF1">
        <w:rPr>
          <w:rStyle w:val="Textoennegrita"/>
          <w:rFonts w:ascii="Arial" w:hAnsi="Arial" w:cs="Arial"/>
        </w:rPr>
        <w:fldChar w:fldCharType="begin"/>
      </w:r>
      <w:r w:rsidR="00CC733C" w:rsidRPr="00756AF1">
        <w:rPr>
          <w:rStyle w:val="Textoennegrita"/>
          <w:rFonts w:ascii="Arial" w:hAnsi="Arial" w:cs="Arial"/>
        </w:rPr>
        <w:instrText xml:space="preserve"> ADDIN ZOTERO_ITEM CSL_CITATION {"citationID":"iCEwKVaO","properties":{"formattedCitation":"(Martinez et\\uc0\\u160{}al., 2011; Rodr\\uc0\\u237{}guez Gonz\\uc0\\u225{}lez et\\uc0\\u160{}al., 2021; Sinclair &amp; Seligman, 1996)","plainCitation":"(Martinez et al., 2011; Rodríguez González et al., 2021; Sinclair &amp; Seligman, 1996)","noteIndex":0},"citationItems":[{"id":3631,"uris":["http://zotero.org/users/13364072/items/D7GS3942"],"itemData":{"id":3631,"type":"article-journal","abstract":"Since the beginnings of agriculture, about ten thousand years ago, mankind has benefited from the use of its products by satisfying needs for food and by trade. The agricultural production systems have become more organized and productive, as a result of a greater knowledge on agriculture. However, specialization in agronomyhas led in some cases to the implementation of technical innovations that put out key elements of the production systems, such as social and cultural aspects, climate, and physical, chemical and biological soil properties, that result in failure in the practice. The use of different types of models in agriculture has become an alternative for planning and research, since they can be used to predict the behavior of a plant or animal under different management practices, the soil characteristics, the interaction among different crops, and the behavior of production systems in which livestock and crops interact. Currently the effect of agricultural policies, the rationality of producers, the market characteristics and the environmental aspects have been incorporated. From the point of view of the theory of agroecosystems they have been used to simulate the sustainability, under a holistic and systemic vision. Another important development has been to consider the producer as subject that participates in the modeling process and not as a component of the system that needs to be modeled in what is called the participative modeling. Therefore, the objective of this paper is to analyze the different approaches for the application of the models for the study and planning of agriculture, and their challenges.","container-title":"Tropical and Subtropical Agroecosystems","DOI":"10.56369/tsaes.1103","ISSN":"1870-0462","issue":"3","journalAbbreviation":"Trop Subtrop Agroecosyst","language":"es","source":"DOI.org (Crossref)","title":"APPLICATION OF SIMULATION MODELS IN AGRICULTURAL RESEARCH AND PLANNING, A REVIEW","URL":"https://www.revista.ccba.uady.mx/ojs/index.php/TSA/article/view/1103","volume":"14","author":[{"family":"Martinez","given":"Bernardino Candelaria"},{"family":"Ruiz-Rosado","given":"Octavio"},{"family":"Gallardo Lopez","given":"Felipe"},{"family":"Perez-Hernandez","given":"Ponciano"},{"family":"Martinez Becerra","given":"Angel"},{"family":"Vargas Villamil","given":"Luis"}],"accessed":{"date-parts":[["2025",9,19]]},"issued":{"date-parts":[["2011",9,25]]},"citation-key":"martinezAPPLICATIONSIMULATIONMODELS2011"}},{"id":3499,"uris":["http://zotero.org/users/13364072/items/ELPP7NQ7"],"itemData":{"id":3499,"type":"article-journal","container-title":"Cuban Journal of Agricultural Science","ISSN":"2079-3480","issue":"2","note":"publisher: Instituto de Ciencia Animal","source":"SciELO","title":"Simulación de estrategias de manejo a partir del modelo DSSAT para incrementar los rendimientos de un cultivar de maíz","URL":"http://scielo.sld.cu/scielo.php?script=sci_abstract&amp;pid=S2079-34802021000200008&amp;lng=es&amp;nrm=iso&amp;tlng=en","volume":"55","author":[{"family":"Rodríguez González","given":"O."},{"family":"Florido Bacallao","given":"R."},{"family":"Hernández Córdova","given":"Naivy"},{"family":"Soto Carreño","given":"F."},{"family":"Jeréz Mompié","given":"E. I."},{"family":"González Viera","given":"Deborah"},{"family":"Vázquez Montenegro","given":"R. J."},{"family":"Rodríguez González","given":"O."},{"family":"Florido Bacallao","given":"R."},{"family":"Hernández Córdova","given":"Naivy"},{"family":"Soto Carreño","given":"F."},{"family":"Jeréz Mompié","given":"E. I."},{"family":"González Viera","given":"Deborah"},{"family":"Vázquez Montenegro","given":"R. J."}],"accessed":{"date-parts":[["2025",4,9]]},"issued":{"date-parts":[["2021",6]]},"citation-key":"rodriguezgonzalezSimulacionEstrategiasManejo2021b"}},{"id":2989,"uris":["http://zotero.org/users/13364072/items/D6RQDPAK"],"itemData":{"id":2989,"type":"article-journal","abstract":"Crop modeling, the computerized simulation of dynamic crop systems, was born about 30 years ago, when systems analysis and modern computers presented a new technique to crop scientists. Since then, crop modeling has gone through a number of developmental stages, similar to those of living organisms. From its infancy, crop modeling seemed to promise a well-behaved, elegant surrogate for ambiguous and cumbersome field experimentation. Indeed, some of the earliest models proved to be among the most notable achievements to date. During the juvenile stage that followed, there was an impressive increase in complexity and computer sophistication, accompanied by some of the growing pains of childhood. Greater expectations led to more and more detailed descriptions of the functioning of the biotic and abiotic components of cropping systems. The results were often trivial, and the big payoff tended to recede into the future, but the need for predicting future crop performance for management and hypothesis testing, together with progress in crop science and computer technology, spurred crop modeling. The next phase, adolescence, a period marked by intense activity, confusion, and excessive confidence-sometimes challenged by doubt-appears to be extending into the present. Not only is the original promise turning out to be elusive, but widely accepted guidelines for scientific modeling, such as greater reductionism, universality, and validation, are being questioned. Maturity may be emerging as expectations become pragmatically adjusted to reality. Crop modeling, like advanced ecological modeling, is proving to be more a heuristic tool than a surrogate for reality. In academic, research, and applied roles, such models can be of great value when used as aids to reasoning about the functioning and response of crop systems under many relevant, nontrivial scenarios.","container-title":"Agronomy Journal","DOI":"10.2134/agronj1996.00021962008800050004x","ISSN":"1435-0645","issue":"5","language":"en","license":"Copyright © 1996 American Society of Agronomy","note":"number: 5\n_eprint: https://onlinelibrary.wiley.com/doi/pdf/10.2134/agronj1996.00021962008800050004x","page":"698-704","source":"Wiley Online Library","title":"Crop Modeling: From Infancy to Maturity","title-short":"Crop Modeling","volume":"88","author":[{"family":"Sinclair","given":"Thomas R."},{"family":"Seligman","given":"No'am G."}],"issued":{"date-parts":[["1996"]]},"citation-key":"sinclairCropModelingInfancy1996"}}],"schema":"https://github.com/citation-style-language/schema/raw/master/csl-citation.json"} </w:instrText>
      </w:r>
      <w:r w:rsidR="00CC733C" w:rsidRPr="00756AF1">
        <w:rPr>
          <w:rStyle w:val="Textoennegrita"/>
          <w:rFonts w:ascii="Arial" w:hAnsi="Arial" w:cs="Arial"/>
        </w:rPr>
        <w:fldChar w:fldCharType="separate"/>
      </w:r>
      <w:r w:rsidR="00CC733C" w:rsidRPr="00756AF1">
        <w:rPr>
          <w:rFonts w:ascii="Arial" w:hAnsi="Arial" w:cs="Arial"/>
        </w:rPr>
        <w:t>(Martinez et al., 2011; Rodríguez González et al., 2021; Sinclair &amp; Seligman, 1996)</w:t>
      </w:r>
      <w:r w:rsidR="00CC733C" w:rsidRPr="00756AF1">
        <w:rPr>
          <w:rStyle w:val="Textoennegrita"/>
          <w:rFonts w:ascii="Arial" w:hAnsi="Arial" w:cs="Arial"/>
        </w:rPr>
        <w:fldChar w:fldCharType="end"/>
      </w:r>
    </w:p>
    <w:p w14:paraId="164F5510" w14:textId="573A8AA2" w:rsidR="00F6075E" w:rsidRPr="00756AF1" w:rsidRDefault="00F6075E" w:rsidP="00F6075E">
      <w:pPr>
        <w:pStyle w:val="NormalWeb"/>
        <w:rPr>
          <w:rFonts w:ascii="Arial" w:hAnsi="Arial" w:cs="Arial"/>
        </w:rPr>
      </w:pPr>
      <w:r w:rsidRPr="00756AF1">
        <w:rPr>
          <w:rStyle w:val="ai-text"/>
          <w:rFonts w:ascii="Arial" w:hAnsi="Arial" w:cs="Arial"/>
        </w:rPr>
        <w:t>•</w:t>
      </w:r>
      <w:r w:rsidRPr="00756AF1">
        <w:rPr>
          <w:rFonts w:ascii="Arial" w:hAnsi="Arial" w:cs="Arial"/>
        </w:rPr>
        <w:t xml:space="preserve"> Permite estudiar sistemas reales que no se pueden evaluar analíticamente. En la práctica, la mayoría de los sistemas se estudian mediante simulación. De </w:t>
      </w:r>
      <w:r w:rsidRPr="00756AF1">
        <w:rPr>
          <w:rStyle w:val="ai-text"/>
          <w:rFonts w:ascii="Arial" w:hAnsi="Arial" w:cs="Arial"/>
        </w:rPr>
        <w:t>hecho,</w:t>
      </w:r>
      <w:r w:rsidRPr="00756AF1">
        <w:rPr>
          <w:rFonts w:ascii="Arial" w:hAnsi="Arial" w:cs="Arial"/>
        </w:rPr>
        <w:t xml:space="preserve"> es la técnica de Investigación Operativa más</w:t>
      </w:r>
      <w:r w:rsidRPr="00756AF1">
        <w:rPr>
          <w:rStyle w:val="ai-text"/>
          <w:rFonts w:ascii="Arial" w:hAnsi="Arial" w:cs="Arial"/>
        </w:rPr>
        <w:t xml:space="preserve"> utilizada </w:t>
      </w:r>
      <w:r w:rsidR="00887619" w:rsidRPr="00756AF1">
        <w:rPr>
          <w:rStyle w:val="ai-text"/>
          <w:rFonts w:ascii="Arial" w:hAnsi="Arial" w:cs="Arial"/>
        </w:rPr>
        <w:fldChar w:fldCharType="begin"/>
      </w:r>
      <w:r w:rsidR="00887619" w:rsidRPr="00756AF1">
        <w:rPr>
          <w:rStyle w:val="ai-text"/>
          <w:rFonts w:ascii="Arial" w:hAnsi="Arial" w:cs="Arial"/>
        </w:rPr>
        <w:instrText xml:space="preserve"> ADDIN ZOTERO_ITEM CSL_CITATION {"citationID":"gmcJSBvM","properties":{"formattedCitation":"(van Ittersum et\\uc0\\u160{}al., 2003)","plainCitation":"(van Ittersum et al., 2003)","noteIndex":0},"citationItems":[{"id":3708,"uris":["http://zotero.org/users/13364072/items/B6QVD773"],"itemData":{"id":3708,"type":"article-journal","abstract":"Since the pioneering work of C.T. de Wit in the 1960s, the Wageningen group has built a tradition in developing and applying crop models. Rather than focusing on a few models, diversity is its trademark. Here we present an overview of the Wageningen crop and crop-soil modelling approaches along three criteria. The first criterion relates to the production situations the models are dealing with (i.e. potential, water and/or nutrient-limited, and actual production situations including pests, diseases and weeds). Second, models differ as a result of the objectives of model development, and hence required scale and degree of detail and comprehensiveness. Third, models have at least three potential application domains, i.e. research, education and support of learning and decision making processes. We describe both summary and more comprehensive modelling approaches for the major production situations. An overview of most of the Wageningen models is presented together with a more detailed description of LINTUL, SUCROS, ORYZA, WOFOST and INTERCOM. Illustrations for each of the three application domains are presented, i.e. plant type design, guiding experimental research, education, yield gap analysis, evaluation of manure policies, crop growth monitoring system and analysis and design of farming and regional land use systems. We discuss common issues of model verification, model validation, model validity and data requirements, and present information on software implementation, model and software documentation and distribution policy. Finally, we reflect upon the Wageningen modelling approaches and identify a number of key issues for future research. Major achievements of Wageningen modelling efforts include (1) a broad variety of approaches for modelling of systems at different scales and with different purposes; (2) their contribution to quantitative systems thinking in general, also for applications at higher hierarchical levels; (3) a strong linkage between crop modelling and higher education, both at undergraduate, graduate and post-doctoral level. To continually increase our understanding of crops and production systems a diversified approach must be cherished. At the same time we conclude that focus is required on a limited number of modules in a more integrated modelling framework for the benefit of analysing, evaluating and designing cropping systems. This review may be instrumental in the development of such an integrated framework.","collection-title":"Modelling Cropping Systems: Science, Software and Applications","container-title":"European Journal of Agronomy","DOI":"10.1016/S1161-0301(02)00106-5","ISSN":"1161-0301","issue":"3","journalAbbreviation":"European Journal of Agronomy","page":"201-234","source":"ScienceDirect","title":"On approaches and applications of the Wageningen crop models","volume":"18","author":[{"family":"Ittersum","given":"M. K","non-dropping-particle":"van"},{"family":"Leffelaar","given":"P. A"},{"family":"Keulen","given":"H","non-dropping-particle":"van"},{"family":"Kropff","given":"M. J"},{"family":"Bastiaans","given":"L"},{"family":"Goudriaan","given":"J"}],"issued":{"date-parts":[["2003",1,1]]},"citation-key":"vanittersumApproachesApplicationsWageningen2003"}}],"schema":"https://github.com/citation-style-language/schema/raw/master/csl-citation.json"} </w:instrText>
      </w:r>
      <w:r w:rsidR="00887619" w:rsidRPr="00756AF1">
        <w:rPr>
          <w:rStyle w:val="ai-text"/>
          <w:rFonts w:ascii="Arial" w:hAnsi="Arial" w:cs="Arial"/>
        </w:rPr>
        <w:fldChar w:fldCharType="separate"/>
      </w:r>
      <w:r w:rsidR="00887619" w:rsidRPr="00756AF1">
        <w:rPr>
          <w:rFonts w:ascii="Arial" w:hAnsi="Arial" w:cs="Arial"/>
        </w:rPr>
        <w:t>(van Ittersum et al., 2003)</w:t>
      </w:r>
      <w:r w:rsidR="00887619" w:rsidRPr="00756AF1">
        <w:rPr>
          <w:rStyle w:val="ai-text"/>
          <w:rFonts w:ascii="Arial" w:hAnsi="Arial" w:cs="Arial"/>
        </w:rPr>
        <w:fldChar w:fldCharType="end"/>
      </w:r>
      <w:r w:rsidRPr="00756AF1">
        <w:rPr>
          <w:rStyle w:val="ai-text"/>
          <w:rFonts w:ascii="Arial" w:hAnsi="Arial" w:cs="Arial"/>
        </w:rPr>
        <w:t>.</w:t>
      </w:r>
    </w:p>
    <w:p w14:paraId="7C7F03F4" w14:textId="1252362B" w:rsidR="00F6075E" w:rsidRPr="00756AF1" w:rsidRDefault="00F6075E" w:rsidP="00F6075E">
      <w:pPr>
        <w:pStyle w:val="NormalWeb"/>
        <w:rPr>
          <w:rFonts w:ascii="Arial" w:hAnsi="Arial" w:cs="Arial"/>
        </w:rPr>
      </w:pPr>
      <w:r w:rsidRPr="00756AF1">
        <w:rPr>
          <w:rStyle w:val="ai-text"/>
          <w:rFonts w:ascii="Arial" w:hAnsi="Arial" w:cs="Arial"/>
        </w:rPr>
        <w:lastRenderedPageBreak/>
        <w:t>•</w:t>
      </w:r>
      <w:r w:rsidRPr="00756AF1">
        <w:rPr>
          <w:rFonts w:ascii="Arial" w:hAnsi="Arial" w:cs="Arial"/>
        </w:rPr>
        <w:t xml:space="preserve"> Hace posible estimar el comportamiento de un sistema existente si se modifican algunas de las condiciones de funcionamiento actuales. </w:t>
      </w:r>
      <w:r w:rsidRPr="00756AF1">
        <w:rPr>
          <w:rStyle w:val="ai-text"/>
          <w:rFonts w:ascii="Arial" w:hAnsi="Arial" w:cs="Arial"/>
        </w:rPr>
        <w:t>Además,</w:t>
      </w:r>
      <w:r w:rsidRPr="00756AF1">
        <w:rPr>
          <w:rFonts w:ascii="Arial" w:hAnsi="Arial" w:cs="Arial"/>
        </w:rPr>
        <w:t xml:space="preserve"> no es necesario interrumpir el funcionamiento del sistema </w:t>
      </w:r>
      <w:r w:rsidRPr="00756AF1">
        <w:rPr>
          <w:rStyle w:val="ai-text"/>
          <w:rFonts w:ascii="Arial" w:hAnsi="Arial" w:cs="Arial"/>
        </w:rPr>
        <w:t xml:space="preserve">real para probar si esos cambios producen mejoras </w:t>
      </w:r>
      <w:r w:rsidR="00887619" w:rsidRPr="00756AF1">
        <w:rPr>
          <w:rStyle w:val="ai-text"/>
          <w:rFonts w:ascii="Arial" w:hAnsi="Arial" w:cs="Arial"/>
        </w:rPr>
        <w:fldChar w:fldCharType="begin"/>
      </w:r>
      <w:r w:rsidR="00887619" w:rsidRPr="00756AF1">
        <w:rPr>
          <w:rStyle w:val="ai-text"/>
          <w:rFonts w:ascii="Arial" w:hAnsi="Arial" w:cs="Arial"/>
        </w:rPr>
        <w:instrText xml:space="preserve"> ADDIN ZOTERO_ITEM CSL_CITATION {"citationID":"t5gEfdea","properties":{"formattedCitation":"(Steduto et\\uc0\\u160{}al., 2009)","plainCitation":"(Steduto et al., 2009)","noteIndex":0},"citationItems":[{"id":3710,"uris":["http://zotero.org/users/13364072/items/N87R9HSX"],"itemData":{"id":3710,"type":"article-journal","abstract":"This article introduces the FAO crop model AquaCrop. It simulates attainable yields of major herbaceous crops as a function of water consumption under rainfed, supplemental, deficit, and full irrigation conditions. The growth engine of AquaCrop is water-driven, in that transpiration is calculated first and translated into biomass using a conservative, crop-specific parameter: the biomass water productivity, normalized for atmospheric evaporative demand and air CO2 concentration. The normalization is to make AquaCrop applicable to diverse locations and seasons. Simulations are performed on thermal time, but can be on calendar time, in daily time-steps. The model uses canopy ground cover instead of leaf area index (LAI) as the basis to calculate transpiration and to separate out soil evaporation from transpiration. Crop yield is calculated as the product of biomass and harvest index (HI). At the start of yield formation period, HI increases linearly with time after a lag phase, until near physiological maturity. Other than for the yield, there is no biomass partitioning into the various organs. Crop responses to water deficits are simulated with four modifiers that are functions of fractional available soil water modulated by evaporative demand, based on the differential sensitivity to water stress of four key plant processes: canopy expansion, stomatal control of transpiration, canopy senescence, and HI. The HI can be modified negatively or positively, depending on stress level, timing, and canopy duration. AquaCrop uses a relatively small number of parameters (explicit and mostly intuitive) and attempts to balance simplicity, accuracy, and robustness. The model is aimed mainly at practitioner-type end-users such as those working for extension services, consulting engineers, governmental agencies, nongovernmental organizations, and various kinds of farmers associations. It is also designed to fit the need of economists and policy specialists who use simple models for planning and scenario analysis.","container-title":"Agronomy Journal","DOI":"10.2134/agronj2008.0139s","ISSN":"1435-0645","issue":"3","language":"en","license":"Copyright © 2009 by the American Society of Agronomy","note":"_eprint: https://acsess.onlinelibrary.wiley.com/doi/pdf/10.2134/agronj2008.0139s","page":"426-437","source":"Wiley Online Library","title":"AquaCrop—The FAO Crop Model to Simulate Yield Response to Water: I. Concepts and Underlying Principles","title-short":"AquaCrop—The FAO Crop Model to Simulate Yield Response to Water","volume":"101","author":[{"family":"Steduto","given":"Pasquale"},{"family":"Hsiao","given":"Theodore C."},{"family":"Raes","given":"Dirk"},{"family":"Fereres","given":"Elias"}],"issued":{"date-parts":[["2009"]]},"citation-key":"stedutoAquaCropFAOCrop2009"}}],"schema":"https://github.com/citation-style-language/schema/raw/master/csl-citation.json"} </w:instrText>
      </w:r>
      <w:r w:rsidR="00887619" w:rsidRPr="00756AF1">
        <w:rPr>
          <w:rStyle w:val="ai-text"/>
          <w:rFonts w:ascii="Arial" w:hAnsi="Arial" w:cs="Arial"/>
        </w:rPr>
        <w:fldChar w:fldCharType="separate"/>
      </w:r>
      <w:r w:rsidR="00887619" w:rsidRPr="00756AF1">
        <w:rPr>
          <w:rFonts w:ascii="Arial" w:hAnsi="Arial" w:cs="Arial"/>
        </w:rPr>
        <w:t>(Steduto et al., 2009)</w:t>
      </w:r>
      <w:r w:rsidR="00887619" w:rsidRPr="00756AF1">
        <w:rPr>
          <w:rStyle w:val="ai-text"/>
          <w:rFonts w:ascii="Arial" w:hAnsi="Arial" w:cs="Arial"/>
        </w:rPr>
        <w:fldChar w:fldCharType="end"/>
      </w:r>
      <w:r w:rsidRPr="00756AF1">
        <w:rPr>
          <w:rStyle w:val="ai-text"/>
          <w:rFonts w:ascii="Arial" w:hAnsi="Arial" w:cs="Arial"/>
        </w:rPr>
        <w:t>.</w:t>
      </w:r>
    </w:p>
    <w:p w14:paraId="2FC7983E" w14:textId="42921A80" w:rsidR="00F6075E" w:rsidRPr="00756AF1" w:rsidRDefault="00F6075E" w:rsidP="00F6075E">
      <w:pPr>
        <w:pStyle w:val="NormalWeb"/>
        <w:rPr>
          <w:rFonts w:ascii="Arial" w:hAnsi="Arial" w:cs="Arial"/>
        </w:rPr>
      </w:pPr>
      <w:r w:rsidRPr="00756AF1">
        <w:rPr>
          <w:rStyle w:val="ai-text"/>
          <w:rFonts w:ascii="Arial" w:hAnsi="Arial" w:cs="Arial"/>
        </w:rPr>
        <w:t>•</w:t>
      </w:r>
      <w:r w:rsidRPr="00756AF1">
        <w:rPr>
          <w:rFonts w:ascii="Arial" w:hAnsi="Arial" w:cs="Arial"/>
        </w:rPr>
        <w:t xml:space="preserve"> </w:t>
      </w:r>
      <w:r w:rsidRPr="00756AF1">
        <w:rPr>
          <w:rStyle w:val="ai-text"/>
          <w:rFonts w:ascii="Arial" w:hAnsi="Arial" w:cs="Arial"/>
        </w:rPr>
        <w:t>Antes de construir un sistema, se</w:t>
      </w:r>
      <w:r w:rsidRPr="00756AF1">
        <w:rPr>
          <w:rFonts w:ascii="Arial" w:hAnsi="Arial" w:cs="Arial"/>
        </w:rPr>
        <w:t xml:space="preserve"> pueden comparar distintas alternativas de diseño (o de formas de operar de un </w:t>
      </w:r>
      <w:r w:rsidRPr="00756AF1">
        <w:rPr>
          <w:rStyle w:val="ai-text"/>
          <w:rFonts w:ascii="Arial" w:hAnsi="Arial" w:cs="Arial"/>
        </w:rPr>
        <w:t>sistema)</w:t>
      </w:r>
      <w:r w:rsidRPr="00756AF1">
        <w:rPr>
          <w:rFonts w:ascii="Arial" w:hAnsi="Arial" w:cs="Arial"/>
        </w:rPr>
        <w:t xml:space="preserve"> para ver </w:t>
      </w:r>
      <w:r w:rsidRPr="00756AF1">
        <w:rPr>
          <w:rStyle w:val="ai-text"/>
          <w:rFonts w:ascii="Arial" w:hAnsi="Arial" w:cs="Arial"/>
        </w:rPr>
        <w:t>cuál</w:t>
      </w:r>
      <w:r w:rsidRPr="00756AF1">
        <w:rPr>
          <w:rFonts w:ascii="Arial" w:hAnsi="Arial" w:cs="Arial"/>
        </w:rPr>
        <w:t xml:space="preserve"> se comporta </w:t>
      </w:r>
      <w:r w:rsidRPr="00756AF1">
        <w:rPr>
          <w:rStyle w:val="ai-text"/>
          <w:rFonts w:ascii="Arial" w:hAnsi="Arial" w:cs="Arial"/>
        </w:rPr>
        <w:t xml:space="preserve">mejor </w:t>
      </w:r>
      <w:r w:rsidR="00887619" w:rsidRPr="00756AF1">
        <w:rPr>
          <w:rStyle w:val="ai-text"/>
          <w:rFonts w:ascii="Arial" w:hAnsi="Arial" w:cs="Arial"/>
        </w:rPr>
        <w:fldChar w:fldCharType="begin"/>
      </w:r>
      <w:r w:rsidR="00887619" w:rsidRPr="00756AF1">
        <w:rPr>
          <w:rStyle w:val="ai-text"/>
          <w:rFonts w:ascii="Arial" w:hAnsi="Arial" w:cs="Arial"/>
        </w:rPr>
        <w:instrText xml:space="preserve"> ADDIN ZOTERO_ITEM CSL_CITATION {"citationID":"8JFL1dHw","properties":{"formattedCitation":"(Tavares Antunes et\\uc0\\u160{}al., 2019)","plainCitation":"(Tavares Antunes et al., 2019)","noteIndex":0},"citationItems":[{"id":3712,"uris":["http://zotero.org/users/13364072/items/2XTN22EJ"],"itemData":{"id":3712,"type":"article-journal","abstract":"Inadequate eating habits, among other factors, lead to nutritional deficiencies worldwide. Attempts have been made to control micronutrient deficits, such as biofortification of usually consumed crops, but the interaction between food components may affect the bioavailability of the nutrients. Thus, this study aimed to evaluate the effect of pro-vitamin A on the bioavailability of iron in biofortified cowpea and cassava mixture, compared to their conventional counterparts. The chemical composition of the raw material was determined, and an in vivo study was performed, with Wistar rats, using the depletion-repletion method. Gene expression of iron-metabolism proteins was evaluated. Results were compared by analysis of variance (ANOVA), followed by the Tukey test (p &lt; 0.05). Biofortified cowpea (BRS Aracê) showed an increase of approximately 19.5% in iron content compared to conventional (BRS Nova era). No difference in Hemoglobin gain was observed between groups. However, the animals fed biofortified cowpea were similar to ferrous sulfate (Control group) regarding the expression of the hephaestin and ferroportin proteins, suggesting a greater efficiency in the intestinal absorption of iron. Thus, this study points out a higher efficiency of the biofortified cowpea in the bioavailability of iron, regardless of the presence of pro-vitamin A.","container-title":"Agronomy","DOI":"10.3390/agronomy9120777","ISSN":"2073-4395","issue":"12","language":"en","license":"http://creativecommons.org/licenses/by/3.0/","note":"publisher: Multidisciplinary Digital Publishing Institute","page":"777","source":"www.mdpi.com","title":"Bioavailability of Iron and the Influence of Vitamin a in Biofortified Foods","volume":"9","author":[{"family":"Tavares Antunes","given":"Paula"},{"family":"Vaz-Tostes","given":"Maria das Graças"},{"family":"Tomáz Sant’Ana","given":"Cíntia"},{"family":"Araújo de Faria","given":"Renata"},{"family":"Lopes Toledo","given":"Renata Celi"},{"family":"Brunoro Costa","given":"Neuza Maria"}],"issued":{"date-parts":[["2019",12]]},"citation-key":"tavaresantunesBioavailabilityIronInfluence2019"}}],"schema":"https://github.com/citation-style-language/schema/raw/master/csl-citation.json"} </w:instrText>
      </w:r>
      <w:r w:rsidR="00887619" w:rsidRPr="00756AF1">
        <w:rPr>
          <w:rStyle w:val="ai-text"/>
          <w:rFonts w:ascii="Arial" w:hAnsi="Arial" w:cs="Arial"/>
        </w:rPr>
        <w:fldChar w:fldCharType="separate"/>
      </w:r>
      <w:r w:rsidR="00887619" w:rsidRPr="00756AF1">
        <w:rPr>
          <w:rFonts w:ascii="Arial" w:hAnsi="Arial" w:cs="Arial"/>
        </w:rPr>
        <w:t>(Tavares Antunes et al., 2019)</w:t>
      </w:r>
      <w:r w:rsidR="00887619" w:rsidRPr="00756AF1">
        <w:rPr>
          <w:rStyle w:val="ai-text"/>
          <w:rFonts w:ascii="Arial" w:hAnsi="Arial" w:cs="Arial"/>
        </w:rPr>
        <w:fldChar w:fldCharType="end"/>
      </w:r>
      <w:r w:rsidRPr="00756AF1">
        <w:rPr>
          <w:rStyle w:val="ai-text"/>
          <w:rFonts w:ascii="Arial" w:hAnsi="Arial" w:cs="Arial"/>
        </w:rPr>
        <w:t>.</w:t>
      </w:r>
    </w:p>
    <w:p w14:paraId="17283E18" w14:textId="11245A9C" w:rsidR="00F6075E" w:rsidRPr="00756AF1" w:rsidRDefault="00F6075E" w:rsidP="00F6075E">
      <w:pPr>
        <w:pStyle w:val="NormalWeb"/>
        <w:rPr>
          <w:rFonts w:ascii="Arial" w:hAnsi="Arial" w:cs="Arial"/>
        </w:rPr>
      </w:pPr>
      <w:r w:rsidRPr="00756AF1">
        <w:rPr>
          <w:rStyle w:val="ai-text"/>
          <w:rFonts w:ascii="Arial" w:hAnsi="Arial" w:cs="Arial"/>
        </w:rPr>
        <w:t>•</w:t>
      </w:r>
      <w:r w:rsidRPr="00756AF1">
        <w:rPr>
          <w:rFonts w:ascii="Arial" w:hAnsi="Arial" w:cs="Arial"/>
        </w:rPr>
        <w:t xml:space="preserve"> Permite estudiar en poco tiempo la evolución de un sistema en un periodo </w:t>
      </w:r>
      <w:r w:rsidRPr="00756AF1">
        <w:rPr>
          <w:rStyle w:val="ai-text"/>
          <w:rFonts w:ascii="Arial" w:hAnsi="Arial" w:cs="Arial"/>
        </w:rPr>
        <w:t>largo. Se</w:t>
      </w:r>
      <w:r w:rsidRPr="00756AF1">
        <w:rPr>
          <w:rFonts w:ascii="Arial" w:hAnsi="Arial" w:cs="Arial"/>
        </w:rPr>
        <w:t xml:space="preserve"> pueden evaluar años de experiencia en el sistema real en unos pocos minutos de simulación. </w:t>
      </w:r>
      <w:r w:rsidRPr="00756AF1">
        <w:rPr>
          <w:rStyle w:val="ai-text"/>
          <w:rFonts w:ascii="Arial" w:hAnsi="Arial" w:cs="Arial"/>
        </w:rPr>
        <w:t>Alternativamente,</w:t>
      </w:r>
      <w:r w:rsidRPr="00756AF1">
        <w:rPr>
          <w:rFonts w:ascii="Arial" w:hAnsi="Arial" w:cs="Arial"/>
        </w:rPr>
        <w:t xml:space="preserve"> también permite lo contrario: estudiar los trabajos detallados de un sistema en un periodo de tiempo </w:t>
      </w:r>
      <w:r w:rsidRPr="00756AF1">
        <w:rPr>
          <w:rStyle w:val="ai-text"/>
          <w:rFonts w:ascii="Arial" w:hAnsi="Arial" w:cs="Arial"/>
        </w:rPr>
        <w:t xml:space="preserve">extendido </w:t>
      </w:r>
      <w:r w:rsidR="00887619" w:rsidRPr="00756AF1">
        <w:rPr>
          <w:rStyle w:val="ai-text"/>
          <w:rFonts w:ascii="Arial" w:hAnsi="Arial" w:cs="Arial"/>
        </w:rPr>
        <w:fldChar w:fldCharType="begin"/>
      </w:r>
      <w:r w:rsidR="00887619" w:rsidRPr="00756AF1">
        <w:rPr>
          <w:rStyle w:val="ai-text"/>
          <w:rFonts w:ascii="Arial" w:hAnsi="Arial" w:cs="Arial"/>
        </w:rPr>
        <w:instrText xml:space="preserve"> ADDIN ZOTERO_ITEM CSL_CITATION {"citationID":"wTn9wLAV","properties":{"formattedCitation":"(Asseng et\\uc0\\u160{}al., 2015)","plainCitation":"(Asseng et al., 2015)","noteIndex":0},"citationItems":[{"id":3714,"uris":["http://zotero.org/users/13364072/items/HS73KXYW"],"itemData":{"id":3714,"type":"article-journal","abstract":"This study—based on systematic testing of 30 different wheat crop models against field experiments—shows that many wheat models simulate yields well, but with reduced accuracy at higher temperatures. Extrapolation of the model ensemble response indicates that global wheat production will fall by 6% for each 1 °C increase in temperature.","container-title":"Nature Climate Change","DOI":"10.1038/nclimate2470","ISSN":"1758-6798","issue":"2","journalAbbreviation":"Nature Clim Change","language":"en","license":"2014 Springer Nature Limited","note":"publisher: Nature Publishing Group","page":"143-147","source":"www.nature.com","title":"Rising temperatures reduce global wheat production","volume":"5","author":[{"family":"Asseng","given":"S."},{"family":"Ewert","given":"F."},{"family":"Martre","given":"P."},{"family":"Rötter","given":"R. P."},{"family":"Lobell","given":"D. B."},{"family":"Cammarano","given":"D."},{"family":"Kimball","given":"B. A."},{"family":"Ottman","given":"M. J."},{"family":"Wall","given":"G. W."},{"family":"White","given":"J. W."},{"family":"Reynolds","given":"M. P."},{"family":"Alderman","given":"P. D."},{"family":"Prasad","given":"P. V. V."},{"family":"Aggarwal","given":"P. K."},{"family":"Anothai","given":"J."},{"family":"Basso","given":"B."},{"family":"Biernath","given":"C."},{"family":"Challinor","given":"A. J."},{"family":"De Sanctis","given":"G."},{"family":"Doltra","given":"J."},{"family":"Fereres","given":"E."},{"family":"Garcia-Vila","given":"M."},{"family":"Gayler","given":"S."},{"family":"Hoogenboom","given":"G."},{"family":"Hunt","given":"L. A."},{"family":"Izaurralde","given":"R. C."},{"family":"Jabloun","given":"M."},{"family":"Jones","given":"C. D."},{"family":"Kersebaum","given":"K. C."},{"family":"Koehler","given":"A.-K."},{"family":"Müller","given":"C."},{"family":"Naresh Kumar","given":"S."},{"family":"Nendel","given":"C."},{"family":"O’Leary","given":"G."},{"family":"Olesen","given":"J. E."},{"family":"Palosuo","given":"T."},{"family":"Priesack","given":"E."},{"family":"Eyshi Rezaei","given":"E."},{"family":"Ruane","given":"A. C."},{"family":"Semenov","given":"M. A."},{"family":"Shcherbak","given":"I."},{"family":"Stöckle","given":"C."},{"family":"Stratonovitch","given":"P."},{"family":"Streck","given":"T."},{"family":"Supit","given":"I."},{"family":"Tao","given":"F."},{"family":"Thorburn","given":"P. J."},{"family":"Waha","given":"K."},{"family":"Wang","given":"E."},{"family":"Wallach","given":"D."},{"family":"Wolf","given":"J."},{"family":"Zhao","given":"Z."},{"family":"Zhu","given":"Y."}],"issued":{"date-parts":[["2015",2]]},"citation-key":"assengRisingTemperaturesReduce2015a"}}],"schema":"https://github.com/citation-style-language/schema/raw/master/csl-citation.json"} </w:instrText>
      </w:r>
      <w:r w:rsidR="00887619" w:rsidRPr="00756AF1">
        <w:rPr>
          <w:rStyle w:val="ai-text"/>
          <w:rFonts w:ascii="Arial" w:hAnsi="Arial" w:cs="Arial"/>
        </w:rPr>
        <w:fldChar w:fldCharType="separate"/>
      </w:r>
      <w:r w:rsidR="00887619" w:rsidRPr="00756AF1">
        <w:rPr>
          <w:rFonts w:ascii="Arial" w:hAnsi="Arial" w:cs="Arial"/>
        </w:rPr>
        <w:t>(Asseng et al., 2015)</w:t>
      </w:r>
      <w:r w:rsidR="00887619" w:rsidRPr="00756AF1">
        <w:rPr>
          <w:rStyle w:val="ai-text"/>
          <w:rFonts w:ascii="Arial" w:hAnsi="Arial" w:cs="Arial"/>
        </w:rPr>
        <w:fldChar w:fldCharType="end"/>
      </w:r>
      <w:r w:rsidRPr="00756AF1">
        <w:rPr>
          <w:rStyle w:val="ai-text"/>
          <w:rFonts w:ascii="Arial" w:hAnsi="Arial" w:cs="Arial"/>
        </w:rPr>
        <w:t>.</w:t>
      </w:r>
    </w:p>
    <w:p w14:paraId="7DE2E1B4" w14:textId="54F9C296" w:rsidR="00F6075E" w:rsidRPr="00756AF1" w:rsidRDefault="00F6075E" w:rsidP="00F6075E">
      <w:pPr>
        <w:pStyle w:val="NormalWeb"/>
        <w:rPr>
          <w:rFonts w:ascii="Arial" w:hAnsi="Arial" w:cs="Arial"/>
        </w:rPr>
      </w:pPr>
      <w:r w:rsidRPr="00756AF1">
        <w:rPr>
          <w:rStyle w:val="ai-text"/>
          <w:rFonts w:ascii="Arial" w:hAnsi="Arial" w:cs="Arial"/>
        </w:rPr>
        <w:t>•</w:t>
      </w:r>
      <w:r w:rsidRPr="00756AF1">
        <w:rPr>
          <w:rFonts w:ascii="Arial" w:hAnsi="Arial" w:cs="Arial"/>
        </w:rPr>
        <w:t xml:space="preserve"> Los modelos permiten definir estrategias de producción en la etapa de planificación de un cultivo futuro o </w:t>
      </w:r>
      <w:r w:rsidRPr="00756AF1">
        <w:rPr>
          <w:rStyle w:val="ai-text"/>
          <w:rFonts w:ascii="Arial" w:hAnsi="Arial" w:cs="Arial"/>
        </w:rPr>
        <w:t>ayudan</w:t>
      </w:r>
      <w:r w:rsidRPr="00756AF1">
        <w:rPr>
          <w:rFonts w:ascii="Arial" w:hAnsi="Arial" w:cs="Arial"/>
        </w:rPr>
        <w:t xml:space="preserve"> a tomar decisiones tácticas durante el </w:t>
      </w:r>
      <w:r w:rsidRPr="00756AF1">
        <w:rPr>
          <w:rStyle w:val="ai-text"/>
          <w:rFonts w:ascii="Arial" w:hAnsi="Arial" w:cs="Arial"/>
        </w:rPr>
        <w:t>ciclo,</w:t>
      </w:r>
      <w:r w:rsidRPr="00756AF1">
        <w:rPr>
          <w:rFonts w:ascii="Arial" w:hAnsi="Arial" w:cs="Arial"/>
        </w:rPr>
        <w:t xml:space="preserve"> tales </w:t>
      </w:r>
      <w:r w:rsidRPr="00756AF1">
        <w:rPr>
          <w:rStyle w:val="ai-text"/>
          <w:rFonts w:ascii="Arial" w:hAnsi="Arial" w:cs="Arial"/>
        </w:rPr>
        <w:t>como</w:t>
      </w:r>
      <w:r w:rsidRPr="00756AF1">
        <w:rPr>
          <w:rFonts w:ascii="Arial" w:hAnsi="Arial" w:cs="Arial"/>
        </w:rPr>
        <w:t xml:space="preserve"> prácticas culturales, fertilización, riego y el uso de </w:t>
      </w:r>
      <w:r w:rsidRPr="00756AF1">
        <w:rPr>
          <w:rStyle w:val="ai-text"/>
          <w:rFonts w:ascii="Arial" w:hAnsi="Arial" w:cs="Arial"/>
        </w:rPr>
        <w:t xml:space="preserve">plaguicidas </w:t>
      </w:r>
      <w:r w:rsidR="00887619" w:rsidRPr="00756AF1">
        <w:rPr>
          <w:rStyle w:val="ai-text"/>
          <w:rFonts w:ascii="Arial" w:hAnsi="Arial" w:cs="Arial"/>
        </w:rPr>
        <w:fldChar w:fldCharType="begin"/>
      </w:r>
      <w:r w:rsidR="00887619" w:rsidRPr="00756AF1">
        <w:rPr>
          <w:rStyle w:val="ai-text"/>
          <w:rFonts w:ascii="Arial" w:hAnsi="Arial" w:cs="Arial"/>
        </w:rPr>
        <w:instrText xml:space="preserve"> ADDIN ZOTERO_ITEM CSL_CITATION {"citationID":"cq87RZja","properties":{"formattedCitation":"(Jones et\\uc0\\u160{}al., 2003)","plainCitation":"(Jones et al., 2003)","noteIndex":0},"citationItems":[{"id":3706,"uris":["http://zotero.org/users/13364072/items/L9ADLZFT"],"itemData":{"id":3706,"type":"article-journal","abstract":"The decision support system for agrotechnology transfer (DSSAT) has been in use for the last 15 years by researchers worldwide. This package incorporates models of 16 different crops with software that facilitates the evaluation and application of the crop models for different purposes. Over the last few years, it has become increasingly difficult to maintain the DSSAT crop models, partly due to fact that there were different sets of computer code for different crops with little attention to software design at the level of crop models themselves. Thus, the DSSAT crop models have been re-designed and programmed to facilitate more efficient incorporation of new scientific advances, applications, documentation and maintenance. The basis for the new DSSAT cropping system model (CSM) design is a modular structure in which components separate along scientific discipline lines and are structured to allow easy replacement or addition of modules. It has one Soil module, a Crop Template module which can simulate different crops by defining species input files, an interface to add individual crop models if they have the same design and interface, a Weather module, and a module for dealing with competition for light and water among the soil, plants, and atmosphere. It is also designed for incorporation into various application packages, ranging from those that help researchers adapt and test the CSM to those that operate the DSSAT–CSM to simulate production over time and space for different purposes. In this paper, we describe this new DSSAT–CSM design as well as approaches used to model the primary scientific components (soil, crop, weather, and management). In addition, the paper describes data requirements and methods used for model evaluation. We provide an overview of the hundreds of published studies in which the DSSAT crop models have been used for various applications. The benefits of the new, re-designed DSSAT–CSM will provide considerable opportunities to its developers and others in the scientific community for greater cooperation in interdisciplinary research and in the application of knowledge to solve problems at field, farm, and higher levels.","collection-title":"Modelling Cropping Systems: Science, Software and Applications","container-title":"European Journal of Agronomy","DOI":"10.1016/S1161-0301(02)00107-7","ISSN":"1161-0301","issue":"3","journalAbbreviation":"European Journal of Agronomy","page":"235-265","source":"ScienceDirect","title":"The DSSAT cropping system model","volume":"18","author":[{"family":"Jones","given":"J. W"},{"family":"Hoogenboom","given":"G"},{"family":"Porter","given":"C. H"},{"family":"Boote","given":"K. J"},{"family":"Batchelor","given":"W. D"},{"family":"Hunt","given":"L. A"},{"family":"Wilkens","given":"P. W"},{"family":"Singh","given":"U"},{"family":"Gijsman","given":"A. J"},{"family":"Ritchie","given":"J. T"}],"issued":{"date-parts":[["2003",1,1]]},"citation-key":"jonesDSSATCroppingSystem2003i"}}],"schema":"https://github.com/citation-style-language/schema/raw/master/csl-citation.json"} </w:instrText>
      </w:r>
      <w:r w:rsidR="00887619" w:rsidRPr="00756AF1">
        <w:rPr>
          <w:rStyle w:val="ai-text"/>
          <w:rFonts w:ascii="Arial" w:hAnsi="Arial" w:cs="Arial"/>
        </w:rPr>
        <w:fldChar w:fldCharType="separate"/>
      </w:r>
      <w:r w:rsidR="00887619" w:rsidRPr="00756AF1">
        <w:rPr>
          <w:rFonts w:ascii="Arial" w:hAnsi="Arial" w:cs="Arial"/>
        </w:rPr>
        <w:t>(Jones et al., 2003)</w:t>
      </w:r>
      <w:r w:rsidR="00887619" w:rsidRPr="00756AF1">
        <w:rPr>
          <w:rStyle w:val="ai-text"/>
          <w:rFonts w:ascii="Arial" w:hAnsi="Arial" w:cs="Arial"/>
        </w:rPr>
        <w:fldChar w:fldCharType="end"/>
      </w:r>
      <w:r w:rsidRPr="00756AF1">
        <w:rPr>
          <w:rStyle w:val="ai-text"/>
          <w:rFonts w:ascii="Arial" w:hAnsi="Arial" w:cs="Arial"/>
        </w:rPr>
        <w:t>.</w:t>
      </w:r>
    </w:p>
    <w:p w14:paraId="03F99F12" w14:textId="5CE5A31F" w:rsidR="00F6075E" w:rsidRPr="00756AF1" w:rsidRDefault="00F6075E" w:rsidP="00F6075E">
      <w:pPr>
        <w:pStyle w:val="NormalWeb"/>
        <w:rPr>
          <w:rFonts w:ascii="Arial" w:hAnsi="Arial" w:cs="Arial"/>
        </w:rPr>
      </w:pPr>
      <w:r w:rsidRPr="00756AF1">
        <w:rPr>
          <w:rStyle w:val="ai-text"/>
          <w:rFonts w:ascii="Arial" w:hAnsi="Arial" w:cs="Arial"/>
        </w:rPr>
        <w:t>•</w:t>
      </w:r>
      <w:r w:rsidRPr="00756AF1">
        <w:rPr>
          <w:rFonts w:ascii="Arial" w:hAnsi="Arial" w:cs="Arial"/>
        </w:rPr>
        <w:t xml:space="preserve"> Permiten evaluar diferentes planteos </w:t>
      </w:r>
      <w:r w:rsidRPr="00756AF1">
        <w:rPr>
          <w:rStyle w:val="ai-text"/>
          <w:rFonts w:ascii="Arial" w:hAnsi="Arial" w:cs="Arial"/>
        </w:rPr>
        <w:t>productivos</w:t>
      </w:r>
      <w:r w:rsidRPr="00756AF1">
        <w:rPr>
          <w:rFonts w:ascii="Arial" w:hAnsi="Arial" w:cs="Arial"/>
        </w:rPr>
        <w:t xml:space="preserve"> o analizar un factor manteniendo los otros </w:t>
      </w:r>
      <w:r w:rsidRPr="00756AF1">
        <w:rPr>
          <w:rStyle w:val="ai-text"/>
          <w:rFonts w:ascii="Arial" w:hAnsi="Arial" w:cs="Arial"/>
        </w:rPr>
        <w:t>constantes. Por</w:t>
      </w:r>
      <w:r w:rsidRPr="00756AF1">
        <w:rPr>
          <w:rFonts w:ascii="Arial" w:hAnsi="Arial" w:cs="Arial"/>
        </w:rPr>
        <w:t xml:space="preserve"> </w:t>
      </w:r>
      <w:r w:rsidRPr="00756AF1">
        <w:rPr>
          <w:rStyle w:val="ai-text"/>
          <w:rFonts w:ascii="Arial" w:hAnsi="Arial" w:cs="Arial"/>
        </w:rPr>
        <w:t>ejemplo,</w:t>
      </w:r>
      <w:r w:rsidRPr="00756AF1">
        <w:rPr>
          <w:rFonts w:ascii="Arial" w:hAnsi="Arial" w:cs="Arial"/>
        </w:rPr>
        <w:t xml:space="preserve"> la variación del rendimiento por efecto del clima sin modificar el manejo, el genotipo y el </w:t>
      </w:r>
      <w:r w:rsidRPr="00756AF1">
        <w:rPr>
          <w:rStyle w:val="ai-text"/>
          <w:rFonts w:ascii="Arial" w:hAnsi="Arial" w:cs="Arial"/>
        </w:rPr>
        <w:t xml:space="preserve">suelo </w:t>
      </w:r>
      <w:r w:rsidR="00887619" w:rsidRPr="00756AF1">
        <w:rPr>
          <w:rStyle w:val="ai-text"/>
          <w:rFonts w:ascii="Arial" w:hAnsi="Arial" w:cs="Arial"/>
        </w:rPr>
        <w:fldChar w:fldCharType="begin"/>
      </w:r>
      <w:r w:rsidR="00887619" w:rsidRPr="00756AF1">
        <w:rPr>
          <w:rStyle w:val="ai-text"/>
          <w:rFonts w:ascii="Arial" w:hAnsi="Arial" w:cs="Arial"/>
        </w:rPr>
        <w:instrText xml:space="preserve"> ADDIN ZOTERO_ITEM CSL_CITATION {"citationID":"7r9G04aT","properties":{"formattedCitation":"(van Ittersum et\\uc0\\u160{}al., 2003)","plainCitation":"(van Ittersum et al., 2003)","noteIndex":0},"citationItems":[{"id":3708,"uris":["http://zotero.org/users/13364072/items/B6QVD773"],"itemData":{"id":3708,"type":"article-journal","abstract":"Since the pioneering work of C.T. de Wit in the 1960s, the Wageningen group has built a tradition in developing and applying crop models. Rather than focusing on a few models, diversity is its trademark. Here we present an overview of the Wageningen crop and crop-soil modelling approaches along three criteria. The first criterion relates to the production situations the models are dealing with (i.e. potential, water and/or nutrient-limited, and actual production situations including pests, diseases and weeds). Second, models differ as a result of the objectives of model development, and hence required scale and degree of detail and comprehensiveness. Third, models have at least three potential application domains, i.e. research, education and support of learning and decision making processes. We describe both summary and more comprehensive modelling approaches for the major production situations. An overview of most of the Wageningen models is presented together with a more detailed description of LINTUL, SUCROS, ORYZA, WOFOST and INTERCOM. Illustrations for each of the three application domains are presented, i.e. plant type design, guiding experimental research, education, yield gap analysis, evaluation of manure policies, crop growth monitoring system and analysis and design of farming and regional land use systems. We discuss common issues of model verification, model validation, model validity and data requirements, and present information on software implementation, model and software documentation and distribution policy. Finally, we reflect upon the Wageningen modelling approaches and identify a number of key issues for future research. Major achievements of Wageningen modelling efforts include (1) a broad variety of approaches for modelling of systems at different scales and with different purposes; (2) their contribution to quantitative systems thinking in general, also for applications at higher hierarchical levels; (3) a strong linkage between crop modelling and higher education, both at undergraduate, graduate and post-doctoral level. To continually increase our understanding of crops and production systems a diversified approach must be cherished. At the same time we conclude that focus is required on a limited number of modules in a more integrated modelling framework for the benefit of analysing, evaluating and designing cropping systems. This review may be instrumental in the development of such an integrated framework.","collection-title":"Modelling Cropping Systems: Science, Software and Applications","container-title":"European Journal of Agronomy","DOI":"10.1016/S1161-0301(02)00106-5","ISSN":"1161-0301","issue":"3","journalAbbreviation":"European Journal of Agronomy","page":"201-234","source":"ScienceDirect","title":"On approaches and applications of the Wageningen crop models","volume":"18","author":[{"family":"Ittersum","given":"M. K","non-dropping-particle":"van"},{"family":"Leffelaar","given":"P. A"},{"family":"Keulen","given":"H","non-dropping-particle":"van"},{"family":"Kropff","given":"M. J"},{"family":"Bastiaans","given":"L"},{"family":"Goudriaan","given":"J"}],"issued":{"date-parts":[["2003",1,1]]},"citation-key":"vanittersumApproachesApplicationsWageningen2003"}}],"schema":"https://github.com/citation-style-language/schema/raw/master/csl-citation.json"} </w:instrText>
      </w:r>
      <w:r w:rsidR="00887619" w:rsidRPr="00756AF1">
        <w:rPr>
          <w:rStyle w:val="ai-text"/>
          <w:rFonts w:ascii="Arial" w:hAnsi="Arial" w:cs="Arial"/>
        </w:rPr>
        <w:fldChar w:fldCharType="separate"/>
      </w:r>
      <w:r w:rsidR="00887619" w:rsidRPr="00756AF1">
        <w:rPr>
          <w:rFonts w:ascii="Arial" w:hAnsi="Arial" w:cs="Arial"/>
        </w:rPr>
        <w:t>(van Ittersum et al., 2003)</w:t>
      </w:r>
      <w:r w:rsidR="00887619" w:rsidRPr="00756AF1">
        <w:rPr>
          <w:rStyle w:val="ai-text"/>
          <w:rFonts w:ascii="Arial" w:hAnsi="Arial" w:cs="Arial"/>
        </w:rPr>
        <w:fldChar w:fldCharType="end"/>
      </w:r>
      <w:r w:rsidRPr="00756AF1">
        <w:rPr>
          <w:rStyle w:val="ai-text"/>
          <w:rFonts w:ascii="Arial" w:hAnsi="Arial" w:cs="Arial"/>
        </w:rPr>
        <w:t>.</w:t>
      </w:r>
    </w:p>
    <w:p w14:paraId="1A581F94" w14:textId="752EC772" w:rsidR="00F6075E" w:rsidRPr="00756AF1" w:rsidRDefault="00F6075E" w:rsidP="00F6075E">
      <w:pPr>
        <w:pStyle w:val="NormalWeb"/>
        <w:rPr>
          <w:rFonts w:ascii="Arial" w:hAnsi="Arial" w:cs="Arial"/>
        </w:rPr>
      </w:pPr>
      <w:r w:rsidRPr="00756AF1">
        <w:rPr>
          <w:rFonts w:ascii="Arial" w:hAnsi="Arial" w:cs="Arial"/>
        </w:rPr>
        <w:t xml:space="preserve">Otros aspectos importantes a destacar de los modelos de simulación son los fenómenos meteorológicos como el ENOS (El Niño Oscilación del </w:t>
      </w:r>
      <w:r w:rsidRPr="00756AF1">
        <w:rPr>
          <w:rStyle w:val="ai-text"/>
          <w:rFonts w:ascii="Arial" w:hAnsi="Arial" w:cs="Arial"/>
        </w:rPr>
        <w:t>Sur),</w:t>
      </w:r>
      <w:r w:rsidRPr="00756AF1">
        <w:rPr>
          <w:rFonts w:ascii="Arial" w:hAnsi="Arial" w:cs="Arial"/>
        </w:rPr>
        <w:t xml:space="preserve"> que analizan de forma interactiva el impacto de la variabilidad climática y las decisiones de manejo sobre la productividad de los </w:t>
      </w:r>
      <w:r w:rsidRPr="00756AF1">
        <w:rPr>
          <w:rStyle w:val="ai-text"/>
          <w:rFonts w:ascii="Arial" w:hAnsi="Arial" w:cs="Arial"/>
        </w:rPr>
        <w:t xml:space="preserve">cultivos </w:t>
      </w:r>
      <w:r w:rsidR="007C3F83" w:rsidRPr="00756AF1">
        <w:rPr>
          <w:rStyle w:val="ai-text"/>
          <w:rFonts w:ascii="Arial" w:hAnsi="Arial" w:cs="Arial"/>
        </w:rPr>
        <w:fldChar w:fldCharType="begin"/>
      </w:r>
      <w:r w:rsidR="007C3F83" w:rsidRPr="00756AF1">
        <w:rPr>
          <w:rStyle w:val="ai-text"/>
          <w:rFonts w:ascii="Arial" w:hAnsi="Arial" w:cs="Arial"/>
        </w:rPr>
        <w:instrText xml:space="preserve"> ADDIN ZOTERO_ITEM CSL_CITATION {"citationID":"i89AFWp2","properties":{"formattedCitation":"(Challinor et\\uc0\\u160{}al., 2009)","plainCitation":"(Challinor et al., 2009)","noteIndex":0},"citationItems":[{"id":3717,"uris":["http://zotero.org/users/13364072/items/5Q945ZGE"],"itemData":{"id":3717,"type":"article-journal","abstract":"Assessments of the relationships between crop productivity and climate change rely upon a combination of modelling and measurement. As part of this review, this relationship is discussed in the context of crop and climate simulation. Methods for linking these two types of models are reviewed, with a primary focus on large-area crop modelling techniques. Recent progress in simulating the impacts of climate change on crops is presented, and the application of these methods to the exploration of adaptation options is discussed. Specific advances include ensemble simulations and improved understanding of biophysical processes. Finally, the challenges associated with impacts and adaptation research are discussed. It is argued that the generation of knowledge for policy and adaptation should be based not only on syntheses of published studies, but also on a more synergistic and holistic research framework that includes: (i) reliable quantification of uncertainty; (ii) techniques for combining diverse modelling approaches and observations that focus on fundamental processes; and (iii) judicious choice and calibration of models, including simulation at appropriate levels of complexity that accounts for the principal drivers of crop productivity, which may well include both biophysical and socio-economic factors. It is argued that such a framework will lead to reliable methods for linking simulation to real-world adaptation options, thus making practical use of the huge global effort to understand and predict climate change.","container-title":"Journal of Experimental Botany","DOI":"10.1093/jxb/erp062","ISSN":"0022-0957","issue":"10","journalAbbreviation":"J Exp Bot","page":"2775-2789","source":"Silverchair","title":"Crops and climate change: progress, trends, and challenges in simulating impacts and informing adaptation","title-short":"Crops and climate change","volume":"60","author":[{"family":"Challinor","given":"Andrew J."},{"family":"Ewert","given":"Frank"},{"family":"Arnold","given":"Steve"},{"family":"Simelton","given":"Elisabeth"},{"family":"Fraser","given":"Evan"}],"issued":{"date-parts":[["2009",7,1]]},"citation-key":"challinorCropsClimateChange2009"}}],"schema":"https://github.com/citation-style-language/schema/raw/master/csl-citation.json"} </w:instrText>
      </w:r>
      <w:r w:rsidR="007C3F83" w:rsidRPr="00756AF1">
        <w:rPr>
          <w:rStyle w:val="ai-text"/>
          <w:rFonts w:ascii="Arial" w:hAnsi="Arial" w:cs="Arial"/>
        </w:rPr>
        <w:fldChar w:fldCharType="separate"/>
      </w:r>
      <w:r w:rsidR="007C3F83" w:rsidRPr="00756AF1">
        <w:rPr>
          <w:rFonts w:ascii="Arial" w:hAnsi="Arial" w:cs="Arial"/>
        </w:rPr>
        <w:t>(Challinor et al., 2009)</w:t>
      </w:r>
      <w:r w:rsidR="007C3F83" w:rsidRPr="00756AF1">
        <w:rPr>
          <w:rStyle w:val="ai-text"/>
          <w:rFonts w:ascii="Arial" w:hAnsi="Arial" w:cs="Arial"/>
        </w:rPr>
        <w:fldChar w:fldCharType="end"/>
      </w:r>
      <w:r w:rsidRPr="00756AF1">
        <w:rPr>
          <w:rStyle w:val="ai-text"/>
          <w:rFonts w:ascii="Arial" w:hAnsi="Arial" w:cs="Arial"/>
        </w:rPr>
        <w:t>.</w:t>
      </w:r>
    </w:p>
    <w:p w14:paraId="41C0206C" w14:textId="7971C39A" w:rsidR="00F6075E" w:rsidRPr="00756AF1" w:rsidRDefault="00F6075E" w:rsidP="00F6075E">
      <w:pPr>
        <w:pStyle w:val="NormalWeb"/>
        <w:rPr>
          <w:rFonts w:ascii="Arial" w:hAnsi="Arial" w:cs="Arial"/>
        </w:rPr>
      </w:pPr>
      <w:r w:rsidRPr="00756AF1">
        <w:rPr>
          <w:rFonts w:ascii="Arial" w:hAnsi="Arial" w:cs="Arial"/>
        </w:rPr>
        <w:t xml:space="preserve">Los modelos de simulación de </w:t>
      </w:r>
      <w:r w:rsidRPr="00756AF1">
        <w:rPr>
          <w:rStyle w:val="ai-text"/>
          <w:rFonts w:ascii="Arial" w:hAnsi="Arial" w:cs="Arial"/>
        </w:rPr>
        <w:t>cultivos son</w:t>
      </w:r>
      <w:r w:rsidRPr="00756AF1">
        <w:rPr>
          <w:rFonts w:ascii="Arial" w:hAnsi="Arial" w:cs="Arial"/>
        </w:rPr>
        <w:t xml:space="preserve"> una actividad compleja y </w:t>
      </w:r>
      <w:r w:rsidRPr="00756AF1">
        <w:rPr>
          <w:rStyle w:val="ai-text"/>
          <w:rFonts w:ascii="Arial" w:hAnsi="Arial" w:cs="Arial"/>
        </w:rPr>
        <w:t>presentan</w:t>
      </w:r>
      <w:r w:rsidRPr="00756AF1">
        <w:rPr>
          <w:rFonts w:ascii="Arial" w:hAnsi="Arial" w:cs="Arial"/>
        </w:rPr>
        <w:t xml:space="preserve"> limitaciones para su aplicación en los sistemas </w:t>
      </w:r>
      <w:r w:rsidRPr="00756AF1">
        <w:rPr>
          <w:rStyle w:val="ai-text"/>
          <w:rFonts w:ascii="Arial" w:hAnsi="Arial" w:cs="Arial"/>
        </w:rPr>
        <w:t>productivos, al igual que cualquier herramienta empleada para procesar información</w:t>
      </w:r>
      <w:r w:rsidR="00CC733C" w:rsidRPr="00756AF1">
        <w:rPr>
          <w:rStyle w:val="ai-text"/>
          <w:rFonts w:ascii="Arial" w:hAnsi="Arial" w:cs="Arial"/>
        </w:rPr>
        <w:t xml:space="preserve"> </w:t>
      </w:r>
      <w:r w:rsidR="00CC733C" w:rsidRPr="00756AF1">
        <w:rPr>
          <w:rStyle w:val="ai-text"/>
          <w:rFonts w:ascii="Arial" w:hAnsi="Arial" w:cs="Arial"/>
        </w:rPr>
        <w:fldChar w:fldCharType="begin"/>
      </w:r>
      <w:r w:rsidR="00CC733C" w:rsidRPr="00756AF1">
        <w:rPr>
          <w:rStyle w:val="ai-text"/>
          <w:rFonts w:ascii="Arial" w:hAnsi="Arial" w:cs="Arial"/>
        </w:rPr>
        <w:instrText xml:space="preserve"> ADDIN ZOTERO_ITEM CSL_CITATION {"citationID":"rg4c8L9M","properties":{"formattedCitation":"(Martinez et\\uc0\\u160{}al., 2011; Rodr\\uc0\\u237{}guez Gonz\\uc0\\u225{}lez et\\uc0\\u160{}al., 2021)","plainCitation":"(Martinez et al., 2011; Rodríguez González et al., 2021)","noteIndex":0},"citationItems":[{"id":3631,"uris":["http://zotero.org/users/13364072/items/D7GS3942"],"itemData":{"id":3631,"type":"article-journal","abstract":"Since the beginnings of agriculture, about ten thousand years ago, mankind has benefited from the use of its products by satisfying needs for food and by trade. The agricultural production systems have become more organized and productive, as a result of a greater knowledge on agriculture. However, specialization in agronomyhas led in some cases to the implementation of technical innovations that put out key elements of the production systems, such as social and cultural aspects, climate, and physical, chemical and biological soil properties, that result in failure in the practice. The use of different types of models in agriculture has become an alternative for planning and research, since they can be used to predict the behavior of a plant or animal under different management practices, the soil characteristics, the interaction among different crops, and the behavior of production systems in which livestock and crops interact. Currently the effect of agricultural policies, the rationality of producers, the market characteristics and the environmental aspects have been incorporated. From the point of view of the theory of agroecosystems they have been used to simulate the sustainability, under a holistic and systemic vision. Another important development has been to consider the producer as subject that participates in the modeling process and not as a component of the system that needs to be modeled in what is called the participative modeling. Therefore, the objective of this paper is to analyze the different approaches for the application of the models for the study and planning of agriculture, and their challenges.","container-title":"Tropical and Subtropical Agroecosystems","DOI":"10.56369/tsaes.1103","ISSN":"1870-0462","issue":"3","journalAbbreviation":"Trop Subtrop Agroecosyst","language":"es","source":"DOI.org (Crossref)","title":"APPLICATION OF SIMULATION MODELS IN AGRICULTURAL RESEARCH AND PLANNING, A REVIEW","URL":"https://www.revista.ccba.uady.mx/ojs/index.php/TSA/article/view/1103","volume":"14","author":[{"family":"Martinez","given":"Bernardino Candelaria"},{"family":"Ruiz-Rosado","given":"Octavio"},{"family":"Gallardo Lopez","given":"Felipe"},{"family":"Perez-Hernandez","given":"Ponciano"},{"family":"Martinez Becerra","given":"Angel"},{"family":"Vargas Villamil","given":"Luis"}],"accessed":{"date-parts":[["2025",9,19]]},"issued":{"date-parts":[["2011",9,25]]},"citation-key":"martinezAPPLICATIONSIMULATIONMODELS2011"}},{"id":3499,"uris":["http://zotero.org/users/13364072/items/ELPP7NQ7"],"itemData":{"id":3499,"type":"article-journal","container-title":"Cuban Journal of Agricultural Science","ISSN":"2079-3480","issue":"2","note":"publisher: Instituto de Ciencia Animal","source":"SciELO","title":"Simulación de estrategias de manejo a partir del modelo DSSAT para incrementar los rendimientos de un cultivar de maíz","URL":"http://scielo.sld.cu/scielo.php?script=sci_abstract&amp;pid=S2079-34802021000200008&amp;lng=es&amp;nrm=iso&amp;tlng=en","volume":"55","author":[{"family":"Rodríguez González","given":"O."},{"family":"Florido Bacallao","given":"R."},{"family":"Hernández Córdova","given":"Naivy"},{"family":"Soto Carreño","given":"F."},{"family":"Jeréz Mompié","given":"E. I."},{"family":"González Viera","given":"Deborah"},{"family":"Vázquez Montenegro","given":"R. J."},{"family":"Rodríguez González","given":"O."},{"family":"Florido Bacallao","given":"R."},{"family":"Hernández Córdova","given":"Naivy"},{"family":"Soto Carreño","given":"F."},{"family":"Jeréz Mompié","given":"E. I."},{"family":"González Viera","given":"Deborah"},{"family":"Vázquez Montenegro","given":"R. J."}],"accessed":{"date-parts":[["2025",4,9]]},"issued":{"date-parts":[["2021",6]]},"citation-key":"rodriguezgonzalezSimulacionEstrategiasManejo2021b"}}],"schema":"https://github.com/citation-style-language/schema/raw/master/csl-citation.json"} </w:instrText>
      </w:r>
      <w:r w:rsidR="00CC733C" w:rsidRPr="00756AF1">
        <w:rPr>
          <w:rStyle w:val="ai-text"/>
          <w:rFonts w:ascii="Arial" w:hAnsi="Arial" w:cs="Arial"/>
        </w:rPr>
        <w:fldChar w:fldCharType="separate"/>
      </w:r>
      <w:r w:rsidR="00CC733C" w:rsidRPr="00756AF1">
        <w:rPr>
          <w:rFonts w:ascii="Arial" w:hAnsi="Arial" w:cs="Arial"/>
        </w:rPr>
        <w:t>(Martinez et al., 2011; Rodríguez González et al., 2021)</w:t>
      </w:r>
      <w:r w:rsidR="00CC733C" w:rsidRPr="00756AF1">
        <w:rPr>
          <w:rStyle w:val="ai-text"/>
          <w:rFonts w:ascii="Arial" w:hAnsi="Arial" w:cs="Arial"/>
        </w:rPr>
        <w:fldChar w:fldCharType="end"/>
      </w:r>
    </w:p>
    <w:p w14:paraId="02A896CC" w14:textId="77777777" w:rsidR="00F6075E" w:rsidRPr="00756AF1" w:rsidRDefault="00F6075E" w:rsidP="00F6075E">
      <w:pPr>
        <w:pStyle w:val="NormalWeb"/>
        <w:rPr>
          <w:rFonts w:ascii="Arial" w:hAnsi="Arial" w:cs="Arial"/>
        </w:rPr>
      </w:pPr>
      <w:r w:rsidRPr="00756AF1">
        <w:rPr>
          <w:rFonts w:ascii="Arial" w:hAnsi="Arial" w:cs="Arial"/>
        </w:rPr>
        <w:t> </w:t>
      </w:r>
    </w:p>
    <w:p w14:paraId="18ADAF22" w14:textId="01320314" w:rsidR="00F6075E" w:rsidRPr="00756AF1" w:rsidRDefault="00F6075E" w:rsidP="00F6075E">
      <w:pPr>
        <w:pStyle w:val="NormalWeb"/>
        <w:numPr>
          <w:ilvl w:val="0"/>
          <w:numId w:val="5"/>
        </w:numPr>
        <w:rPr>
          <w:rFonts w:ascii="Arial" w:hAnsi="Arial" w:cs="Arial"/>
        </w:rPr>
      </w:pPr>
      <w:r w:rsidRPr="00756AF1">
        <w:rPr>
          <w:rFonts w:ascii="Arial" w:hAnsi="Arial" w:cs="Arial"/>
        </w:rPr>
        <w:t xml:space="preserve">No produce resultados exactos, sino estimaciones. Esto hará necesario utilizar las técnicas estadísticas para </w:t>
      </w:r>
      <w:r w:rsidRPr="00756AF1">
        <w:rPr>
          <w:rStyle w:val="ai-text"/>
          <w:rFonts w:ascii="Arial" w:hAnsi="Arial" w:cs="Arial"/>
        </w:rPr>
        <w:t>saber cuántas</w:t>
      </w:r>
      <w:r w:rsidRPr="00756AF1">
        <w:rPr>
          <w:rFonts w:ascii="Arial" w:hAnsi="Arial" w:cs="Arial"/>
        </w:rPr>
        <w:t xml:space="preserve"> veces hay que ejecutar la simulación (número de muestras), para cada conjunto de datos de entrada y realizar estimaciones fiables de los parámetros de </w:t>
      </w:r>
      <w:r w:rsidRPr="00756AF1">
        <w:rPr>
          <w:rStyle w:val="ai-text"/>
          <w:rFonts w:ascii="Arial" w:hAnsi="Arial" w:cs="Arial"/>
        </w:rPr>
        <w:t xml:space="preserve">interés </w:t>
      </w:r>
      <w:r w:rsidR="007C3F83" w:rsidRPr="00756AF1">
        <w:rPr>
          <w:rStyle w:val="ai-text"/>
          <w:rFonts w:ascii="Arial" w:hAnsi="Arial" w:cs="Arial"/>
        </w:rPr>
        <w:fldChar w:fldCharType="begin"/>
      </w:r>
      <w:r w:rsidR="007C3F83" w:rsidRPr="00756AF1">
        <w:rPr>
          <w:rStyle w:val="ai-text"/>
          <w:rFonts w:ascii="Arial" w:hAnsi="Arial" w:cs="Arial"/>
        </w:rPr>
        <w:instrText xml:space="preserve"> ADDIN ZOTERO_ITEM CSL_CITATION {"citationID":"8wme2EY7","properties":{"formattedCitation":"(Sinclair &amp; Seligman, 1996)","plainCitation":"(Sinclair &amp; Seligman, 1996)","noteIndex":0},"citationItems":[{"id":2989,"uris":["http://zotero.org/users/13364072/items/D6RQDPAK"],"itemData":{"id":2989,"type":"article-journal","abstract":"Crop modeling, the computerized simulation of dynamic crop systems, was born about 30 years ago, when systems analysis and modern computers presented a new technique to crop scientists. Since then, crop modeling has gone through a number of developmental stages, similar to those of living organisms. From its infancy, crop modeling seemed to promise a well-behaved, elegant surrogate for ambiguous and cumbersome field experimentation. Indeed, some of the earliest models proved to be among the most notable achievements to date. During the juvenile stage that followed, there was an impressive increase in complexity and computer sophistication, accompanied by some of the growing pains of childhood. Greater expectations led to more and more detailed descriptions of the functioning of the biotic and abiotic components of cropping systems. The results were often trivial, and the big payoff tended to recede into the future, but the need for predicting future crop performance for management and hypothesis testing, together with progress in crop science and computer technology, spurred crop modeling. The next phase, adolescence, a period marked by intense activity, confusion, and excessive confidence-sometimes challenged by doubt-appears to be extending into the present. Not only is the original promise turning out to be elusive, but widely accepted guidelines for scientific modeling, such as greater reductionism, universality, and validation, are being questioned. Maturity may be emerging as expectations become pragmatically adjusted to reality. Crop modeling, like advanced ecological modeling, is proving to be more a heuristic tool than a surrogate for reality. In academic, research, and applied roles, such models can be of great value when used as aids to reasoning about the functioning and response of crop systems under many relevant, nontrivial scenarios.","container-title":"Agronomy Journal","DOI":"10.2134/agronj1996.00021962008800050004x","ISSN":"1435-0645","issue":"5","language":"en","license":"Copyright © 1996 American Society of Agronomy","note":"number: 5\n_eprint: https://onlinelibrary.wiley.com/doi/pdf/10.2134/agronj1996.00021962008800050004x","page":"698-704","source":"Wiley Online Library","title":"Crop Modeling: From Infancy to Maturity","title-short":"Crop Modeling","volume":"88","author":[{"family":"Sinclair","given":"Thomas R."},{"family":"Seligman","given":"No'am G."}],"issued":{"date-parts":[["1996"]]},"citation-key":"sinclairCropModelingInfancy1996"}}],"schema":"https://github.com/citation-style-language/schema/raw/master/csl-citation.json"} </w:instrText>
      </w:r>
      <w:r w:rsidR="007C3F83" w:rsidRPr="00756AF1">
        <w:rPr>
          <w:rStyle w:val="ai-text"/>
          <w:rFonts w:ascii="Arial" w:hAnsi="Arial" w:cs="Arial"/>
        </w:rPr>
        <w:fldChar w:fldCharType="separate"/>
      </w:r>
      <w:r w:rsidR="007C3F83" w:rsidRPr="00756AF1">
        <w:rPr>
          <w:rFonts w:ascii="Arial" w:hAnsi="Arial" w:cs="Arial"/>
        </w:rPr>
        <w:t>(Sinclair &amp; Seligman, 1996)</w:t>
      </w:r>
      <w:r w:rsidR="007C3F83" w:rsidRPr="00756AF1">
        <w:rPr>
          <w:rStyle w:val="ai-text"/>
          <w:rFonts w:ascii="Arial" w:hAnsi="Arial" w:cs="Arial"/>
        </w:rPr>
        <w:fldChar w:fldCharType="end"/>
      </w:r>
      <w:r w:rsidRPr="00756AF1">
        <w:rPr>
          <w:rStyle w:val="ai-text"/>
          <w:rFonts w:ascii="Arial" w:hAnsi="Arial" w:cs="Arial"/>
        </w:rPr>
        <w:t>.</w:t>
      </w:r>
    </w:p>
    <w:p w14:paraId="5A246679" w14:textId="6020C1D3" w:rsidR="00F6075E" w:rsidRPr="00756AF1" w:rsidRDefault="00F6075E" w:rsidP="00F6075E">
      <w:pPr>
        <w:pStyle w:val="NormalWeb"/>
        <w:numPr>
          <w:ilvl w:val="0"/>
          <w:numId w:val="5"/>
        </w:numPr>
        <w:rPr>
          <w:rFonts w:ascii="Arial" w:hAnsi="Arial" w:cs="Arial"/>
        </w:rPr>
      </w:pPr>
      <w:r w:rsidRPr="00756AF1">
        <w:rPr>
          <w:rFonts w:ascii="Arial" w:hAnsi="Arial" w:cs="Arial"/>
        </w:rPr>
        <w:t xml:space="preserve">Desarrollar un modelo de simulación </w:t>
      </w:r>
      <w:r w:rsidRPr="00756AF1">
        <w:rPr>
          <w:rStyle w:val="ai-text"/>
          <w:rFonts w:ascii="Arial" w:hAnsi="Arial" w:cs="Arial"/>
        </w:rPr>
        <w:t>es</w:t>
      </w:r>
      <w:r w:rsidRPr="00756AF1">
        <w:rPr>
          <w:rFonts w:ascii="Arial" w:hAnsi="Arial" w:cs="Arial"/>
        </w:rPr>
        <w:t xml:space="preserve"> </w:t>
      </w:r>
      <w:r w:rsidRPr="00756AF1">
        <w:rPr>
          <w:rStyle w:val="ai-text"/>
          <w:rFonts w:ascii="Arial" w:hAnsi="Arial" w:cs="Arial"/>
        </w:rPr>
        <w:t>costoso</w:t>
      </w:r>
      <w:r w:rsidRPr="00756AF1">
        <w:rPr>
          <w:rFonts w:ascii="Arial" w:hAnsi="Arial" w:cs="Arial"/>
        </w:rPr>
        <w:t xml:space="preserve"> y </w:t>
      </w:r>
      <w:r w:rsidRPr="00756AF1">
        <w:rPr>
          <w:rStyle w:val="ai-text"/>
          <w:rFonts w:ascii="Arial" w:hAnsi="Arial" w:cs="Arial"/>
        </w:rPr>
        <w:t>requiere</w:t>
      </w:r>
      <w:r w:rsidRPr="00756AF1">
        <w:rPr>
          <w:rFonts w:ascii="Arial" w:hAnsi="Arial" w:cs="Arial"/>
        </w:rPr>
        <w:t xml:space="preserve"> </w:t>
      </w:r>
      <w:r w:rsidRPr="00756AF1">
        <w:rPr>
          <w:rStyle w:val="ai-text"/>
          <w:rFonts w:ascii="Arial" w:hAnsi="Arial" w:cs="Arial"/>
        </w:rPr>
        <w:t xml:space="preserve">tiempo </w:t>
      </w:r>
      <w:r w:rsidR="007C3F83" w:rsidRPr="00756AF1">
        <w:rPr>
          <w:rStyle w:val="ai-text"/>
          <w:rFonts w:ascii="Arial" w:hAnsi="Arial" w:cs="Arial"/>
        </w:rPr>
        <w:fldChar w:fldCharType="begin"/>
      </w:r>
      <w:r w:rsidR="007C3F83" w:rsidRPr="00756AF1">
        <w:rPr>
          <w:rStyle w:val="ai-text"/>
          <w:rFonts w:ascii="Arial" w:hAnsi="Arial" w:cs="Arial"/>
        </w:rPr>
        <w:instrText xml:space="preserve"> ADDIN ZOTERO_ITEM CSL_CITATION {"citationID":"UWwnwChZ","properties":{"formattedCitation":"(Steduto et\\uc0\\u160{}al., 2009)","plainCitation":"(Steduto et al., 2009)","noteIndex":0},"citationItems":[{"id":3710,"uris":["http://zotero.org/users/13364072/items/N87R9HSX"],"itemData":{"id":3710,"type":"article-journal","abstract":"This article introduces the FAO crop model AquaCrop. It simulates attainable yields of major herbaceous crops as a function of water consumption under rainfed, supplemental, deficit, and full irrigation conditions. The growth engine of AquaCrop is water-driven, in that transpiration is calculated first and translated into biomass using a conservative, crop-specific parameter: the biomass water productivity, normalized for atmospheric evaporative demand and air CO2 concentration. The normalization is to make AquaCrop applicable to diverse locations and seasons. Simulations are performed on thermal time, but can be on calendar time, in daily time-steps. The model uses canopy ground cover instead of leaf area index (LAI) as the basis to calculate transpiration and to separate out soil evaporation from transpiration. Crop yield is calculated as the product of biomass and harvest index (HI). At the start of yield formation period, HI increases linearly with time after a lag phase, until near physiological maturity. Other than for the yield, there is no biomass partitioning into the various organs. Crop responses to water deficits are simulated with four modifiers that are functions of fractional available soil water modulated by evaporative demand, based on the differential sensitivity to water stress of four key plant processes: canopy expansion, stomatal control of transpiration, canopy senescence, and HI. The HI can be modified negatively or positively, depending on stress level, timing, and canopy duration. AquaCrop uses a relatively small number of parameters (explicit and mostly intuitive) and attempts to balance simplicity, accuracy, and robustness. The model is aimed mainly at practitioner-type end-users such as those working for extension services, consulting engineers, governmental agencies, nongovernmental organizations, and various kinds of farmers associations. It is also designed to fit the need of economists and policy specialists who use simple models for planning and scenario analysis.","container-title":"Agronomy Journal","DOI":"10.2134/agronj2008.0139s","ISSN":"1435-0645","issue":"3","language":"en","license":"Copyright © 2009 by the American Society of Agronomy","note":"_eprint: https://acsess.onlinelibrary.wiley.com/doi/pdf/10.2134/agronj2008.0139s","page":"426-437","source":"Wiley Online Library","title":"AquaCrop—The FAO Crop Model to Simulate Yield Response to Water: I. Concepts and Underlying Principles","title-short":"AquaCrop—The FAO Crop Model to Simulate Yield Response to Water","volume":"101","author":[{"family":"Steduto","given":"Pasquale"},{"family":"Hsiao","given":"Theodore C."},{"family":"Raes","given":"Dirk"},{"family":"Fereres","given":"Elias"}],"issued":{"date-parts":[["2009"]]},"citation-key":"stedutoAquaCropFAOCrop2009"}}],"schema":"https://github.com/citation-style-language/schema/raw/master/csl-citation.json"} </w:instrText>
      </w:r>
      <w:r w:rsidR="007C3F83" w:rsidRPr="00756AF1">
        <w:rPr>
          <w:rStyle w:val="ai-text"/>
          <w:rFonts w:ascii="Arial" w:hAnsi="Arial" w:cs="Arial"/>
        </w:rPr>
        <w:fldChar w:fldCharType="separate"/>
      </w:r>
      <w:r w:rsidR="007C3F83" w:rsidRPr="00756AF1">
        <w:rPr>
          <w:rFonts w:ascii="Arial" w:hAnsi="Arial" w:cs="Arial"/>
        </w:rPr>
        <w:t>(Steduto et al., 2009)</w:t>
      </w:r>
      <w:r w:rsidR="007C3F83" w:rsidRPr="00756AF1">
        <w:rPr>
          <w:rStyle w:val="ai-text"/>
          <w:rFonts w:ascii="Arial" w:hAnsi="Arial" w:cs="Arial"/>
        </w:rPr>
        <w:fldChar w:fldCharType="end"/>
      </w:r>
      <w:r w:rsidRPr="00756AF1">
        <w:rPr>
          <w:rStyle w:val="ai-text"/>
          <w:rFonts w:ascii="Arial" w:hAnsi="Arial" w:cs="Arial"/>
        </w:rPr>
        <w:t>.</w:t>
      </w:r>
    </w:p>
    <w:p w14:paraId="417C0680" w14:textId="63B8A4ED" w:rsidR="00F6075E" w:rsidRPr="00756AF1" w:rsidRDefault="00F6075E" w:rsidP="00F6075E">
      <w:pPr>
        <w:pStyle w:val="NormalWeb"/>
        <w:numPr>
          <w:ilvl w:val="0"/>
          <w:numId w:val="5"/>
        </w:numPr>
        <w:rPr>
          <w:rFonts w:ascii="Arial" w:hAnsi="Arial" w:cs="Arial"/>
        </w:rPr>
      </w:pPr>
      <w:r w:rsidRPr="00756AF1">
        <w:rPr>
          <w:rFonts w:ascii="Arial" w:hAnsi="Arial" w:cs="Arial"/>
        </w:rPr>
        <w:t>Es difícil demostrar la validez del modelo. Si</w:t>
      </w:r>
      <w:r w:rsidRPr="00756AF1">
        <w:rPr>
          <w:rStyle w:val="ai-text"/>
          <w:rFonts w:ascii="Arial" w:hAnsi="Arial" w:cs="Arial"/>
        </w:rPr>
        <w:t xml:space="preserve"> el modelo </w:t>
      </w:r>
      <w:r w:rsidRPr="00756AF1">
        <w:rPr>
          <w:rFonts w:ascii="Arial" w:hAnsi="Arial" w:cs="Arial"/>
        </w:rPr>
        <w:t xml:space="preserve">no es válido, los resultados son poco útiles, ya que la información que estamos obteniendo del modelo de simulación no es representativa del sistema real que nos </w:t>
      </w:r>
      <w:r w:rsidRPr="00756AF1">
        <w:rPr>
          <w:rStyle w:val="ai-text"/>
          <w:rFonts w:ascii="Arial" w:hAnsi="Arial" w:cs="Arial"/>
        </w:rPr>
        <w:t>interesa</w:t>
      </w:r>
      <w:r w:rsidRPr="00756AF1">
        <w:rPr>
          <w:rFonts w:ascii="Arial" w:hAnsi="Arial" w:cs="Arial"/>
        </w:rPr>
        <w:t xml:space="preserve"> </w:t>
      </w:r>
      <w:proofErr w:type="gramStart"/>
      <w:r w:rsidRPr="00756AF1">
        <w:rPr>
          <w:rStyle w:val="ai-text"/>
          <w:rFonts w:ascii="Arial" w:hAnsi="Arial" w:cs="Arial"/>
        </w:rPr>
        <w:t>estudiar .</w:t>
      </w:r>
      <w:proofErr w:type="gramEnd"/>
    </w:p>
    <w:p w14:paraId="4E122E79" w14:textId="77777777" w:rsidR="00F6075E" w:rsidRPr="00756AF1" w:rsidRDefault="00F6075E" w:rsidP="00F6075E">
      <w:pPr>
        <w:pStyle w:val="Ttulo2"/>
        <w:rPr>
          <w:rFonts w:cs="Arial"/>
        </w:rPr>
      </w:pPr>
      <w:r w:rsidRPr="00756AF1">
        <w:rPr>
          <w:rStyle w:val="ai-text"/>
          <w:rFonts w:cs="Arial"/>
        </w:rPr>
        <w:lastRenderedPageBreak/>
        <w:t>Modelos</w:t>
      </w:r>
      <w:r w:rsidRPr="00756AF1">
        <w:rPr>
          <w:rFonts w:cs="Arial"/>
        </w:rPr>
        <w:t xml:space="preserve"> de simulación de </w:t>
      </w:r>
      <w:r w:rsidRPr="00756AF1">
        <w:rPr>
          <w:rStyle w:val="ai-text"/>
          <w:rFonts w:cs="Arial"/>
        </w:rPr>
        <w:t>cultivos.</w:t>
      </w:r>
    </w:p>
    <w:p w14:paraId="2A8DA6DC" w14:textId="77777777" w:rsidR="00F6075E" w:rsidRPr="00756AF1" w:rsidRDefault="00F6075E" w:rsidP="00F6075E">
      <w:pPr>
        <w:pStyle w:val="NormalWeb"/>
        <w:rPr>
          <w:rFonts w:ascii="Arial" w:hAnsi="Arial" w:cs="Arial"/>
        </w:rPr>
      </w:pPr>
      <w:r w:rsidRPr="00756AF1">
        <w:rPr>
          <w:rStyle w:val="ai-text"/>
          <w:rFonts w:ascii="Arial" w:hAnsi="Arial" w:cs="Arial"/>
        </w:rPr>
        <w:t>Actualmente,</w:t>
      </w:r>
      <w:r w:rsidRPr="00756AF1">
        <w:rPr>
          <w:rFonts w:ascii="Arial" w:hAnsi="Arial" w:cs="Arial"/>
        </w:rPr>
        <w:t xml:space="preserve"> se utilizan varios modelos de simulación de cultivos con propósitos </w:t>
      </w:r>
      <w:r w:rsidRPr="00756AF1">
        <w:rPr>
          <w:rStyle w:val="ai-text"/>
          <w:rFonts w:ascii="Arial" w:hAnsi="Arial" w:cs="Arial"/>
        </w:rPr>
        <w:t>diferentes. Entre</w:t>
      </w:r>
      <w:r w:rsidRPr="00756AF1">
        <w:rPr>
          <w:rFonts w:ascii="Arial" w:hAnsi="Arial" w:cs="Arial"/>
        </w:rPr>
        <w:t xml:space="preserve"> ellos se destacan los siguientes: </w:t>
      </w:r>
      <w:proofErr w:type="spellStart"/>
      <w:r w:rsidRPr="00756AF1">
        <w:rPr>
          <w:rFonts w:ascii="Arial" w:hAnsi="Arial" w:cs="Arial"/>
        </w:rPr>
        <w:t>AquaCrop</w:t>
      </w:r>
      <w:proofErr w:type="spellEnd"/>
      <w:r w:rsidRPr="00756AF1">
        <w:rPr>
          <w:rFonts w:ascii="Arial" w:hAnsi="Arial" w:cs="Arial"/>
        </w:rPr>
        <w:t xml:space="preserve"> </w:t>
      </w:r>
      <w:r w:rsidRPr="00756AF1">
        <w:rPr>
          <w:rStyle w:val="ai-text"/>
          <w:rFonts w:ascii="Arial" w:hAnsi="Arial" w:cs="Arial"/>
        </w:rPr>
        <w:t>(modelo</w:t>
      </w:r>
      <w:r w:rsidRPr="00756AF1">
        <w:rPr>
          <w:rFonts w:ascii="Arial" w:hAnsi="Arial" w:cs="Arial"/>
        </w:rPr>
        <w:t xml:space="preserve"> de crecimiento para mejorar la productividad hídrica, desarrollado por la </w:t>
      </w:r>
      <w:r w:rsidRPr="00756AF1">
        <w:rPr>
          <w:rStyle w:val="ai-text"/>
          <w:rFonts w:ascii="Arial" w:hAnsi="Arial" w:cs="Arial"/>
        </w:rPr>
        <w:t>FAO),</w:t>
      </w:r>
      <w:r w:rsidRPr="00756AF1">
        <w:rPr>
          <w:rFonts w:ascii="Arial" w:hAnsi="Arial" w:cs="Arial"/>
        </w:rPr>
        <w:t xml:space="preserve"> </w:t>
      </w:r>
      <w:proofErr w:type="spellStart"/>
      <w:r w:rsidRPr="00756AF1">
        <w:rPr>
          <w:rFonts w:ascii="Arial" w:hAnsi="Arial" w:cs="Arial"/>
        </w:rPr>
        <w:t>CropSyst</w:t>
      </w:r>
      <w:proofErr w:type="spellEnd"/>
      <w:r w:rsidRPr="00756AF1">
        <w:rPr>
          <w:rFonts w:ascii="Arial" w:hAnsi="Arial" w:cs="Arial"/>
        </w:rPr>
        <w:t xml:space="preserve"> (</w:t>
      </w:r>
      <w:proofErr w:type="spellStart"/>
      <w:r w:rsidRPr="00756AF1">
        <w:rPr>
          <w:rFonts w:ascii="Arial" w:hAnsi="Arial" w:cs="Arial"/>
        </w:rPr>
        <w:t>Cropping</w:t>
      </w:r>
      <w:proofErr w:type="spellEnd"/>
      <w:r w:rsidRPr="00756AF1">
        <w:rPr>
          <w:rFonts w:ascii="Arial" w:hAnsi="Arial" w:cs="Arial"/>
        </w:rPr>
        <w:t xml:space="preserve"> </w:t>
      </w:r>
      <w:proofErr w:type="spellStart"/>
      <w:r w:rsidRPr="00756AF1">
        <w:rPr>
          <w:rFonts w:ascii="Arial" w:hAnsi="Arial" w:cs="Arial"/>
        </w:rPr>
        <w:t>Systems</w:t>
      </w:r>
      <w:proofErr w:type="spellEnd"/>
      <w:r w:rsidRPr="00756AF1">
        <w:rPr>
          <w:rFonts w:ascii="Arial" w:hAnsi="Arial" w:cs="Arial"/>
        </w:rPr>
        <w:t xml:space="preserve"> </w:t>
      </w:r>
      <w:proofErr w:type="spellStart"/>
      <w:r w:rsidRPr="00756AF1">
        <w:rPr>
          <w:rFonts w:ascii="Arial" w:hAnsi="Arial" w:cs="Arial"/>
        </w:rPr>
        <w:t>simulator</w:t>
      </w:r>
      <w:proofErr w:type="spellEnd"/>
      <w:r w:rsidRPr="00756AF1">
        <w:rPr>
          <w:rFonts w:ascii="Arial" w:hAnsi="Arial" w:cs="Arial"/>
        </w:rPr>
        <w:t xml:space="preserve">), </w:t>
      </w:r>
      <w:proofErr w:type="spellStart"/>
      <w:r w:rsidRPr="00756AF1">
        <w:rPr>
          <w:rFonts w:ascii="Arial" w:hAnsi="Arial" w:cs="Arial"/>
        </w:rPr>
        <w:t>InfoCrop</w:t>
      </w:r>
      <w:proofErr w:type="spellEnd"/>
      <w:r w:rsidRPr="00756AF1">
        <w:rPr>
          <w:rFonts w:ascii="Arial" w:hAnsi="Arial" w:cs="Arial"/>
        </w:rPr>
        <w:t xml:space="preserve"> (modelo dinámico de rendimiento </w:t>
      </w:r>
      <w:r w:rsidRPr="00756AF1">
        <w:rPr>
          <w:rStyle w:val="ai-text"/>
          <w:rFonts w:ascii="Arial" w:hAnsi="Arial" w:cs="Arial"/>
        </w:rPr>
        <w:t>desarrollado</w:t>
      </w:r>
      <w:r w:rsidRPr="00756AF1">
        <w:rPr>
          <w:rFonts w:ascii="Arial" w:hAnsi="Arial" w:cs="Arial"/>
        </w:rPr>
        <w:t xml:space="preserve"> por la Universidad de Wageningen en </w:t>
      </w:r>
      <w:r w:rsidRPr="00756AF1">
        <w:rPr>
          <w:rStyle w:val="ai-text"/>
          <w:rFonts w:ascii="Arial" w:hAnsi="Arial" w:cs="Arial"/>
        </w:rPr>
        <w:t>Holanda),</w:t>
      </w:r>
      <w:r w:rsidRPr="00756AF1">
        <w:rPr>
          <w:rFonts w:ascii="Arial" w:hAnsi="Arial" w:cs="Arial"/>
        </w:rPr>
        <w:t xml:space="preserve"> WOFOST </w:t>
      </w:r>
      <w:r w:rsidRPr="00756AF1">
        <w:rPr>
          <w:rStyle w:val="ai-text"/>
          <w:rFonts w:ascii="Arial" w:hAnsi="Arial" w:cs="Arial"/>
        </w:rPr>
        <w:t>(</w:t>
      </w:r>
      <w:proofErr w:type="spellStart"/>
      <w:r w:rsidRPr="00756AF1">
        <w:rPr>
          <w:rStyle w:val="ai-text"/>
          <w:rFonts w:ascii="Arial" w:hAnsi="Arial" w:cs="Arial"/>
        </w:rPr>
        <w:t>World</w:t>
      </w:r>
      <w:proofErr w:type="spellEnd"/>
      <w:r w:rsidRPr="00756AF1">
        <w:rPr>
          <w:rStyle w:val="ai-text"/>
          <w:rFonts w:ascii="Arial" w:hAnsi="Arial" w:cs="Arial"/>
        </w:rPr>
        <w:t xml:space="preserve"> </w:t>
      </w:r>
      <w:proofErr w:type="spellStart"/>
      <w:r w:rsidRPr="00756AF1">
        <w:rPr>
          <w:rStyle w:val="ai-text"/>
          <w:rFonts w:ascii="Arial" w:hAnsi="Arial" w:cs="Arial"/>
        </w:rPr>
        <w:t>Food</w:t>
      </w:r>
      <w:proofErr w:type="spellEnd"/>
      <w:r w:rsidRPr="00756AF1">
        <w:rPr>
          <w:rStyle w:val="ai-text"/>
          <w:rFonts w:ascii="Arial" w:hAnsi="Arial" w:cs="Arial"/>
        </w:rPr>
        <w:t xml:space="preserve"> </w:t>
      </w:r>
      <w:proofErr w:type="spellStart"/>
      <w:r w:rsidRPr="00756AF1">
        <w:rPr>
          <w:rStyle w:val="ai-text"/>
          <w:rFonts w:ascii="Arial" w:hAnsi="Arial" w:cs="Arial"/>
        </w:rPr>
        <w:t>Studies</w:t>
      </w:r>
      <w:proofErr w:type="spellEnd"/>
      <w:r w:rsidRPr="00756AF1">
        <w:rPr>
          <w:rStyle w:val="ai-text"/>
          <w:rFonts w:ascii="Arial" w:hAnsi="Arial" w:cs="Arial"/>
        </w:rPr>
        <w:t>,</w:t>
      </w:r>
      <w:r w:rsidRPr="00756AF1">
        <w:rPr>
          <w:rFonts w:ascii="Arial" w:hAnsi="Arial" w:cs="Arial"/>
        </w:rPr>
        <w:t xml:space="preserve"> desarrollado por la </w:t>
      </w:r>
      <w:r w:rsidRPr="00756AF1">
        <w:rPr>
          <w:rStyle w:val="ai-text"/>
          <w:rFonts w:ascii="Arial" w:hAnsi="Arial" w:cs="Arial"/>
        </w:rPr>
        <w:t>misma universidad),</w:t>
      </w:r>
      <w:r w:rsidRPr="00756AF1">
        <w:rPr>
          <w:rFonts w:ascii="Arial" w:hAnsi="Arial" w:cs="Arial"/>
        </w:rPr>
        <w:t xml:space="preserve"> </w:t>
      </w:r>
      <w:proofErr w:type="spellStart"/>
      <w:r w:rsidRPr="00756AF1">
        <w:rPr>
          <w:rFonts w:ascii="Arial" w:hAnsi="Arial" w:cs="Arial"/>
        </w:rPr>
        <w:t>CropWat</w:t>
      </w:r>
      <w:proofErr w:type="spellEnd"/>
      <w:r w:rsidRPr="00756AF1">
        <w:rPr>
          <w:rFonts w:ascii="Arial" w:hAnsi="Arial" w:cs="Arial"/>
        </w:rPr>
        <w:t xml:space="preserve"> (</w:t>
      </w:r>
      <w:proofErr w:type="spellStart"/>
      <w:r w:rsidRPr="00756AF1">
        <w:rPr>
          <w:rFonts w:ascii="Arial" w:hAnsi="Arial" w:cs="Arial"/>
        </w:rPr>
        <w:t>Crop</w:t>
      </w:r>
      <w:proofErr w:type="spellEnd"/>
      <w:r w:rsidRPr="00756AF1">
        <w:rPr>
          <w:rFonts w:ascii="Arial" w:hAnsi="Arial" w:cs="Arial"/>
        </w:rPr>
        <w:t xml:space="preserve"> </w:t>
      </w:r>
      <w:proofErr w:type="spellStart"/>
      <w:r w:rsidRPr="00756AF1">
        <w:rPr>
          <w:rFonts w:ascii="Arial" w:hAnsi="Arial" w:cs="Arial"/>
        </w:rPr>
        <w:t>Water</w:t>
      </w:r>
      <w:proofErr w:type="spellEnd"/>
      <w:r w:rsidRPr="00756AF1">
        <w:rPr>
          <w:rFonts w:ascii="Arial" w:hAnsi="Arial" w:cs="Arial"/>
        </w:rPr>
        <w:t xml:space="preserve"> </w:t>
      </w:r>
      <w:proofErr w:type="spellStart"/>
      <w:r w:rsidRPr="00756AF1">
        <w:rPr>
          <w:rFonts w:ascii="Arial" w:hAnsi="Arial" w:cs="Arial"/>
        </w:rPr>
        <w:t>Productivity</w:t>
      </w:r>
      <w:proofErr w:type="spellEnd"/>
      <w:r w:rsidRPr="00756AF1">
        <w:rPr>
          <w:rFonts w:ascii="Arial" w:hAnsi="Arial" w:cs="Arial"/>
        </w:rPr>
        <w:t xml:space="preserve"> </w:t>
      </w:r>
      <w:proofErr w:type="spellStart"/>
      <w:r w:rsidRPr="00756AF1">
        <w:rPr>
          <w:rFonts w:ascii="Arial" w:hAnsi="Arial" w:cs="Arial"/>
        </w:rPr>
        <w:t>Model</w:t>
      </w:r>
      <w:proofErr w:type="spellEnd"/>
      <w:r w:rsidRPr="00756AF1">
        <w:rPr>
          <w:rFonts w:ascii="Arial" w:hAnsi="Arial" w:cs="Arial"/>
        </w:rPr>
        <w:t>), DSSAT-CERES-</w:t>
      </w:r>
      <w:proofErr w:type="spellStart"/>
      <w:r w:rsidRPr="00756AF1">
        <w:rPr>
          <w:rFonts w:ascii="Arial" w:hAnsi="Arial" w:cs="Arial"/>
        </w:rPr>
        <w:t>Maize</w:t>
      </w:r>
      <w:proofErr w:type="spellEnd"/>
      <w:r w:rsidRPr="00756AF1">
        <w:rPr>
          <w:rFonts w:ascii="Arial" w:hAnsi="Arial" w:cs="Arial"/>
        </w:rPr>
        <w:t xml:space="preserve"> (</w:t>
      </w:r>
      <w:proofErr w:type="spellStart"/>
      <w:r w:rsidRPr="00756AF1">
        <w:rPr>
          <w:rFonts w:ascii="Arial" w:hAnsi="Arial" w:cs="Arial"/>
        </w:rPr>
        <w:t>Decision</w:t>
      </w:r>
      <w:proofErr w:type="spellEnd"/>
      <w:r w:rsidRPr="00756AF1">
        <w:rPr>
          <w:rFonts w:ascii="Arial" w:hAnsi="Arial" w:cs="Arial"/>
        </w:rPr>
        <w:t xml:space="preserve"> </w:t>
      </w:r>
      <w:proofErr w:type="spellStart"/>
      <w:r w:rsidRPr="00756AF1">
        <w:rPr>
          <w:rFonts w:ascii="Arial" w:hAnsi="Arial" w:cs="Arial"/>
        </w:rPr>
        <w:t>Support</w:t>
      </w:r>
      <w:proofErr w:type="spellEnd"/>
      <w:r w:rsidRPr="00756AF1">
        <w:rPr>
          <w:rFonts w:ascii="Arial" w:hAnsi="Arial" w:cs="Arial"/>
        </w:rPr>
        <w:t xml:space="preserve"> </w:t>
      </w:r>
      <w:proofErr w:type="spellStart"/>
      <w:r w:rsidRPr="00756AF1">
        <w:rPr>
          <w:rFonts w:ascii="Arial" w:hAnsi="Arial" w:cs="Arial"/>
        </w:rPr>
        <w:t>System</w:t>
      </w:r>
      <w:proofErr w:type="spellEnd"/>
      <w:r w:rsidRPr="00756AF1">
        <w:rPr>
          <w:rFonts w:ascii="Arial" w:hAnsi="Arial" w:cs="Arial"/>
        </w:rPr>
        <w:t xml:space="preserve"> for </w:t>
      </w:r>
      <w:proofErr w:type="spellStart"/>
      <w:r w:rsidRPr="00756AF1">
        <w:rPr>
          <w:rFonts w:ascii="Arial" w:hAnsi="Arial" w:cs="Arial"/>
        </w:rPr>
        <w:t>Agrotechnology</w:t>
      </w:r>
      <w:proofErr w:type="spellEnd"/>
      <w:r w:rsidRPr="00756AF1">
        <w:rPr>
          <w:rFonts w:ascii="Arial" w:hAnsi="Arial" w:cs="Arial"/>
        </w:rPr>
        <w:t xml:space="preserve"> Transfer-</w:t>
      </w:r>
      <w:proofErr w:type="spellStart"/>
      <w:r w:rsidRPr="00756AF1">
        <w:rPr>
          <w:rFonts w:ascii="Arial" w:hAnsi="Arial" w:cs="Arial"/>
        </w:rPr>
        <w:t>Crop</w:t>
      </w:r>
      <w:proofErr w:type="spellEnd"/>
      <w:r w:rsidRPr="00756AF1">
        <w:rPr>
          <w:rFonts w:ascii="Arial" w:hAnsi="Arial" w:cs="Arial"/>
        </w:rPr>
        <w:t xml:space="preserve"> </w:t>
      </w:r>
      <w:proofErr w:type="spellStart"/>
      <w:r w:rsidRPr="00756AF1">
        <w:rPr>
          <w:rFonts w:ascii="Arial" w:hAnsi="Arial" w:cs="Arial"/>
        </w:rPr>
        <w:t>Environment</w:t>
      </w:r>
      <w:proofErr w:type="spellEnd"/>
      <w:r w:rsidRPr="00756AF1">
        <w:rPr>
          <w:rFonts w:ascii="Arial" w:hAnsi="Arial" w:cs="Arial"/>
        </w:rPr>
        <w:t xml:space="preserve"> </w:t>
      </w:r>
      <w:proofErr w:type="spellStart"/>
      <w:r w:rsidRPr="00756AF1">
        <w:rPr>
          <w:rFonts w:ascii="Arial" w:hAnsi="Arial" w:cs="Arial"/>
        </w:rPr>
        <w:t>Resource</w:t>
      </w:r>
      <w:proofErr w:type="spellEnd"/>
      <w:r w:rsidRPr="00756AF1">
        <w:rPr>
          <w:rFonts w:ascii="Arial" w:hAnsi="Arial" w:cs="Arial"/>
        </w:rPr>
        <w:t xml:space="preserve"> </w:t>
      </w:r>
      <w:proofErr w:type="spellStart"/>
      <w:r w:rsidRPr="00756AF1">
        <w:rPr>
          <w:rStyle w:val="ai-text"/>
          <w:rFonts w:ascii="Arial" w:hAnsi="Arial" w:cs="Arial"/>
        </w:rPr>
        <w:t>Synthesis</w:t>
      </w:r>
      <w:proofErr w:type="spellEnd"/>
      <w:r w:rsidRPr="00756AF1">
        <w:rPr>
          <w:rStyle w:val="ai-text"/>
          <w:rFonts w:ascii="Arial" w:hAnsi="Arial" w:cs="Arial"/>
        </w:rPr>
        <w:t>).</w:t>
      </w:r>
    </w:p>
    <w:p w14:paraId="174703AA" w14:textId="3D9BF9CE" w:rsidR="00F6075E" w:rsidRPr="00756AF1" w:rsidRDefault="00F6075E" w:rsidP="00F6075E">
      <w:pPr>
        <w:pStyle w:val="NormalWeb"/>
        <w:rPr>
          <w:rFonts w:ascii="Arial" w:hAnsi="Arial" w:cs="Arial"/>
        </w:rPr>
      </w:pPr>
      <w:r w:rsidRPr="00756AF1">
        <w:rPr>
          <w:rFonts w:ascii="Arial" w:hAnsi="Arial" w:cs="Arial"/>
        </w:rPr>
        <w:t xml:space="preserve">El modelo de simulación de cultivos </w:t>
      </w:r>
      <w:proofErr w:type="spellStart"/>
      <w:r w:rsidRPr="00756AF1">
        <w:rPr>
          <w:rFonts w:ascii="Arial" w:hAnsi="Arial" w:cs="Arial"/>
        </w:rPr>
        <w:t>CropSyst</w:t>
      </w:r>
      <w:proofErr w:type="spellEnd"/>
      <w:r w:rsidRPr="00756AF1">
        <w:rPr>
          <w:rFonts w:ascii="Arial" w:hAnsi="Arial" w:cs="Arial"/>
        </w:rPr>
        <w:t xml:space="preserve"> permite realizar simulaciones de cultivos durante varios </w:t>
      </w:r>
      <w:r w:rsidRPr="00756AF1">
        <w:rPr>
          <w:rStyle w:val="ai-text"/>
          <w:rFonts w:ascii="Arial" w:hAnsi="Arial" w:cs="Arial"/>
        </w:rPr>
        <w:t>años. Simula</w:t>
      </w:r>
      <w:r w:rsidRPr="00756AF1">
        <w:rPr>
          <w:rFonts w:ascii="Arial" w:hAnsi="Arial" w:cs="Arial"/>
        </w:rPr>
        <w:t xml:space="preserve"> el balance de N y agua en el suelo, fenología del cultivo, absorción de nitrógeno y agua; el crecimiento y desarrollo del área foliar, la producción de biomasa, el rendimiento final, así como la producción y descomposición de residuos de cultivo y la erosión del </w:t>
      </w:r>
      <w:proofErr w:type="gramStart"/>
      <w:r w:rsidRPr="00756AF1">
        <w:rPr>
          <w:rStyle w:val="ai-text"/>
          <w:rFonts w:ascii="Arial" w:hAnsi="Arial" w:cs="Arial"/>
        </w:rPr>
        <w:t>suelo .</w:t>
      </w:r>
      <w:proofErr w:type="gramEnd"/>
    </w:p>
    <w:p w14:paraId="1A645E03" w14:textId="2455F269" w:rsidR="00F6075E" w:rsidRPr="00756AF1" w:rsidRDefault="00F6075E" w:rsidP="00F6075E">
      <w:pPr>
        <w:pStyle w:val="NormalWeb"/>
        <w:rPr>
          <w:rFonts w:ascii="Arial" w:hAnsi="Arial" w:cs="Arial"/>
        </w:rPr>
      </w:pPr>
      <w:r w:rsidRPr="00756AF1">
        <w:rPr>
          <w:rFonts w:ascii="Arial" w:hAnsi="Arial" w:cs="Arial"/>
        </w:rPr>
        <w:t xml:space="preserve">Este modelo incorpora los efectos sobre estos procesos en dependencia de las variables climáticas, tipo de suelo y características del </w:t>
      </w:r>
      <w:r w:rsidRPr="00756AF1">
        <w:rPr>
          <w:rStyle w:val="ai-text"/>
          <w:rFonts w:ascii="Arial" w:hAnsi="Arial" w:cs="Arial"/>
        </w:rPr>
        <w:t>cultivo. De</w:t>
      </w:r>
      <w:r w:rsidRPr="00756AF1">
        <w:rPr>
          <w:rFonts w:ascii="Arial" w:hAnsi="Arial" w:cs="Arial"/>
        </w:rPr>
        <w:t xml:space="preserve"> igual </w:t>
      </w:r>
      <w:r w:rsidRPr="00756AF1">
        <w:rPr>
          <w:rStyle w:val="ai-text"/>
          <w:rFonts w:ascii="Arial" w:hAnsi="Arial" w:cs="Arial"/>
        </w:rPr>
        <w:t>forma,</w:t>
      </w:r>
      <w:r w:rsidRPr="00756AF1">
        <w:rPr>
          <w:rFonts w:ascii="Arial" w:hAnsi="Arial" w:cs="Arial"/>
        </w:rPr>
        <w:t xml:space="preserve"> incluye</w:t>
      </w:r>
      <w:r w:rsidRPr="00756AF1">
        <w:rPr>
          <w:rStyle w:val="ai-text"/>
          <w:rFonts w:ascii="Arial" w:hAnsi="Arial" w:cs="Arial"/>
        </w:rPr>
        <w:t xml:space="preserve"> una </w:t>
      </w:r>
      <w:r w:rsidRPr="00756AF1">
        <w:rPr>
          <w:rFonts w:ascii="Arial" w:hAnsi="Arial" w:cs="Arial"/>
        </w:rPr>
        <w:t xml:space="preserve">variedad de opciones agronómicas de manejo (riego, fertilización, manejo de residuos, elección varietal y </w:t>
      </w:r>
      <w:r w:rsidRPr="00756AF1">
        <w:rPr>
          <w:rStyle w:val="ai-text"/>
          <w:rFonts w:ascii="Arial" w:hAnsi="Arial" w:cs="Arial"/>
        </w:rPr>
        <w:t>rotación). Un aspecto</w:t>
      </w:r>
      <w:r w:rsidRPr="00756AF1">
        <w:rPr>
          <w:rFonts w:ascii="Arial" w:hAnsi="Arial" w:cs="Arial"/>
        </w:rPr>
        <w:t xml:space="preserve"> importante es la posibilidad de realizar análisis de impacto ambiental (erosión, lixiviación y cambio climático). </w:t>
      </w:r>
      <w:r w:rsidR="00CC733C" w:rsidRPr="00756AF1">
        <w:rPr>
          <w:rFonts w:ascii="Arial" w:hAnsi="Arial" w:cs="Arial"/>
        </w:rPr>
        <w:fldChar w:fldCharType="begin"/>
      </w:r>
      <w:r w:rsidR="00CC733C" w:rsidRPr="00756AF1">
        <w:rPr>
          <w:rFonts w:ascii="Arial" w:hAnsi="Arial" w:cs="Arial"/>
        </w:rPr>
        <w:instrText xml:space="preserve"> ADDIN ZOTERO_ITEM CSL_CITATION {"citationID":"wIyFqiZk","properties":{"formattedCitation":"(Ferrer et\\uc0\\u160{}al., 2000)","plainCitation":"(Ferrer et al., 2000)","noteIndex":0},"citationItems":[{"id":3593,"uris":["http://zotero.org/users/13364072/items/FEVKQE7W"],"itemData":{"id":3593,"type":"article-journal","container-title":"Invest. Agr.: Prod. Prot. Veg","issue":"3","page":"237–251","source":"Google Scholar","title":"Evaluación del modelo de simulación CropSyst para maíz de regadío en el valle del Ebro","volume":"15","author":[{"family":"Ferrer","given":"F."},{"family":"Villar","given":"J. M."},{"family":"Stockle","given":"C. O."}],"issued":{"date-parts":[["2000"]]},"citation-key":"ferrerEvaluacionModeloSimulacion2000"}}],"schema":"https://github.com/citation-style-language/schema/raw/master/csl-citation.json"} </w:instrText>
      </w:r>
      <w:r w:rsidR="00CC733C" w:rsidRPr="00756AF1">
        <w:rPr>
          <w:rFonts w:ascii="Arial" w:hAnsi="Arial" w:cs="Arial"/>
        </w:rPr>
        <w:fldChar w:fldCharType="separate"/>
      </w:r>
      <w:r w:rsidR="00CC733C" w:rsidRPr="00756AF1">
        <w:rPr>
          <w:rFonts w:ascii="Arial" w:hAnsi="Arial" w:cs="Arial"/>
        </w:rPr>
        <w:t>(Ferrer et al., 2000)</w:t>
      </w:r>
      <w:r w:rsidR="00CC733C" w:rsidRPr="00756AF1">
        <w:rPr>
          <w:rFonts w:ascii="Arial" w:hAnsi="Arial" w:cs="Arial"/>
        </w:rPr>
        <w:fldChar w:fldCharType="end"/>
      </w:r>
    </w:p>
    <w:p w14:paraId="177756FC" w14:textId="23CB2848" w:rsidR="00F6075E" w:rsidRPr="00756AF1" w:rsidRDefault="00F6075E" w:rsidP="00F6075E">
      <w:pPr>
        <w:pStyle w:val="NormalWeb"/>
        <w:rPr>
          <w:rFonts w:ascii="Arial" w:hAnsi="Arial" w:cs="Arial"/>
        </w:rPr>
      </w:pPr>
      <w:r w:rsidRPr="00756AF1">
        <w:rPr>
          <w:rFonts w:ascii="Arial" w:hAnsi="Arial" w:cs="Arial"/>
        </w:rPr>
        <w:t xml:space="preserve">En la </w:t>
      </w:r>
      <w:r w:rsidRPr="00756AF1">
        <w:rPr>
          <w:rStyle w:val="ai-text"/>
          <w:rFonts w:ascii="Arial" w:hAnsi="Arial" w:cs="Arial"/>
        </w:rPr>
        <w:t>actualidad,</w:t>
      </w:r>
      <w:r w:rsidRPr="00756AF1">
        <w:rPr>
          <w:rFonts w:ascii="Arial" w:hAnsi="Arial" w:cs="Arial"/>
        </w:rPr>
        <w:t xml:space="preserve"> el uso del modelo </w:t>
      </w:r>
      <w:proofErr w:type="spellStart"/>
      <w:r w:rsidRPr="00756AF1">
        <w:rPr>
          <w:rFonts w:ascii="Arial" w:hAnsi="Arial" w:cs="Arial"/>
        </w:rPr>
        <w:t>AquaCrop</w:t>
      </w:r>
      <w:proofErr w:type="spellEnd"/>
      <w:r w:rsidRPr="00756AF1">
        <w:rPr>
          <w:rFonts w:ascii="Arial" w:hAnsi="Arial" w:cs="Arial"/>
        </w:rPr>
        <w:t xml:space="preserve"> de la </w:t>
      </w:r>
      <w:r w:rsidRPr="00756AF1">
        <w:rPr>
          <w:rStyle w:val="ai-text"/>
          <w:rFonts w:ascii="Arial" w:hAnsi="Arial" w:cs="Arial"/>
        </w:rPr>
        <w:t>FAO se ha incrementado. Esto se debe</w:t>
      </w:r>
      <w:r w:rsidRPr="00756AF1">
        <w:rPr>
          <w:rFonts w:ascii="Arial" w:hAnsi="Arial" w:cs="Arial"/>
        </w:rPr>
        <w:t xml:space="preserve"> a que es un software de libre acceso, requiere una menor cantidad de detalles y especificaciones de las variables de entrada, por lo que es de gran utilidad donde no existe abundante acceso a datos de clima, suelo o del cultivo y que sean de buena calidad y en cantidad suficiente para realizar las </w:t>
      </w:r>
      <w:proofErr w:type="gramStart"/>
      <w:r w:rsidRPr="00756AF1">
        <w:rPr>
          <w:rStyle w:val="ai-text"/>
          <w:rFonts w:ascii="Arial" w:hAnsi="Arial" w:cs="Arial"/>
        </w:rPr>
        <w:t>simulaciones .</w:t>
      </w:r>
      <w:proofErr w:type="gramEnd"/>
    </w:p>
    <w:p w14:paraId="5850B65F" w14:textId="43D520D5" w:rsidR="00F6075E" w:rsidRPr="00756AF1" w:rsidRDefault="00F6075E" w:rsidP="00F6075E">
      <w:pPr>
        <w:pStyle w:val="NormalWeb"/>
        <w:rPr>
          <w:rFonts w:ascii="Arial" w:hAnsi="Arial" w:cs="Arial"/>
        </w:rPr>
      </w:pPr>
      <w:r w:rsidRPr="00756AF1">
        <w:rPr>
          <w:rFonts w:ascii="Arial" w:hAnsi="Arial" w:cs="Arial"/>
        </w:rPr>
        <w:t xml:space="preserve">El modelo </w:t>
      </w:r>
      <w:proofErr w:type="spellStart"/>
      <w:r w:rsidRPr="00756AF1">
        <w:rPr>
          <w:rFonts w:ascii="Arial" w:hAnsi="Arial" w:cs="Arial"/>
        </w:rPr>
        <w:t>CropWat</w:t>
      </w:r>
      <w:proofErr w:type="spellEnd"/>
      <w:r w:rsidRPr="00756AF1">
        <w:rPr>
          <w:rFonts w:ascii="Arial" w:hAnsi="Arial" w:cs="Arial"/>
        </w:rPr>
        <w:t xml:space="preserve"> de la </w:t>
      </w:r>
      <w:r w:rsidRPr="00756AF1">
        <w:rPr>
          <w:rStyle w:val="ai-text"/>
          <w:rFonts w:ascii="Arial" w:hAnsi="Arial" w:cs="Arial"/>
        </w:rPr>
        <w:t>FAO</w:t>
      </w:r>
      <w:r w:rsidRPr="00756AF1">
        <w:rPr>
          <w:rFonts w:ascii="Arial" w:hAnsi="Arial" w:cs="Arial"/>
        </w:rPr>
        <w:t xml:space="preserve"> es utilizado </w:t>
      </w:r>
      <w:r w:rsidRPr="00756AF1">
        <w:rPr>
          <w:rStyle w:val="ai-text"/>
          <w:rFonts w:ascii="Arial" w:hAnsi="Arial" w:cs="Arial"/>
        </w:rPr>
        <w:t>principalmente</w:t>
      </w:r>
      <w:r w:rsidRPr="00756AF1">
        <w:rPr>
          <w:rFonts w:ascii="Arial" w:hAnsi="Arial" w:cs="Arial"/>
        </w:rPr>
        <w:t xml:space="preserve"> para estudios de riego, el consumo de agua del cultivo y su consecuente lámina de </w:t>
      </w:r>
      <w:r w:rsidRPr="00756AF1">
        <w:rPr>
          <w:rStyle w:val="ai-text"/>
          <w:rFonts w:ascii="Arial" w:hAnsi="Arial" w:cs="Arial"/>
        </w:rPr>
        <w:t xml:space="preserve">riego. Sin embargo, es poco utilizado con fines de simulación del cambio </w:t>
      </w:r>
      <w:proofErr w:type="gramStart"/>
      <w:r w:rsidRPr="00756AF1">
        <w:rPr>
          <w:rStyle w:val="ai-text"/>
          <w:rFonts w:ascii="Arial" w:hAnsi="Arial" w:cs="Arial"/>
        </w:rPr>
        <w:t>climático .</w:t>
      </w:r>
      <w:proofErr w:type="gramEnd"/>
    </w:p>
    <w:p w14:paraId="2B713686" w14:textId="62595A94" w:rsidR="00F6075E" w:rsidRPr="00756AF1" w:rsidRDefault="00F6075E" w:rsidP="00F6075E">
      <w:pPr>
        <w:pStyle w:val="NormalWeb"/>
        <w:rPr>
          <w:rFonts w:ascii="Arial" w:hAnsi="Arial" w:cs="Arial"/>
        </w:rPr>
      </w:pPr>
      <w:r w:rsidRPr="00756AF1">
        <w:rPr>
          <w:rFonts w:ascii="Arial" w:hAnsi="Arial" w:cs="Arial"/>
        </w:rPr>
        <w:t xml:space="preserve">El modelo WOFOST (Universidad de </w:t>
      </w:r>
      <w:r w:rsidRPr="00756AF1">
        <w:rPr>
          <w:rStyle w:val="ai-text"/>
          <w:rFonts w:ascii="Arial" w:hAnsi="Arial" w:cs="Arial"/>
        </w:rPr>
        <w:t>Wageningen)</w:t>
      </w:r>
      <w:r w:rsidRPr="00756AF1">
        <w:rPr>
          <w:rFonts w:ascii="Arial" w:hAnsi="Arial" w:cs="Arial"/>
        </w:rPr>
        <w:t xml:space="preserve"> tiene la ventaja de ser un programa abierto, de acceso libre,</w:t>
      </w:r>
      <w:r w:rsidRPr="00756AF1">
        <w:rPr>
          <w:rStyle w:val="ai-text"/>
          <w:rFonts w:ascii="Arial" w:hAnsi="Arial" w:cs="Arial"/>
        </w:rPr>
        <w:t xml:space="preserve"> que </w:t>
      </w:r>
      <w:r w:rsidRPr="00756AF1">
        <w:rPr>
          <w:rFonts w:ascii="Arial" w:hAnsi="Arial" w:cs="Arial"/>
        </w:rPr>
        <w:t xml:space="preserve">permite modificar el código fuente de su </w:t>
      </w:r>
      <w:r w:rsidRPr="00756AF1">
        <w:rPr>
          <w:rStyle w:val="ai-text"/>
          <w:rFonts w:ascii="Arial" w:hAnsi="Arial" w:cs="Arial"/>
        </w:rPr>
        <w:t>estructura. Esto</w:t>
      </w:r>
      <w:r w:rsidRPr="00756AF1">
        <w:rPr>
          <w:rFonts w:ascii="Arial" w:hAnsi="Arial" w:cs="Arial"/>
        </w:rPr>
        <w:t xml:space="preserve"> facilita realizar ajustes para condiciones particulares por parte del </w:t>
      </w:r>
      <w:proofErr w:type="gramStart"/>
      <w:r w:rsidRPr="00756AF1">
        <w:rPr>
          <w:rStyle w:val="ai-text"/>
          <w:rFonts w:ascii="Arial" w:hAnsi="Arial" w:cs="Arial"/>
        </w:rPr>
        <w:t>usuario .</w:t>
      </w:r>
      <w:proofErr w:type="gramEnd"/>
    </w:p>
    <w:p w14:paraId="31458E9E" w14:textId="18F4B962" w:rsidR="00F6075E" w:rsidRPr="00756AF1" w:rsidRDefault="00F6075E" w:rsidP="00F6075E">
      <w:pPr>
        <w:pStyle w:val="NormalWeb"/>
        <w:rPr>
          <w:rFonts w:ascii="Arial" w:hAnsi="Arial" w:cs="Arial"/>
        </w:rPr>
      </w:pPr>
      <w:r w:rsidRPr="00756AF1">
        <w:rPr>
          <w:rFonts w:ascii="Arial" w:hAnsi="Arial" w:cs="Arial"/>
        </w:rPr>
        <w:t xml:space="preserve">El Sistema de Apoyo para Decisiones de Transferencia de Agrotecnología </w:t>
      </w:r>
      <w:r w:rsidRPr="00756AF1">
        <w:rPr>
          <w:rStyle w:val="ai-text"/>
          <w:rFonts w:ascii="Arial" w:hAnsi="Arial" w:cs="Arial"/>
        </w:rPr>
        <w:t>(DSSAT)</w:t>
      </w:r>
      <w:r w:rsidRPr="00756AF1">
        <w:rPr>
          <w:rFonts w:ascii="Arial" w:hAnsi="Arial" w:cs="Arial"/>
        </w:rPr>
        <w:t xml:space="preserve"> es una plataforma que incluye 42 modelos y se ha aplicado para simular los efectos que tienen en el rendimiento diferentes condiciones de </w:t>
      </w:r>
      <w:r w:rsidRPr="00756AF1">
        <w:rPr>
          <w:rStyle w:val="ai-text"/>
          <w:rFonts w:ascii="Arial" w:hAnsi="Arial" w:cs="Arial"/>
        </w:rPr>
        <w:t>manejo. Este sistema fue desarrollado en Universidades de Georgia y Florida. Se han simulado las</w:t>
      </w:r>
      <w:r w:rsidRPr="00756AF1">
        <w:rPr>
          <w:rFonts w:ascii="Arial" w:hAnsi="Arial" w:cs="Arial"/>
        </w:rPr>
        <w:t xml:space="preserve"> fechas de siembra </w:t>
      </w:r>
      <w:r w:rsidR="00CC733C" w:rsidRPr="00756AF1">
        <w:rPr>
          <w:rFonts w:ascii="Arial" w:hAnsi="Arial" w:cs="Arial"/>
        </w:rPr>
        <w:fldChar w:fldCharType="begin"/>
      </w:r>
      <w:r w:rsidR="00CC733C" w:rsidRPr="00756AF1">
        <w:rPr>
          <w:rFonts w:ascii="Arial" w:hAnsi="Arial" w:cs="Arial"/>
        </w:rPr>
        <w:instrText xml:space="preserve"> ADDIN ZOTERO_ITEM CSL_CITATION {"citationID":"VIlHvL4h","properties":{"formattedCitation":"(Tofa et\\uc0\\u160{}al., 2020)","plainCitation":"(Tofa et al., 2020)","noteIndex":0},"citationItems":[{"id":2324,"uris":["http://zotero.org/users/13364072/items/AMBQBWAZ"],"itemData":{"id":2324,"type":"article-journal","abstract":"The Crop Environment Resource Synthesis (CERES)-Maize model in Decision Support System for Agricultural Technology Transfer (DSSAT) was calibrated and evaluated with experimental data for simulation of response of two intermediate-maturing maize varieties to different sowing dates in the Nigerian savannas. The calibration experiments involved 14 consecutive field trials conducted in the rainy and dry seasons in Bayero University Kano (BUK), Dambatta, and Zaria between 2014–2019. Two sets of field experiments were conducted simultaneously for model evaluation in Iburu in the southern Guinea savanna zone and Zaria in the northern Guinea savanna zone during 2015 and 2016 cropping seasons. The experiments for calibration had two maize (SAMMAZ-15 and SAMMAZ-16) varieties planted under optimum conditions with no water and nutrients stresses. The trials for model evaluation were conducted using the same varieties under four different nitrogen (N) rates (0, 60, 120 and 180 kg N ha−1). A 30-year (1985–2014) term simulation was performed to determine effect of varying sowing dates on yields of two maize varieties (SAMMAZ-15 and SAMMAZ-16) in the Sudan savanna (SS), northern Guinea savanna (NGS), and southern Guinea savanna (SGS) zones. The calibration results showed that the cultivar coefficients of the two maize varieties resulted in simulated growth and development parameters that were in good agreement with observed parameters. Model evaluation showed a good agreement between simulated and observed data for phenology and growth of maize. This demonstrated the potential of the CERES-Maize model to simulate growth and yield of maize in the Nigeria savannas. Results of 30-year sensitivity analysis with 9 different sowing windows showed that in SS, sowing the intermediate maize varieties from early to mid-June produced the highest grain yields. In NGS, the optimum sowing windows were found between late June and late July for the both varieties. In SGS, the optimum sowing window is from early June to late July for SAMMAZ-15 and mid-June to late July for SAMMAZ-16. These planting windows gave the highest long-term average yields for each variety. The variety SAMMAZ-15 was found to be best performing across the three agro-ecologies. Maize performance was generally higher in NGS than in SGS. SS in the Sudan savanna recorded the lowest yield compared with other locations.","container-title":"Agronomy","DOI":"10.3390/agronomy10060871","ISSN":"2073-4395","issue":"6","language":"en","license":"http://creativecommons.org/licenses/by/3.0/","note":"number: 6\npublisher: Multidisciplinary Digital Publishing Institute","page":"871","source":"www.mdpi.com","title":"Modeling Planting-Date Effects on Intermediate-Maturing Maize in Contrasting Environments in the Nigerian Savanna: An Application of DSSAT Model","title-short":"Modeling Planting-Date Effects on Intermediate-Maturing Maize in Contrasting Environments in the Nigerian Savanna","volume":"10","author":[{"family":"Tofa","given":"Abdullahi I."},{"family":"Chiezey","given":"Uche F."},{"family":"Babaji","given":"Bashir A."},{"family":"Kamara","given":"Alpha Y."},{"family":"Adnan","given":"Adnan A."},{"family":"Beah","given":"Aloysius"},{"family":"Adam","given":"Adam M."}],"issued":{"date-parts":[["2020",6]]},"citation-key":"tofaModelingPlantingDateEffects2020"}}],"schema":"https://github.com/citation-style-language/schema/raw/master/csl-citation.json"} </w:instrText>
      </w:r>
      <w:r w:rsidR="00CC733C" w:rsidRPr="00756AF1">
        <w:rPr>
          <w:rFonts w:ascii="Arial" w:hAnsi="Arial" w:cs="Arial"/>
        </w:rPr>
        <w:fldChar w:fldCharType="separate"/>
      </w:r>
      <w:r w:rsidR="00CC733C" w:rsidRPr="00756AF1">
        <w:rPr>
          <w:rFonts w:ascii="Arial" w:hAnsi="Arial" w:cs="Arial"/>
        </w:rPr>
        <w:t>(Tofa et al., 2020)</w:t>
      </w:r>
      <w:r w:rsidR="00CC733C" w:rsidRPr="00756AF1">
        <w:rPr>
          <w:rFonts w:ascii="Arial" w:hAnsi="Arial" w:cs="Arial"/>
        </w:rPr>
        <w:fldChar w:fldCharType="end"/>
      </w:r>
      <w:r w:rsidRPr="00756AF1">
        <w:rPr>
          <w:rFonts w:ascii="Arial" w:hAnsi="Arial" w:cs="Arial"/>
        </w:rPr>
        <w:t xml:space="preserve"> y </w:t>
      </w:r>
      <w:r w:rsidR="00CC733C" w:rsidRPr="00756AF1">
        <w:rPr>
          <w:rFonts w:ascii="Arial" w:hAnsi="Arial" w:cs="Arial"/>
        </w:rPr>
        <w:fldChar w:fldCharType="begin"/>
      </w:r>
      <w:r w:rsidR="00CC733C" w:rsidRPr="00756AF1">
        <w:rPr>
          <w:rFonts w:ascii="Arial" w:hAnsi="Arial" w:cs="Arial"/>
        </w:rPr>
        <w:instrText xml:space="preserve"> ADDIN ZOTERO_ITEM CSL_CITATION {"citationID":"yGcvYpOF","properties":{"formattedCitation":"(Jovanovic et\\uc0\\u160{}al., 2020)","plainCitation":"(Jovanovic et al., 2020)","noteIndex":0},"citationItems":[{"id":3660,"uris":["http://zotero.org/users/13364072/items/FSDVUHR4"],"itemData":{"id":3660,"type":"article-journal","abstract":"In the past few decades, research has developed a multitude of strategies, methods and technologies to reduce consumptive water use on farms for adaptation to the increasing incidence of water scarcity, agricultural droughts and multi-sectoral competition for water. The adoption of these water-saving practices implies accurate quantification of crop water requirements with the FAO56 crop coefficient approach, under diverse water availability and management practices. This paper critically reviews notions and means for maintaining high levels of water consumed through transpiration, land and water productivity, and for minimizing non-beneficial water consumption at farm level. Literature published on sound and quantified experimentation was used to evaluate water-saving practices related to irrigation methods, irrigation management and scheduling, crop management, remote sensing, plant conditioners, mulching, soil management and micro-climate regulation. Summary tables were developed on the benefits of these practices, their effects on non-beneficial water consumption, crop yields and crop water productivity, and the directions for adjustment of FAO56 crop coefficients when they are adopted. The main message is that on-farm application of these practices can result in water savings to a limited extent (usually &lt;20%) compared to sound conventional practices, however this may translate into large volumes of water at catchment scale. The need to streamline data collection internationally was identified due to the insufficient number of sound field experiments and modelling work on the FAO56 crop water requirements that would allow an improved use of crop coefficients for different field conditions and practices. Optimization is required for the application of some practices that involve a large number of possible combinations (e.g. wetted area in micro-irrigation, row spacing and orientation, plant density, different types of mulching, in-field water harvesting) and for strategies such as deficit irrigation that aim at balancing water productivity, the economics of production, infrastructural and irrigation system requirements. Further research is required on promising technologies such as plant and soil conditioners, and remote sensing applications.","container-title":"Agricultural Water Management","DOI":"10.1016/j.agwat.2020.106267","ISSN":"0378-3774","journalAbbreviation":"Agricultural Water Management","page":"106267","source":"ScienceDirect","title":"A review of strategies, methods and technologies to reduce non-beneficial consumptive water use on farms considering the FAO56 methods","volume":"239","author":[{"family":"Jovanovic","given":"N."},{"family":"Pereira","given":"L. S."},{"family":"Paredes","given":"P."},{"family":"Pôças","given":"I."},{"family":"Cantore","given":"V."},{"family":"Todorovic","given":"M."}],"issued":{"date-parts":[["2020",9,1]]},"citation-key":"jovanovicReviewStrategiesMethods2020"}}],"schema":"https://github.com/citation-style-language/schema/raw/master/csl-citation.json"} </w:instrText>
      </w:r>
      <w:r w:rsidR="00CC733C" w:rsidRPr="00756AF1">
        <w:rPr>
          <w:rFonts w:ascii="Arial" w:hAnsi="Arial" w:cs="Arial"/>
        </w:rPr>
        <w:fldChar w:fldCharType="separate"/>
      </w:r>
      <w:r w:rsidR="00CC733C" w:rsidRPr="00756AF1">
        <w:rPr>
          <w:rFonts w:ascii="Arial" w:hAnsi="Arial" w:cs="Arial"/>
        </w:rPr>
        <w:t>(Jovanovic et al., 2020)</w:t>
      </w:r>
      <w:r w:rsidR="00CC733C" w:rsidRPr="00756AF1">
        <w:rPr>
          <w:rFonts w:ascii="Arial" w:hAnsi="Arial" w:cs="Arial"/>
        </w:rPr>
        <w:fldChar w:fldCharType="end"/>
      </w:r>
      <w:r w:rsidRPr="00756AF1">
        <w:rPr>
          <w:rFonts w:ascii="Arial" w:hAnsi="Arial" w:cs="Arial"/>
        </w:rPr>
        <w:t xml:space="preserve">, niveles de riego, fertilización nitrogenada </w:t>
      </w:r>
      <w:r w:rsidR="00CC733C" w:rsidRPr="00756AF1">
        <w:rPr>
          <w:rFonts w:ascii="Arial" w:hAnsi="Arial" w:cs="Arial"/>
        </w:rPr>
        <w:fldChar w:fldCharType="begin"/>
      </w:r>
      <w:r w:rsidR="00CC733C" w:rsidRPr="00756AF1">
        <w:rPr>
          <w:rFonts w:ascii="Arial" w:hAnsi="Arial" w:cs="Arial"/>
        </w:rPr>
        <w:instrText xml:space="preserve"> ADDIN ZOTERO_ITEM CSL_CITATION {"citationID":"FQXkHjSU","properties":{"formattedCitation":"(Waldrip et\\uc0\\u160{}al., 2017)","plainCitation":"(Waldrip et al., 2017)","noteIndex":0},"citationItems":[{"id":3665,"uris":["http://zotero.org/users/13364072/items/ATY5WGMC"],"itemData":{"id":3665,"type":"article-journal","abstract":"The Texas Panhandle produces approximately 42% of finished beef in the U.S., and cattle production is estimated to contribute 8 Tg carbon dioxide equivalents (CO2e) from nitrous oxide (N2O). Production of N2O in manure is largely a result of biochemical processes that are not static: N2O emission rates are dependent on numerous environmental and chemical factors. Process-based models that estimate N2O emissions from manure in open-lot cattle production systems typically rely on information derived from studies of soil biochemistry. Limited study has been conducted on manure-derived N2O in open-lot beef feedyards. The objectives of this study were to determine variables related to N2O losses from Texas Panhandle feedyards and develop empirical models to predict N2O emissions. Nitrous oxide flux data were collected from a series of 15 non-flow-through, non-steady-state (NFT-NSS) chamber studies (ten chambers per study) conducted from 2012 to 2014 on two commercial beef cattle feedyards. Manure samples (loose surface manure and the underlying manure pack) were analyzed for basic physicochemical properties, soluble carbon (C) and nitrogen (N), and ultraviolet-visible (UV-vis) spectral characteristics related to degree of organic matter (OM) stability and humification. Measured N2O emissions ranged from below detection to 101 mg m-2 h-1 (average 4.8 Â±12 mg m-2 h-1) and were positively related to manure H2O content, temperature, and nitrate (NO3-) concentration (p &amp;lt; 0.01). Emissions were negatively related to manure OM, ammonia/ammonium (NH3/NH4+), dissolved C and dissolved N concentrations, and UV-vis parameters related to OM stability (p &amp;lt; 0.05). Based on these data, empirical models were developed and evaluated to predict manure-derived N2O emissions. Model predictions were not significantly different from observed N2O emissions (p &amp;lt; 0.05). The unbounded index of agreement (IA) indicated that model predictions were within 52% to 61% agreement with observations. Inclusion of OM characteristics improved model predictions of high (&amp;gt;30 mg m-2 h-1) N2O emissions but tended to overestimate low emission rates (&amp;lt;20 mg N2O m-2 h-1). This provides evidence for the importance of C stability in limiting manure N2O production. These models may improve parameterization of existing process-based models and are novel methods for predicting feedyard N2O emissions.","container-title":"Transactions of the ASABE","DOI":"10.13031/trans.12085","ISSN":"2151-0032","issue":"4","journalAbbreviation":"Transactions of the ASABE","note":"publisher-place: St. Joseph, MI\npublisher: ASABE","page":"1209-1221","title":"Nitrous Oxide Emissions from Southern High Plains Beef Cattle Feedyards: Measurement and Modeling","volume":"60","author":[{"family":"Waldrip","given":"Heidi M."},{"family":"Casey","given":"Kenneth D."},{"family":"Todd","given":"Richard W."},{"family":"Parker","given":"David   B."}],"issued":{"date-parts":[["2017"]]},"citation-key":"waldripNitrousOxideEmissions2017"}}],"schema":"https://github.com/citation-style-language/schema/raw/master/csl-citation.json"} </w:instrText>
      </w:r>
      <w:r w:rsidR="00CC733C" w:rsidRPr="00756AF1">
        <w:rPr>
          <w:rFonts w:ascii="Arial" w:hAnsi="Arial" w:cs="Arial"/>
        </w:rPr>
        <w:fldChar w:fldCharType="separate"/>
      </w:r>
      <w:r w:rsidR="00CC733C" w:rsidRPr="00756AF1">
        <w:rPr>
          <w:rFonts w:ascii="Arial" w:hAnsi="Arial" w:cs="Arial"/>
        </w:rPr>
        <w:t>(Waldrip et al., 2017)</w:t>
      </w:r>
      <w:r w:rsidR="00CC733C" w:rsidRPr="00756AF1">
        <w:rPr>
          <w:rFonts w:ascii="Arial" w:hAnsi="Arial" w:cs="Arial"/>
        </w:rPr>
        <w:fldChar w:fldCharType="end"/>
      </w:r>
      <w:r w:rsidRPr="00756AF1">
        <w:rPr>
          <w:rFonts w:ascii="Arial" w:hAnsi="Arial" w:cs="Arial"/>
        </w:rPr>
        <w:t>y</w:t>
      </w:r>
      <w:r w:rsidR="00CC733C" w:rsidRPr="00756AF1">
        <w:rPr>
          <w:rFonts w:ascii="Arial" w:hAnsi="Arial" w:cs="Arial"/>
        </w:rPr>
        <w:fldChar w:fldCharType="begin"/>
      </w:r>
      <w:r w:rsidR="00CC733C" w:rsidRPr="00756AF1">
        <w:rPr>
          <w:rFonts w:ascii="Arial" w:hAnsi="Arial" w:cs="Arial"/>
        </w:rPr>
        <w:instrText xml:space="preserve"> ADDIN ZOTERO_ITEM CSL_CITATION {"citationID":"WREzuhMJ","properties":{"formattedCitation":"(de Frutos Cachorro et\\uc0\\u160{}al., 2018)","plainCitation":"(de Frutos Cachorro et al., 2018)","noteIndex":0},"citationItems":[{"id":3666,"uris":["http://zotero.org/users/13364072/items/Q3ISWGWJ"],"itemData":{"id":3666,"type":"article-journal","abstract":"Few studies have addressed the topic of farmers' adaptation to climate change from a multidisciplinary perspective, because of the difficulty in assessing their impacts. In view of the growing concern in the agricultural sector on this issue, we analyzed farm-level adaptation through arable land-use changes in the specific case of the Loam region in Belgium. With this aim, we used an agro-economic model which considered 20-year series of current and projected simulated yields with and without considering additional farming practices to reduce crop stress, such as irrigation and soil and water conservation techniques. Agronomic results show that climate change will negatively affect summer crop yields, particularly sugar beet and potatoes. However, we also show that adaptation to climate change through land-use changes can compensate for crop yield losses and lead to utility gains. These are obtained by reducing the share of land allocated to summer crops and barley and by increasing the surface allocated to less vulnerable crops such as winter wheat. Finally, irrigation practices would not be justified in the Loam region under climate change, since their use would incur important financial costs for farmers.","container-title":"Agricultural Systems","DOI":"10.1016/j.agsy.2018.06.007","ISSN":"0308-521X","journalAbbreviation":"Agricultural Systems","page":"164-176","source":"ScienceDirect","title":"Farm-level adaptation to climate change: The case of the Loam region in Belgium","title-short":"Farm-level adaptation to climate change","volume":"165","author":[{"family":"Frutos Cachorro","given":"Julia","non-dropping-particle":"de"},{"family":"Gobin","given":"Anne"},{"family":"Buysse","given":"Jeroen"}],"issued":{"date-parts":[["2018",9,1]]},"citation-key":"defrutoscachorroFarmlevelAdaptationClimate2018"}}],"schema":"https://github.com/citation-style-language/schema/raw/master/csl-citation.json"} </w:instrText>
      </w:r>
      <w:r w:rsidR="00CC733C" w:rsidRPr="00756AF1">
        <w:rPr>
          <w:rFonts w:ascii="Arial" w:hAnsi="Arial" w:cs="Arial"/>
        </w:rPr>
        <w:fldChar w:fldCharType="separate"/>
      </w:r>
      <w:r w:rsidR="00CC733C" w:rsidRPr="00756AF1">
        <w:rPr>
          <w:rFonts w:ascii="Arial" w:hAnsi="Arial" w:cs="Arial"/>
        </w:rPr>
        <w:t>(de Frutos Cachorro et al., 2018)</w:t>
      </w:r>
      <w:r w:rsidR="00CC733C" w:rsidRPr="00756AF1">
        <w:rPr>
          <w:rFonts w:ascii="Arial" w:hAnsi="Arial" w:cs="Arial"/>
        </w:rPr>
        <w:fldChar w:fldCharType="end"/>
      </w:r>
      <w:r w:rsidRPr="00756AF1">
        <w:rPr>
          <w:rFonts w:ascii="Arial" w:hAnsi="Arial" w:cs="Arial"/>
        </w:rPr>
        <w:t xml:space="preserve"> y densidad de siembra </w:t>
      </w:r>
      <w:r w:rsidR="00ED65EE" w:rsidRPr="00756AF1">
        <w:rPr>
          <w:rFonts w:ascii="Arial" w:hAnsi="Arial" w:cs="Arial"/>
        </w:rPr>
        <w:fldChar w:fldCharType="begin"/>
      </w:r>
      <w:r w:rsidR="00ED65EE" w:rsidRPr="00756AF1">
        <w:rPr>
          <w:rFonts w:ascii="Arial" w:hAnsi="Arial" w:cs="Arial"/>
        </w:rPr>
        <w:instrText xml:space="preserve"> ADDIN ZOTERO_ITEM CSL_CITATION {"citationID":"NR5nUm1r","properties":{"formattedCitation":"(Waldrip et\\uc0\\u160{}al., 2017)","plainCitation":"(Waldrip et al., 2017)","noteIndex":0},"citationItems":[{"id":3665,"uris":["http://zotero.org/users/13364072/items/ATY5WGMC"],"itemData":{"id":3665,"type":"article-journal","abstract":"The Texas Panhandle produces approximately 42% of finished beef in the U.S., and cattle production is estimated to contribute 8 Tg carbon dioxide equivalents (CO2e) from nitrous oxide (N2O). Production of N2O in manure is largely a result of biochemical processes that are not static: N2O emission rates are dependent on numerous environmental and chemical factors. Process-based models that estimate N2O emissions from manure in open-lot cattle production systems typically rely on information derived from studies of soil biochemistry. Limited study has been conducted on manure-derived N2O in open-lot beef feedyards. The objectives of this study were to determine variables related to N2O losses from Texas Panhandle feedyards and develop empirical models to predict N2O emissions. Nitrous oxide flux data were collected from a series of 15 non-flow-through, non-steady-state (NFT-NSS) chamber studies (ten chambers per study) conducted from 2012 to 2014 on two commercial beef cattle feedyards. Manure samples (loose surface manure and the underlying manure pack) were analyzed for basic physicochemical properties, soluble carbon (C) and nitrogen (N), and ultraviolet-visible (UV-vis) spectral characteristics related to degree of organic matter (OM) stability and humification. Measured N2O emissions ranged from below detection to 101 mg m-2 h-1 (average 4.8 Â±12 mg m-2 h-1) and were positively related to manure H2O content, temperature, and nitrate (NO3-) concentration (p &amp;lt; 0.01). Emissions were negatively related to manure OM, ammonia/ammonium (NH3/NH4+), dissolved C and dissolved N concentrations, and UV-vis parameters related to OM stability (p &amp;lt; 0.05). Based on these data, empirical models were developed and evaluated to predict manure-derived N2O emissions. Model predictions were not significantly different from observed N2O emissions (p &amp;lt; 0.05). The unbounded index of agreement (IA) indicated that model predictions were within 52% to 61% agreement with observations. Inclusion of OM characteristics improved model predictions of high (&amp;gt;30 mg m-2 h-1) N2O emissions but tended to overestimate low emission rates (&amp;lt;20 mg N2O m-2 h-1). This provides evidence for the importance of C stability in limiting manure N2O production. These models may improve parameterization of existing process-based models and are novel methods for predicting feedyard N2O emissions.","container-title":"Transactions of the ASABE","DOI":"10.13031/trans.12085","ISSN":"2151-0032","issue":"4","journalAbbreviation":"Transactions of the ASABE","note":"publisher-place: St. Joseph, MI\npublisher: ASABE","page":"1209-1221","title":"Nitrous Oxide Emissions from Southern High Plains Beef Cattle Feedyards: Measurement and Modeling","volume":"60","author":[{"family":"Waldrip","given":"Heidi M."},{"family":"Casey","given":"Kenneth D."},{"family":"Todd","given":"Richard W."},{"family":"Parker","given":"David   B."}],"issued":{"date-parts":[["2017"]]},"citation-key":"waldripNitrousOxideEmissions2017"}}],"schema":"https://github.com/citation-style-language/schema/raw/master/csl-citation.json"} </w:instrText>
      </w:r>
      <w:r w:rsidR="00ED65EE" w:rsidRPr="00756AF1">
        <w:rPr>
          <w:rFonts w:ascii="Arial" w:hAnsi="Arial" w:cs="Arial"/>
        </w:rPr>
        <w:fldChar w:fldCharType="separate"/>
      </w:r>
      <w:r w:rsidR="00ED65EE" w:rsidRPr="00756AF1">
        <w:rPr>
          <w:rFonts w:ascii="Arial" w:hAnsi="Arial" w:cs="Arial"/>
        </w:rPr>
        <w:t>(Waldrip et al., 2017)</w:t>
      </w:r>
      <w:r w:rsidR="00ED65EE" w:rsidRPr="00756AF1">
        <w:rPr>
          <w:rFonts w:ascii="Arial" w:hAnsi="Arial" w:cs="Arial"/>
        </w:rPr>
        <w:fldChar w:fldCharType="end"/>
      </w:r>
      <w:r w:rsidRPr="00756AF1">
        <w:rPr>
          <w:rFonts w:ascii="Arial" w:hAnsi="Arial" w:cs="Arial"/>
        </w:rPr>
        <w:t xml:space="preserve">. En la literatura consultada al </w:t>
      </w:r>
      <w:r w:rsidRPr="00756AF1">
        <w:rPr>
          <w:rFonts w:ascii="Arial" w:hAnsi="Arial" w:cs="Arial"/>
        </w:rPr>
        <w:lastRenderedPageBreak/>
        <w:t xml:space="preserve">respecto se destaca el potencial de DSSAT para estimar el crecimiento y rendimiento de cultivos en </w:t>
      </w:r>
      <w:r w:rsidRPr="00756AF1">
        <w:rPr>
          <w:rStyle w:val="ai-text"/>
          <w:rFonts w:ascii="Arial" w:hAnsi="Arial" w:cs="Arial"/>
        </w:rPr>
        <w:t>diversas</w:t>
      </w:r>
      <w:r w:rsidRPr="00756AF1">
        <w:rPr>
          <w:rFonts w:ascii="Arial" w:hAnsi="Arial" w:cs="Arial"/>
        </w:rPr>
        <w:t xml:space="preserve"> condiciones ambientales y de </w:t>
      </w:r>
      <w:proofErr w:type="gramStart"/>
      <w:r w:rsidRPr="00756AF1">
        <w:rPr>
          <w:rStyle w:val="ai-text"/>
          <w:rFonts w:ascii="Arial" w:hAnsi="Arial" w:cs="Arial"/>
        </w:rPr>
        <w:t>manejo .</w:t>
      </w:r>
      <w:proofErr w:type="gramEnd"/>
    </w:p>
    <w:p w14:paraId="547D185E" w14:textId="7F78A15D" w:rsidR="00F6075E" w:rsidRPr="00756AF1" w:rsidRDefault="00F6075E" w:rsidP="00F6075E">
      <w:pPr>
        <w:pStyle w:val="NormalWeb"/>
        <w:rPr>
          <w:rFonts w:ascii="Arial" w:hAnsi="Arial" w:cs="Arial"/>
        </w:rPr>
      </w:pPr>
      <w:r w:rsidRPr="00756AF1">
        <w:rPr>
          <w:rFonts w:ascii="Arial" w:hAnsi="Arial" w:cs="Arial"/>
        </w:rPr>
        <w:t xml:space="preserve">El modelo DSSAT requiere ser calibrado y validado para realizar simulaciones de la respuesta del cultivo a diferentes factores. En la calibración, los parámetros en la base de datos del modelo se ajustan: (i) mediante varios escenarios de simulación hasta obtener un ajuste </w:t>
      </w:r>
      <w:r w:rsidRPr="00756AF1">
        <w:rPr>
          <w:rStyle w:val="ai-text"/>
          <w:rFonts w:ascii="Arial" w:hAnsi="Arial" w:cs="Arial"/>
        </w:rPr>
        <w:t>adecuado</w:t>
      </w:r>
      <w:r w:rsidRPr="00756AF1">
        <w:rPr>
          <w:rFonts w:ascii="Arial" w:hAnsi="Arial" w:cs="Arial"/>
        </w:rPr>
        <w:t xml:space="preserve"> entre valores simulados y observados en experimentos de campo, y también (</w:t>
      </w:r>
      <w:proofErr w:type="spellStart"/>
      <w:r w:rsidRPr="00756AF1">
        <w:rPr>
          <w:rFonts w:ascii="Arial" w:hAnsi="Arial" w:cs="Arial"/>
        </w:rPr>
        <w:t>ii</w:t>
      </w:r>
      <w:proofErr w:type="spellEnd"/>
      <w:r w:rsidRPr="00756AF1">
        <w:rPr>
          <w:rFonts w:ascii="Arial" w:hAnsi="Arial" w:cs="Arial"/>
        </w:rPr>
        <w:t xml:space="preserve">) a partir de datos experimentales de la literatura para la región en la que se </w:t>
      </w:r>
      <w:proofErr w:type="gramStart"/>
      <w:r w:rsidRPr="00756AF1">
        <w:rPr>
          <w:rStyle w:val="ai-text"/>
          <w:rFonts w:ascii="Arial" w:hAnsi="Arial" w:cs="Arial"/>
        </w:rPr>
        <w:t>validará .</w:t>
      </w:r>
      <w:proofErr w:type="gramEnd"/>
    </w:p>
    <w:p w14:paraId="5E1CA73D" w14:textId="028AE6DB" w:rsidR="00F6075E" w:rsidRPr="00756AF1" w:rsidRDefault="00F6075E" w:rsidP="00F6075E">
      <w:pPr>
        <w:pStyle w:val="NormalWeb"/>
        <w:rPr>
          <w:rFonts w:ascii="Arial" w:hAnsi="Arial" w:cs="Arial"/>
        </w:rPr>
      </w:pPr>
      <w:r w:rsidRPr="00756AF1">
        <w:rPr>
          <w:rFonts w:ascii="Arial" w:hAnsi="Arial" w:cs="Arial"/>
        </w:rPr>
        <w:t xml:space="preserve">La validación del modelo es el procedimiento mediante el cual se mide el desempeño del modelo, contrastando los valores simulados de una determinada variable con datos reales obtenidos en experimentos de campo. El objetivo principal al evaluar el desempeño de un modelo de simulación de cultivos es valorar su utilidad práctica como herramienta de investigación o apoyo en la toma de decisiones acerca del manejo y planificación a nivel de áreas o nacional </w:t>
      </w:r>
      <w:r w:rsidR="00ED65EE" w:rsidRPr="00756AF1">
        <w:rPr>
          <w:rFonts w:ascii="Arial" w:hAnsi="Arial" w:cs="Arial"/>
        </w:rPr>
        <w:fldChar w:fldCharType="begin"/>
      </w:r>
      <w:r w:rsidR="00ED65EE" w:rsidRPr="00756AF1">
        <w:rPr>
          <w:rFonts w:ascii="Arial" w:hAnsi="Arial" w:cs="Arial"/>
        </w:rPr>
        <w:instrText xml:space="preserve"> ADDIN ZOTERO_ITEM CSL_CITATION {"citationID":"OTykTzzf","properties":{"formattedCitation":"(Soto-Bravo &amp; Lutz, 2019)","plainCitation":"(Soto-Bravo &amp; Lutz, 2019)","noteIndex":0},"citationItems":[{"id":3600,"uris":["http://zotero.org/users/13364072/items/CMM7LHWH"],"itemData":{"id":3600,"type":"article-journal","container-title":"Agronomía Mesoamericana","DOI":"10.15517/am.v30i2.33839","issue":"2","note":"publisher: Universidad de Costa Rica","page":"517–534","source":"Google Scholar","title":"Análisis de métodos estadísticos para evaluar el desempeño de modelos de simulación en cultivos hortícolas","volume":"30","author":[{"family":"Soto-Bravo","given":"Freddy"},{"family":"Lutz","given":"María Isabel González"}],"issued":{"date-parts":[["2019"]]},"citation-key":"soto-bravoAnalisisMetodosEstadisticos2019"}}],"schema":"https://github.com/citation-style-language/schema/raw/master/csl-citation.json"} </w:instrText>
      </w:r>
      <w:r w:rsidR="00ED65EE" w:rsidRPr="00756AF1">
        <w:rPr>
          <w:rFonts w:ascii="Arial" w:hAnsi="Arial" w:cs="Arial"/>
        </w:rPr>
        <w:fldChar w:fldCharType="separate"/>
      </w:r>
      <w:r w:rsidR="00ED65EE" w:rsidRPr="00756AF1">
        <w:rPr>
          <w:rFonts w:ascii="Arial" w:hAnsi="Arial" w:cs="Arial"/>
        </w:rPr>
        <w:t>(Soto-Bravo &amp; Lutz, 2019)</w:t>
      </w:r>
      <w:r w:rsidR="00ED65EE" w:rsidRPr="00756AF1">
        <w:rPr>
          <w:rFonts w:ascii="Arial" w:hAnsi="Arial" w:cs="Arial"/>
        </w:rPr>
        <w:fldChar w:fldCharType="end"/>
      </w:r>
      <w:r w:rsidRPr="00756AF1">
        <w:rPr>
          <w:rFonts w:ascii="Arial" w:hAnsi="Arial" w:cs="Arial"/>
        </w:rPr>
        <w:t>.</w:t>
      </w:r>
    </w:p>
    <w:p w14:paraId="0C48A7E1" w14:textId="37D32E3F" w:rsidR="00F6075E" w:rsidRPr="00756AF1" w:rsidRDefault="00F6075E" w:rsidP="00F6075E">
      <w:pPr>
        <w:pStyle w:val="NormalWeb"/>
        <w:rPr>
          <w:rFonts w:ascii="Arial" w:hAnsi="Arial" w:cs="Arial"/>
        </w:rPr>
      </w:pPr>
      <w:r w:rsidRPr="00756AF1">
        <w:rPr>
          <w:rFonts w:ascii="Arial" w:hAnsi="Arial" w:cs="Arial"/>
        </w:rPr>
        <w:t xml:space="preserve">La modelación </w:t>
      </w:r>
      <w:r w:rsidRPr="00756AF1">
        <w:rPr>
          <w:rStyle w:val="ai-text"/>
          <w:rFonts w:ascii="Arial" w:hAnsi="Arial" w:cs="Arial"/>
        </w:rPr>
        <w:t>investiga</w:t>
      </w:r>
      <w:r w:rsidRPr="00756AF1">
        <w:rPr>
          <w:rFonts w:ascii="Arial" w:hAnsi="Arial" w:cs="Arial"/>
        </w:rPr>
        <w:t xml:space="preserve"> las consecuencias de escenarios futuros y permite prepararse para los cambios antes de que ocurran. La influencia del cambio climático en la agricultura representa un reto para decidir las políticas a partir de modelos </w:t>
      </w:r>
      <w:r w:rsidRPr="00756AF1">
        <w:rPr>
          <w:rStyle w:val="ai-text"/>
          <w:rFonts w:ascii="Arial" w:hAnsi="Arial" w:cs="Arial"/>
        </w:rPr>
        <w:t>cuantitativos. Estos modelos</w:t>
      </w:r>
      <w:r w:rsidRPr="00756AF1">
        <w:rPr>
          <w:rFonts w:ascii="Arial" w:hAnsi="Arial" w:cs="Arial"/>
        </w:rPr>
        <w:t xml:space="preserve"> consideran </w:t>
      </w:r>
      <w:r w:rsidRPr="00756AF1">
        <w:rPr>
          <w:rStyle w:val="ai-text"/>
          <w:rFonts w:ascii="Arial" w:hAnsi="Arial" w:cs="Arial"/>
        </w:rPr>
        <w:t>el sector</w:t>
      </w:r>
      <w:r w:rsidRPr="00756AF1">
        <w:rPr>
          <w:rFonts w:ascii="Arial" w:hAnsi="Arial" w:cs="Arial"/>
        </w:rPr>
        <w:t xml:space="preserve"> en su contexto específico </w:t>
      </w:r>
      <w:r w:rsidR="00ED65EE" w:rsidRPr="00756AF1">
        <w:rPr>
          <w:rFonts w:ascii="Arial" w:hAnsi="Arial" w:cs="Arial"/>
        </w:rPr>
        <w:fldChar w:fldCharType="begin"/>
      </w:r>
      <w:r w:rsidR="00ED65EE" w:rsidRPr="00756AF1">
        <w:rPr>
          <w:rFonts w:ascii="Arial" w:hAnsi="Arial" w:cs="Arial"/>
        </w:rPr>
        <w:instrText xml:space="preserve"> ADDIN ZOTERO_ITEM CSL_CITATION {"citationID":"7ULiIJYw","properties":{"formattedCitation":"(V\\uc0\\u225{}zquez-Montenegro et\\uc0\\u160{}al., 2015)","plainCitation":"(Vázquez-Montenegro et al., 2015)","noteIndex":0},"citationItems":[{"id":3677,"uris":["http://zotero.org/users/13364072/items/DXZHM3CZ"],"itemData":{"id":3677,"type":"article-journal","abstract":"La presente reseña o recopilación de estudios realizados en Cuba y Nicaragua, tiene como\npropósito examinar, los impactos potenciales del cambio climático sobre el sector agropecuario\nmediante el uso de la modelación, con el fin de brindar elementos que puedan tomarse en cuenta\npara la formulación de políticas agropecuarias y ambientales, ya que conocer los posibles\nimpactos del cambio climático, es un primer paso hacia la acción eficaz.\nSe analizan los posibles impactos de las variaciones de las variables climáticas sobre el sector\nagropecuario, sobre algunos de los cultivos más importantes. Asimismo se contabilizan los\nimpactos económicos a través escenarios climáticos futuros.\nEl estudio en el sector de agricultura arrojó una amplia gama de resultados que abarcan tanto\nconsecuencias perjudiciales como beneficiosas, en función de que los niveles del efecto de\nfertilización por CO2 (estimados en los laboratorios) se alcancen en la práctica para las plantas\nde ciclo fotosintético C3","collection-title":"Vol (1) pp 1-50 2015","DOI":"10.5377/ribcc.v1i1.2140","language":"spa","note":"number-of-pages: 50","source":"AgEcon Search","title":"Modelos de impacto en la agricultura teniendo en cuenta los escenarios de la agricultura del cambio climático","URL":"https://ageconsearch.umn.edu/record/232573","author":[{"family":"Vázquez-Montenegro","given":"Ranses José"},{"family":"Durán-Zarabozo","given":"Odil"},{"family":"Baca","given":"Marcio"}],"accessed":{"date-parts":[["2025",9,19]]},"issued":{"date-parts":[["2015"]]},"citation-key":"vazquez-montenegroModelosImpactoAgricultura2015"}}],"schema":"https://github.com/citation-style-language/schema/raw/master/csl-citation.json"} </w:instrText>
      </w:r>
      <w:r w:rsidR="00ED65EE" w:rsidRPr="00756AF1">
        <w:rPr>
          <w:rFonts w:ascii="Arial" w:hAnsi="Arial" w:cs="Arial"/>
        </w:rPr>
        <w:fldChar w:fldCharType="separate"/>
      </w:r>
      <w:r w:rsidR="00ED65EE" w:rsidRPr="00756AF1">
        <w:rPr>
          <w:rFonts w:ascii="Arial" w:hAnsi="Arial" w:cs="Arial"/>
        </w:rPr>
        <w:t>(Vázquez-Montenegro et al., 2015)</w:t>
      </w:r>
      <w:r w:rsidR="00ED65EE" w:rsidRPr="00756AF1">
        <w:rPr>
          <w:rFonts w:ascii="Arial" w:hAnsi="Arial" w:cs="Arial"/>
        </w:rPr>
        <w:fldChar w:fldCharType="end"/>
      </w:r>
      <w:r w:rsidRPr="00756AF1">
        <w:rPr>
          <w:rFonts w:ascii="Arial" w:hAnsi="Arial" w:cs="Arial"/>
        </w:rPr>
        <w:t xml:space="preserve"> y </w:t>
      </w:r>
      <w:r w:rsidR="00ED65EE" w:rsidRPr="00756AF1">
        <w:rPr>
          <w:rFonts w:ascii="Arial" w:hAnsi="Arial" w:cs="Arial"/>
        </w:rPr>
        <w:fldChar w:fldCharType="begin"/>
      </w:r>
      <w:r w:rsidR="00ED65EE" w:rsidRPr="00756AF1">
        <w:rPr>
          <w:rFonts w:ascii="Arial" w:hAnsi="Arial" w:cs="Arial"/>
        </w:rPr>
        <w:instrText xml:space="preserve"> ADDIN ZOTERO_ITEM CSL_CITATION {"citationID":"jQAxCOqk","properties":{"formattedCitation":"(Morug\\uc0\\u225{}n-Coronado et\\uc0\\u160{}al., 2020)","plainCitation":"(Morugán-Coronado et al., 2020)","noteIndex":0},"citationItems":[{"id":3674,"uris":["http://zotero.org/users/13364072/items/S3VZM7IP"],"itemData":{"id":3674,"type":"article-journal","abstract":"A meta-analysis specially based on tree crops was conducted to evaluate the changes in soil organic carbon (SOC), soil N and P, and crop yield in a Mediterranean climate, which are affected by: (i) management practices (crop diversification, tillage, fertilization); (ii) environmental characteristics, such as soil clay and climatic variables; and (iii) study length. The aim of this study was to assess the benefits of crop diversification, conservation tillage (minimum tillage/no-tillage) and organic fertilization as alternatives to intensive conventional mono-cropping in field studies. All the diversified systems and conservation tillage systems and the use of organic fertilizers induced positive effects on SOC. The highest response in SOC was achieved by the growth of permanent crops in the alleys. Soil N showed a similar trend to that of SOC, but the effect of no-tillage was not significant compared to conventional tillage. No significant effect was observed in soil P except for the cultivation of permanent crops in the alleys, which had a negative effect. No effect was observed in tree crop yield due to the growth of alley crops, conservation tillage or organic fertilization. However, the response of crop yield was related to the specific climatic conditions of each region, with possible negative effects in warm and dry areas. Overall, the use of intercropping, conservation tillage and organic fertilization led to improvements in soil quality and fertility and maintenance of a ground cover that can protect soil. However, to avoid possible negative effects on soil P and N availability, the growth of annual alley crops with minimum tillage is suggested instead of permanent crops with no-tillage, especially in dry and warm areas. Our results also suggested that the soil properties evaluated were not the main drivers of long-term yield variability.","container-title":"Agricultural Systems","DOI":"10.1016/j.agsy.2019.102736","ISSN":"0308-521X","journalAbbreviation":"Agricultural Systems","page":"102736","source":"ScienceDirect","title":"The impact of intercropping, tillage and fertilizer type on soil and crop yield in fruit orchards under Mediterranean conditions: A meta-analysis of field studies","title-short":"The impact of intercropping, tillage and fertilizer type on soil and crop yield in fruit orchards under Mediterranean conditions","volume":"178","author":[{"family":"Morugán-Coronado","given":"Alicia"},{"family":"Linares","given":"Carlos"},{"family":"Gómez-López","given":"María Dolores"},{"family":"Faz","given":"Ángel"},{"family":"Zornoza","given":"Raúl"}],"issued":{"date-parts":[["2020",2,1]]},"citation-key":"morugan-coronadoImpactIntercroppingTillage2020"}}],"schema":"https://github.com/citation-style-language/schema/raw/master/csl-citation.json"} </w:instrText>
      </w:r>
      <w:r w:rsidR="00ED65EE" w:rsidRPr="00756AF1">
        <w:rPr>
          <w:rFonts w:ascii="Arial" w:hAnsi="Arial" w:cs="Arial"/>
        </w:rPr>
        <w:fldChar w:fldCharType="separate"/>
      </w:r>
      <w:r w:rsidR="00ED65EE" w:rsidRPr="00756AF1">
        <w:rPr>
          <w:rFonts w:ascii="Arial" w:hAnsi="Arial" w:cs="Arial"/>
        </w:rPr>
        <w:t>(Morugán-Coronado et al., 2020)</w:t>
      </w:r>
      <w:r w:rsidR="00ED65EE" w:rsidRPr="00756AF1">
        <w:rPr>
          <w:rFonts w:ascii="Arial" w:hAnsi="Arial" w:cs="Arial"/>
        </w:rPr>
        <w:fldChar w:fldCharType="end"/>
      </w:r>
    </w:p>
    <w:p w14:paraId="30772FF4" w14:textId="77777777" w:rsidR="00CF35ED" w:rsidRPr="00756AF1" w:rsidRDefault="00CF35ED">
      <w:pPr>
        <w:rPr>
          <w:rStyle w:val="ai-text"/>
          <w:rFonts w:ascii="Arial" w:eastAsia="Times New Roman" w:hAnsi="Arial" w:cs="Arial"/>
          <w:b/>
          <w:bCs/>
          <w:sz w:val="28"/>
          <w:szCs w:val="36"/>
          <w:lang w:val="es-ES" w:eastAsia="es-ES"/>
        </w:rPr>
      </w:pPr>
      <w:r w:rsidRPr="00756AF1">
        <w:rPr>
          <w:rStyle w:val="ai-text"/>
          <w:rFonts w:ascii="Arial" w:hAnsi="Arial" w:cs="Arial"/>
          <w:lang w:val="es-ES"/>
        </w:rPr>
        <w:br w:type="page"/>
      </w:r>
    </w:p>
    <w:p w14:paraId="5A5D189C" w14:textId="35EF17F7" w:rsidR="00F6075E" w:rsidRPr="00756AF1" w:rsidRDefault="00F6075E" w:rsidP="00F6075E">
      <w:pPr>
        <w:pStyle w:val="Ttulo2"/>
        <w:rPr>
          <w:rFonts w:cs="Arial"/>
        </w:rPr>
      </w:pPr>
      <w:r w:rsidRPr="00756AF1">
        <w:rPr>
          <w:rStyle w:val="ai-text"/>
          <w:rFonts w:cs="Arial"/>
        </w:rPr>
        <w:lastRenderedPageBreak/>
        <w:t>Conclusiones.</w:t>
      </w:r>
    </w:p>
    <w:p w14:paraId="40860984" w14:textId="3BA20A9E" w:rsidR="00F6075E" w:rsidRPr="00756AF1" w:rsidRDefault="00F6075E" w:rsidP="00F6075E">
      <w:pPr>
        <w:pStyle w:val="NormalWeb"/>
        <w:rPr>
          <w:rFonts w:ascii="Arial" w:hAnsi="Arial" w:cs="Arial"/>
        </w:rPr>
      </w:pPr>
      <w:r w:rsidRPr="00756AF1">
        <w:rPr>
          <w:rFonts w:ascii="Arial" w:hAnsi="Arial" w:cs="Arial"/>
        </w:rPr>
        <w:t xml:space="preserve">Las aplicaciones de Inteligencia Artificial en la agricultura están avanzando rápidamente, lo que </w:t>
      </w:r>
      <w:r w:rsidRPr="00756AF1">
        <w:rPr>
          <w:rStyle w:val="ai-text"/>
          <w:rFonts w:ascii="Arial" w:hAnsi="Arial" w:cs="Arial"/>
        </w:rPr>
        <w:t>permite</w:t>
      </w:r>
      <w:r w:rsidRPr="00756AF1">
        <w:rPr>
          <w:rFonts w:ascii="Arial" w:hAnsi="Arial" w:cs="Arial"/>
        </w:rPr>
        <w:t xml:space="preserve"> a los agricultores hacer un uso más eficiente y sostenible de los </w:t>
      </w:r>
      <w:r w:rsidRPr="00756AF1">
        <w:rPr>
          <w:rStyle w:val="ai-text"/>
          <w:rFonts w:ascii="Arial" w:hAnsi="Arial" w:cs="Arial"/>
        </w:rPr>
        <w:t>recursos.</w:t>
      </w:r>
    </w:p>
    <w:p w14:paraId="7127D58E" w14:textId="527E202C" w:rsidR="00F6075E" w:rsidRPr="00756AF1" w:rsidRDefault="00F6075E" w:rsidP="00F6075E">
      <w:pPr>
        <w:pStyle w:val="NormalWeb"/>
        <w:rPr>
          <w:rFonts w:ascii="Arial" w:hAnsi="Arial" w:cs="Arial"/>
        </w:rPr>
      </w:pPr>
      <w:r w:rsidRPr="00756AF1">
        <w:rPr>
          <w:rFonts w:ascii="Arial" w:hAnsi="Arial" w:cs="Arial"/>
        </w:rPr>
        <w:t xml:space="preserve">La IA permite a </w:t>
      </w:r>
      <w:r w:rsidRPr="00756AF1">
        <w:rPr>
          <w:rStyle w:val="ai-text"/>
          <w:rFonts w:ascii="Arial" w:hAnsi="Arial" w:cs="Arial"/>
        </w:rPr>
        <w:t>los</w:t>
      </w:r>
      <w:r w:rsidRPr="00756AF1">
        <w:rPr>
          <w:rFonts w:ascii="Arial" w:hAnsi="Arial" w:cs="Arial"/>
        </w:rPr>
        <w:t xml:space="preserve"> agricultores tener información de cultivos y maquinaria en tiempo real para facilitar la toma de decisiones, lo </w:t>
      </w:r>
      <w:r w:rsidRPr="00756AF1">
        <w:rPr>
          <w:rStyle w:val="ai-text"/>
          <w:rFonts w:ascii="Arial" w:hAnsi="Arial" w:cs="Arial"/>
        </w:rPr>
        <w:t>que contribuye</w:t>
      </w:r>
      <w:r w:rsidRPr="00756AF1">
        <w:rPr>
          <w:rFonts w:ascii="Arial" w:hAnsi="Arial" w:cs="Arial"/>
        </w:rPr>
        <w:t xml:space="preserve"> a la </w:t>
      </w:r>
      <w:r w:rsidRPr="00756AF1">
        <w:rPr>
          <w:rStyle w:val="ai-text"/>
          <w:rFonts w:ascii="Arial" w:hAnsi="Arial" w:cs="Arial"/>
        </w:rPr>
        <w:t>sostenibilidad.</w:t>
      </w:r>
    </w:p>
    <w:p w14:paraId="57846F63" w14:textId="4BA50A7B" w:rsidR="00F6075E" w:rsidRPr="00756AF1" w:rsidRDefault="00F6075E" w:rsidP="00F6075E">
      <w:pPr>
        <w:pStyle w:val="NormalWeb"/>
        <w:rPr>
          <w:rFonts w:ascii="Arial" w:hAnsi="Arial" w:cs="Arial"/>
        </w:rPr>
      </w:pPr>
      <w:r w:rsidRPr="00756AF1">
        <w:rPr>
          <w:rFonts w:ascii="Arial" w:hAnsi="Arial" w:cs="Arial"/>
        </w:rPr>
        <w:t xml:space="preserve">El avance de los sistemas de información en la agricultura, unido al desarrollo de la </w:t>
      </w:r>
      <w:r w:rsidRPr="00756AF1">
        <w:rPr>
          <w:rStyle w:val="ai-text"/>
          <w:rFonts w:ascii="Arial" w:hAnsi="Arial" w:cs="Arial"/>
        </w:rPr>
        <w:t>computación,</w:t>
      </w:r>
      <w:r w:rsidRPr="00756AF1">
        <w:rPr>
          <w:rFonts w:ascii="Arial" w:hAnsi="Arial" w:cs="Arial"/>
        </w:rPr>
        <w:t xml:space="preserve"> ha permitido un desarrollo acelerado de la modelación de cultivos agrícolas. Estos constituyen una herramienta útil para </w:t>
      </w:r>
      <w:r w:rsidRPr="00756AF1">
        <w:rPr>
          <w:rStyle w:val="ai-text"/>
          <w:rFonts w:ascii="Arial" w:hAnsi="Arial" w:cs="Arial"/>
        </w:rPr>
        <w:t>predecir</w:t>
      </w:r>
      <w:r w:rsidRPr="00756AF1">
        <w:rPr>
          <w:rFonts w:ascii="Arial" w:hAnsi="Arial" w:cs="Arial"/>
        </w:rPr>
        <w:t xml:space="preserve"> el comportamiento de los </w:t>
      </w:r>
      <w:r w:rsidRPr="00756AF1">
        <w:rPr>
          <w:rStyle w:val="ai-text"/>
          <w:rFonts w:ascii="Arial" w:hAnsi="Arial" w:cs="Arial"/>
        </w:rPr>
        <w:t>mismos</w:t>
      </w:r>
      <w:r w:rsidRPr="00756AF1">
        <w:rPr>
          <w:rFonts w:ascii="Arial" w:hAnsi="Arial" w:cs="Arial"/>
        </w:rPr>
        <w:t xml:space="preserve"> en condiciones </w:t>
      </w:r>
      <w:r w:rsidRPr="00756AF1">
        <w:rPr>
          <w:rStyle w:val="ai-text"/>
          <w:rFonts w:ascii="Arial" w:hAnsi="Arial" w:cs="Arial"/>
        </w:rPr>
        <w:t>específicas,</w:t>
      </w:r>
      <w:r w:rsidRPr="00756AF1">
        <w:rPr>
          <w:rFonts w:ascii="Arial" w:hAnsi="Arial" w:cs="Arial"/>
        </w:rPr>
        <w:t xml:space="preserve"> integrando conocimientos de fisiología, ciencias del suelo y datos meteorológicos. </w:t>
      </w:r>
      <w:r w:rsidRPr="00756AF1">
        <w:rPr>
          <w:rStyle w:val="ai-text"/>
          <w:rFonts w:ascii="Arial" w:hAnsi="Arial" w:cs="Arial"/>
        </w:rPr>
        <w:t>Además,</w:t>
      </w:r>
      <w:r w:rsidRPr="00756AF1">
        <w:rPr>
          <w:rFonts w:ascii="Arial" w:hAnsi="Arial" w:cs="Arial"/>
        </w:rPr>
        <w:t xml:space="preserve"> permiten el desarrollo de una agricultura </w:t>
      </w:r>
      <w:r w:rsidRPr="00756AF1">
        <w:rPr>
          <w:rStyle w:val="ai-text"/>
          <w:rFonts w:ascii="Arial" w:hAnsi="Arial" w:cs="Arial"/>
        </w:rPr>
        <w:t>eficiente.</w:t>
      </w:r>
    </w:p>
    <w:p w14:paraId="1A288377" w14:textId="77777777" w:rsidR="00F6075E" w:rsidRPr="00756AF1" w:rsidRDefault="00F6075E">
      <w:pPr>
        <w:rPr>
          <w:rFonts w:ascii="Arial" w:eastAsia="Times New Roman" w:hAnsi="Arial" w:cs="Arial"/>
          <w:sz w:val="24"/>
          <w:szCs w:val="24"/>
          <w:lang w:val="es-ES" w:eastAsia="es-ES"/>
        </w:rPr>
      </w:pPr>
      <w:r w:rsidRPr="00756AF1">
        <w:rPr>
          <w:rFonts w:ascii="Arial" w:hAnsi="Arial" w:cs="Arial"/>
          <w:lang w:val="es-ES"/>
        </w:rPr>
        <w:br w:type="page"/>
      </w:r>
    </w:p>
    <w:p w14:paraId="67D8FEF5" w14:textId="77777777" w:rsidR="00F6075E" w:rsidRPr="00756AF1" w:rsidRDefault="00F6075E" w:rsidP="00F6075E">
      <w:pPr>
        <w:pStyle w:val="NormalWeb"/>
        <w:rPr>
          <w:rFonts w:ascii="Arial" w:hAnsi="Arial" w:cs="Arial"/>
        </w:rPr>
      </w:pPr>
    </w:p>
    <w:p w14:paraId="2B53D24E" w14:textId="77777777" w:rsidR="00CF35ED" w:rsidRPr="00756AF1" w:rsidRDefault="00CF35ED" w:rsidP="00CF35ED">
      <w:pPr>
        <w:pStyle w:val="Ttulo2"/>
        <w:rPr>
          <w:rFonts w:cs="Arial"/>
        </w:rPr>
      </w:pPr>
      <w:r w:rsidRPr="00756AF1">
        <w:rPr>
          <w:rStyle w:val="ai-text"/>
          <w:rFonts w:cs="Arial"/>
        </w:rPr>
        <w:t>Referencias.</w:t>
      </w:r>
    </w:p>
    <w:p w14:paraId="715D4A2C" w14:textId="77777777" w:rsidR="00CF35ED" w:rsidRPr="00756AF1" w:rsidRDefault="00CF35ED" w:rsidP="00CF35ED">
      <w:pPr>
        <w:pStyle w:val="Bibliografa"/>
        <w:rPr>
          <w:rFonts w:ascii="Arial" w:hAnsi="Arial" w:cs="Arial"/>
        </w:rPr>
      </w:pPr>
      <w:r w:rsidRPr="00756AF1">
        <w:rPr>
          <w:rFonts w:ascii="Arial" w:hAnsi="Arial" w:cs="Arial"/>
        </w:rPr>
        <w:fldChar w:fldCharType="begin"/>
      </w:r>
      <w:r w:rsidRPr="00756AF1">
        <w:rPr>
          <w:rFonts w:ascii="Arial" w:hAnsi="Arial" w:cs="Arial"/>
          <w:lang w:val="es-ES"/>
        </w:rPr>
        <w:instrText xml:space="preserve"> ADDIN ZOTERO_BIBL {"uncited":[],"omitted":[],"custom":[]} CSL_BIBLIOGRAPHY </w:instrText>
      </w:r>
      <w:r w:rsidRPr="00756AF1">
        <w:rPr>
          <w:rFonts w:ascii="Arial" w:hAnsi="Arial" w:cs="Arial"/>
        </w:rPr>
        <w:fldChar w:fldCharType="separate"/>
      </w:r>
      <w:r w:rsidRPr="00756AF1">
        <w:rPr>
          <w:rFonts w:ascii="Arial" w:hAnsi="Arial" w:cs="Arial"/>
          <w:lang w:val="es-ES"/>
        </w:rPr>
        <w:t xml:space="preserve">Asseng, S., Ewert, F., Martre, P., Rötter, R. P., Lobell, D. B., Cammarano, D., Kimball, B. A., Ottman, M. J., Wall, G. W., White, J. W., Reynolds, M. P., Alderman, P. D., Prasad, P. V. V., Aggarwal, P. K., Anothai, J., Basso, B., Biernath, C., Challinor, A. J., De Sanctis, G., … </w:t>
      </w:r>
      <w:r w:rsidRPr="00756AF1">
        <w:rPr>
          <w:rFonts w:ascii="Arial" w:hAnsi="Arial" w:cs="Arial"/>
        </w:rPr>
        <w:t xml:space="preserve">Zhu, Y. (2015). Rising temperatures reduce global wheat production. </w:t>
      </w:r>
      <w:r w:rsidRPr="00756AF1">
        <w:rPr>
          <w:rFonts w:ascii="Arial" w:hAnsi="Arial" w:cs="Arial"/>
          <w:i/>
          <w:iCs/>
        </w:rPr>
        <w:t>Nature Climate Change</w:t>
      </w:r>
      <w:r w:rsidRPr="00756AF1">
        <w:rPr>
          <w:rFonts w:ascii="Arial" w:hAnsi="Arial" w:cs="Arial"/>
        </w:rPr>
        <w:t xml:space="preserve">, </w:t>
      </w:r>
      <w:r w:rsidRPr="00756AF1">
        <w:rPr>
          <w:rFonts w:ascii="Arial" w:hAnsi="Arial" w:cs="Arial"/>
          <w:i/>
          <w:iCs/>
        </w:rPr>
        <w:t>5</w:t>
      </w:r>
      <w:r w:rsidRPr="00756AF1">
        <w:rPr>
          <w:rFonts w:ascii="Arial" w:hAnsi="Arial" w:cs="Arial"/>
        </w:rPr>
        <w:t>(2), 143-147. https://doi.org/10.1038/nclimate2470</w:t>
      </w:r>
    </w:p>
    <w:p w14:paraId="22F380B5" w14:textId="77777777" w:rsidR="00CF35ED" w:rsidRPr="00756AF1" w:rsidRDefault="00CF35ED" w:rsidP="00CF35ED">
      <w:pPr>
        <w:pStyle w:val="Bibliografa"/>
        <w:rPr>
          <w:rFonts w:ascii="Arial" w:hAnsi="Arial" w:cs="Arial"/>
        </w:rPr>
      </w:pPr>
      <w:r w:rsidRPr="00756AF1">
        <w:rPr>
          <w:rFonts w:ascii="Arial" w:hAnsi="Arial" w:cs="Arial"/>
        </w:rPr>
        <w:t xml:space="preserve">Basso, B., &amp; Antle, J. (2020). Digital agriculture to design sustainable agricultural systems. </w:t>
      </w:r>
      <w:r w:rsidRPr="00756AF1">
        <w:rPr>
          <w:rFonts w:ascii="Arial" w:hAnsi="Arial" w:cs="Arial"/>
          <w:i/>
          <w:iCs/>
        </w:rPr>
        <w:t>Nature Sustainability</w:t>
      </w:r>
      <w:r w:rsidRPr="00756AF1">
        <w:rPr>
          <w:rFonts w:ascii="Arial" w:hAnsi="Arial" w:cs="Arial"/>
        </w:rPr>
        <w:t xml:space="preserve">, </w:t>
      </w:r>
      <w:r w:rsidRPr="00756AF1">
        <w:rPr>
          <w:rFonts w:ascii="Arial" w:hAnsi="Arial" w:cs="Arial"/>
          <w:i/>
          <w:iCs/>
        </w:rPr>
        <w:t>3</w:t>
      </w:r>
      <w:r w:rsidRPr="00756AF1">
        <w:rPr>
          <w:rFonts w:ascii="Arial" w:hAnsi="Arial" w:cs="Arial"/>
        </w:rPr>
        <w:t>(4), 254-256. https://doi.org/10.1038/s41893-020-0510-0</w:t>
      </w:r>
    </w:p>
    <w:p w14:paraId="729D6A01" w14:textId="77777777" w:rsidR="00CF35ED" w:rsidRPr="00756AF1" w:rsidRDefault="00CF35ED" w:rsidP="00CF35ED">
      <w:pPr>
        <w:pStyle w:val="Bibliografa"/>
        <w:rPr>
          <w:rFonts w:ascii="Arial" w:hAnsi="Arial" w:cs="Arial"/>
        </w:rPr>
      </w:pPr>
      <w:r w:rsidRPr="00756AF1">
        <w:rPr>
          <w:rFonts w:ascii="Arial" w:hAnsi="Arial" w:cs="Arial"/>
        </w:rPr>
        <w:t xml:space="preserve">Challinor, A. J., Ewert, F., Arnold, S., Simelton, E., &amp; Fraser, E. (2009). Crops and climate change: Progress, trends, and challenges in simulating impacts and informing adaptation. </w:t>
      </w:r>
      <w:r w:rsidRPr="00756AF1">
        <w:rPr>
          <w:rFonts w:ascii="Arial" w:hAnsi="Arial" w:cs="Arial"/>
          <w:i/>
          <w:iCs/>
        </w:rPr>
        <w:t>Journal of Experimental Botany</w:t>
      </w:r>
      <w:r w:rsidRPr="00756AF1">
        <w:rPr>
          <w:rFonts w:ascii="Arial" w:hAnsi="Arial" w:cs="Arial"/>
        </w:rPr>
        <w:t xml:space="preserve">, </w:t>
      </w:r>
      <w:r w:rsidRPr="00756AF1">
        <w:rPr>
          <w:rFonts w:ascii="Arial" w:hAnsi="Arial" w:cs="Arial"/>
          <w:i/>
          <w:iCs/>
        </w:rPr>
        <w:t>60</w:t>
      </w:r>
      <w:r w:rsidRPr="00756AF1">
        <w:rPr>
          <w:rFonts w:ascii="Arial" w:hAnsi="Arial" w:cs="Arial"/>
        </w:rPr>
        <w:t>(10), 2775-2789. https://doi.org/10.1093/jxb/erp062</w:t>
      </w:r>
    </w:p>
    <w:p w14:paraId="1BF8A8CB" w14:textId="77777777" w:rsidR="00CF35ED" w:rsidRPr="00756AF1" w:rsidRDefault="00CF35ED" w:rsidP="00CF35ED">
      <w:pPr>
        <w:pStyle w:val="Bibliografa"/>
        <w:rPr>
          <w:rFonts w:ascii="Arial" w:hAnsi="Arial" w:cs="Arial"/>
        </w:rPr>
      </w:pPr>
      <w:r w:rsidRPr="00756AF1">
        <w:rPr>
          <w:rFonts w:ascii="Arial" w:hAnsi="Arial" w:cs="Arial"/>
        </w:rPr>
        <w:t xml:space="preserve">de Frutos Cachorro, J., Gobin, A., &amp; Buysse, J. (2018). Farm-level adaptation to climate change: The case of the Loam region in Belgium. </w:t>
      </w:r>
      <w:r w:rsidRPr="00756AF1">
        <w:rPr>
          <w:rFonts w:ascii="Arial" w:hAnsi="Arial" w:cs="Arial"/>
          <w:i/>
          <w:iCs/>
        </w:rPr>
        <w:t>Agricultural Systems</w:t>
      </w:r>
      <w:r w:rsidRPr="00756AF1">
        <w:rPr>
          <w:rFonts w:ascii="Arial" w:hAnsi="Arial" w:cs="Arial"/>
        </w:rPr>
        <w:t xml:space="preserve">, </w:t>
      </w:r>
      <w:r w:rsidRPr="00756AF1">
        <w:rPr>
          <w:rFonts w:ascii="Arial" w:hAnsi="Arial" w:cs="Arial"/>
          <w:i/>
          <w:iCs/>
        </w:rPr>
        <w:t>165</w:t>
      </w:r>
      <w:r w:rsidRPr="00756AF1">
        <w:rPr>
          <w:rFonts w:ascii="Arial" w:hAnsi="Arial" w:cs="Arial"/>
        </w:rPr>
        <w:t>, 164-176. https://doi.org/10.1016/j.agsy.2018.06.007</w:t>
      </w:r>
    </w:p>
    <w:p w14:paraId="2D70341C" w14:textId="77777777" w:rsidR="00CF35ED" w:rsidRPr="00756AF1" w:rsidRDefault="00CF35ED" w:rsidP="00CF35ED">
      <w:pPr>
        <w:pStyle w:val="Bibliografa"/>
        <w:rPr>
          <w:rFonts w:ascii="Arial" w:hAnsi="Arial" w:cs="Arial"/>
          <w:lang w:val="es-ES"/>
        </w:rPr>
      </w:pPr>
      <w:r w:rsidRPr="00756AF1">
        <w:rPr>
          <w:rFonts w:ascii="Arial" w:hAnsi="Arial" w:cs="Arial"/>
        </w:rPr>
        <w:t xml:space="preserve">Ferrer, F., Villar, J. M., &amp; Stockle, C. O. (2000). </w:t>
      </w:r>
      <w:r w:rsidRPr="00756AF1">
        <w:rPr>
          <w:rFonts w:ascii="Arial" w:hAnsi="Arial" w:cs="Arial"/>
          <w:lang w:val="es-ES"/>
        </w:rPr>
        <w:t xml:space="preserve">Evaluación del modelo de simulación CropSyst para maíz de regadío en el valle del Ebro. </w:t>
      </w:r>
      <w:r w:rsidRPr="00756AF1">
        <w:rPr>
          <w:rFonts w:ascii="Arial" w:hAnsi="Arial" w:cs="Arial"/>
          <w:i/>
          <w:iCs/>
          <w:lang w:val="es-ES"/>
        </w:rPr>
        <w:t>Invest. Agr.: Prod. Prot. Veg</w:t>
      </w:r>
      <w:r w:rsidRPr="00756AF1">
        <w:rPr>
          <w:rFonts w:ascii="Arial" w:hAnsi="Arial" w:cs="Arial"/>
          <w:lang w:val="es-ES"/>
        </w:rPr>
        <w:t xml:space="preserve">, </w:t>
      </w:r>
      <w:r w:rsidRPr="00756AF1">
        <w:rPr>
          <w:rFonts w:ascii="Arial" w:hAnsi="Arial" w:cs="Arial"/>
          <w:i/>
          <w:iCs/>
          <w:lang w:val="es-ES"/>
        </w:rPr>
        <w:t>15</w:t>
      </w:r>
      <w:r w:rsidRPr="00756AF1">
        <w:rPr>
          <w:rFonts w:ascii="Arial" w:hAnsi="Arial" w:cs="Arial"/>
          <w:lang w:val="es-ES"/>
        </w:rPr>
        <w:t>(3), 237-251.</w:t>
      </w:r>
    </w:p>
    <w:p w14:paraId="448BF123" w14:textId="77777777" w:rsidR="00CF35ED" w:rsidRPr="00756AF1" w:rsidRDefault="00CF35ED" w:rsidP="00CF35ED">
      <w:pPr>
        <w:pStyle w:val="Bibliografa"/>
        <w:rPr>
          <w:rFonts w:ascii="Arial" w:hAnsi="Arial" w:cs="Arial"/>
          <w:lang w:val="es-ES"/>
        </w:rPr>
      </w:pPr>
      <w:r w:rsidRPr="00756AF1">
        <w:rPr>
          <w:rFonts w:ascii="Arial" w:hAnsi="Arial" w:cs="Arial"/>
          <w:lang w:val="es-ES"/>
        </w:rPr>
        <w:t xml:space="preserve">Hernández, R., Fernández, C., &amp; Baptista, M. (2010). </w:t>
      </w:r>
      <w:r w:rsidRPr="00756AF1">
        <w:rPr>
          <w:rFonts w:ascii="Arial" w:hAnsi="Arial" w:cs="Arial"/>
          <w:i/>
          <w:iCs/>
          <w:lang w:val="es-ES"/>
        </w:rPr>
        <w:t>Metodología  de la investigación Quinta edición</w:t>
      </w:r>
      <w:r w:rsidRPr="00756AF1">
        <w:rPr>
          <w:rFonts w:ascii="Arial" w:hAnsi="Arial" w:cs="Arial"/>
          <w:lang w:val="es-ES"/>
        </w:rPr>
        <w:t>. McGraw-Hill/Interamericana Editores. http://repositorio. uasb. edu.bo: 8080/  bitstream/ 54000/ 1210/1/Sampieri-Metdolog%c3%ada%20de%20la%20 investigaci%c3%b3n%205ta%20ed.pdf..</w:t>
      </w:r>
    </w:p>
    <w:p w14:paraId="47AE92D2" w14:textId="77777777" w:rsidR="00CF35ED" w:rsidRPr="00756AF1" w:rsidRDefault="00CF35ED" w:rsidP="00CF35ED">
      <w:pPr>
        <w:pStyle w:val="Bibliografa"/>
        <w:rPr>
          <w:rFonts w:ascii="Arial" w:hAnsi="Arial" w:cs="Arial"/>
          <w:lang w:val="es-ES"/>
        </w:rPr>
      </w:pPr>
      <w:r w:rsidRPr="00756AF1">
        <w:rPr>
          <w:rFonts w:ascii="Arial" w:hAnsi="Arial" w:cs="Arial"/>
          <w:lang w:val="es-ES"/>
        </w:rPr>
        <w:lastRenderedPageBreak/>
        <w:t xml:space="preserve">Hernández-Salazar, C. A., Estrada, O. A. G., &amp; González-Silva, G. (2024). Integración de la inteligencia artificial y la agricultura de precisión en cultivos de café. </w:t>
      </w:r>
      <w:r w:rsidRPr="00756AF1">
        <w:rPr>
          <w:rFonts w:ascii="Arial" w:hAnsi="Arial" w:cs="Arial"/>
          <w:i/>
          <w:iCs/>
          <w:lang w:val="es-ES"/>
        </w:rPr>
        <w:t>Revista UIS Ingenierías</w:t>
      </w:r>
      <w:r w:rsidRPr="00756AF1">
        <w:rPr>
          <w:rFonts w:ascii="Arial" w:hAnsi="Arial" w:cs="Arial"/>
          <w:lang w:val="es-ES"/>
        </w:rPr>
        <w:t xml:space="preserve">, </w:t>
      </w:r>
      <w:r w:rsidRPr="00756AF1">
        <w:rPr>
          <w:rFonts w:ascii="Arial" w:hAnsi="Arial" w:cs="Arial"/>
          <w:i/>
          <w:iCs/>
          <w:lang w:val="es-ES"/>
        </w:rPr>
        <w:t>23</w:t>
      </w:r>
      <w:r w:rsidRPr="00756AF1">
        <w:rPr>
          <w:rFonts w:ascii="Arial" w:hAnsi="Arial" w:cs="Arial"/>
          <w:lang w:val="es-ES"/>
        </w:rPr>
        <w:t>(4), 145. https://doi.org/10.18273/revuin.v23n4-2024012</w:t>
      </w:r>
    </w:p>
    <w:p w14:paraId="0F436A98" w14:textId="77777777" w:rsidR="00CF35ED" w:rsidRPr="00756AF1" w:rsidRDefault="00CF35ED" w:rsidP="00CF35ED">
      <w:pPr>
        <w:pStyle w:val="Bibliografa"/>
        <w:rPr>
          <w:rFonts w:ascii="Arial" w:hAnsi="Arial" w:cs="Arial"/>
        </w:rPr>
      </w:pPr>
      <w:r w:rsidRPr="00756AF1">
        <w:rPr>
          <w:rFonts w:ascii="Arial" w:hAnsi="Arial" w:cs="Arial"/>
          <w:lang w:val="es-ES"/>
        </w:rPr>
        <w:t xml:space="preserve">Ibarra, G. E. R. (2022). Agricultura de Precisión: La integración de las TIC en la producción Agrícola. </w:t>
      </w:r>
      <w:r w:rsidRPr="00756AF1">
        <w:rPr>
          <w:rFonts w:ascii="Arial" w:hAnsi="Arial" w:cs="Arial"/>
          <w:i/>
          <w:iCs/>
        </w:rPr>
        <w:t>CESTA</w:t>
      </w:r>
      <w:r w:rsidRPr="00756AF1">
        <w:rPr>
          <w:rFonts w:ascii="Arial" w:hAnsi="Arial" w:cs="Arial"/>
        </w:rPr>
        <w:t xml:space="preserve">, </w:t>
      </w:r>
      <w:r w:rsidRPr="00756AF1">
        <w:rPr>
          <w:rFonts w:ascii="Arial" w:hAnsi="Arial" w:cs="Arial"/>
          <w:i/>
          <w:iCs/>
        </w:rPr>
        <w:t>3</w:t>
      </w:r>
      <w:r w:rsidRPr="00756AF1">
        <w:rPr>
          <w:rFonts w:ascii="Arial" w:hAnsi="Arial" w:cs="Arial"/>
        </w:rPr>
        <w:t>(1), 34-38. https://doi.org/10.17981/cesta.03.01.2022.04</w:t>
      </w:r>
    </w:p>
    <w:p w14:paraId="285CF6B4" w14:textId="77777777" w:rsidR="00CF35ED" w:rsidRPr="00756AF1" w:rsidRDefault="00CF35ED" w:rsidP="00CF35ED">
      <w:pPr>
        <w:pStyle w:val="Bibliografa"/>
        <w:rPr>
          <w:rFonts w:ascii="Arial" w:hAnsi="Arial" w:cs="Arial"/>
        </w:rPr>
      </w:pPr>
      <w:r w:rsidRPr="00756AF1">
        <w:rPr>
          <w:rFonts w:ascii="Arial" w:hAnsi="Arial" w:cs="Arial"/>
        </w:rPr>
        <w:t xml:space="preserve">Jones, J. W., Hoogenboom, G., Porter, C. H., Boote, K. J., Batchelor, W. D., Hunt, L. A., Wilkens, P. W., Singh, U., Gijsman, A. J., &amp; Ritchie, J. T. (2003). The DSSAT cropping system model. </w:t>
      </w:r>
      <w:r w:rsidRPr="00756AF1">
        <w:rPr>
          <w:rFonts w:ascii="Arial" w:hAnsi="Arial" w:cs="Arial"/>
          <w:i/>
          <w:iCs/>
        </w:rPr>
        <w:t>European Journal of Agronomy</w:t>
      </w:r>
      <w:r w:rsidRPr="00756AF1">
        <w:rPr>
          <w:rFonts w:ascii="Arial" w:hAnsi="Arial" w:cs="Arial"/>
        </w:rPr>
        <w:t xml:space="preserve">, </w:t>
      </w:r>
      <w:r w:rsidRPr="00756AF1">
        <w:rPr>
          <w:rFonts w:ascii="Arial" w:hAnsi="Arial" w:cs="Arial"/>
          <w:i/>
          <w:iCs/>
        </w:rPr>
        <w:t>18</w:t>
      </w:r>
      <w:r w:rsidRPr="00756AF1">
        <w:rPr>
          <w:rFonts w:ascii="Arial" w:hAnsi="Arial" w:cs="Arial"/>
        </w:rPr>
        <w:t>(3), 235-265. https://doi.org/10.1016/S1161-0301(02)00107-7</w:t>
      </w:r>
    </w:p>
    <w:p w14:paraId="117114AF" w14:textId="77777777" w:rsidR="00CF35ED" w:rsidRPr="00756AF1" w:rsidRDefault="00CF35ED" w:rsidP="00CF35ED">
      <w:pPr>
        <w:pStyle w:val="Bibliografa"/>
        <w:rPr>
          <w:rFonts w:ascii="Arial" w:hAnsi="Arial" w:cs="Arial"/>
        </w:rPr>
      </w:pPr>
      <w:r w:rsidRPr="00756AF1">
        <w:rPr>
          <w:rFonts w:ascii="Arial" w:hAnsi="Arial" w:cs="Arial"/>
          <w:lang w:val="es-ES"/>
        </w:rPr>
        <w:t xml:space="preserve">Jovanovic, N., Pereira, L. S., Paredes, P., Pôças, I., Cantore, V., &amp; Todorovic, M. (2020). </w:t>
      </w:r>
      <w:r w:rsidRPr="00756AF1">
        <w:rPr>
          <w:rFonts w:ascii="Arial" w:hAnsi="Arial" w:cs="Arial"/>
        </w:rPr>
        <w:t xml:space="preserve">A review of strategies, methods and technologies to reduce non-beneficial consumptive water use on farms considering the FAO56 methods. </w:t>
      </w:r>
      <w:r w:rsidRPr="00756AF1">
        <w:rPr>
          <w:rFonts w:ascii="Arial" w:hAnsi="Arial" w:cs="Arial"/>
          <w:i/>
          <w:iCs/>
        </w:rPr>
        <w:t>Agricultural Water Management</w:t>
      </w:r>
      <w:r w:rsidRPr="00756AF1">
        <w:rPr>
          <w:rFonts w:ascii="Arial" w:hAnsi="Arial" w:cs="Arial"/>
        </w:rPr>
        <w:t xml:space="preserve">, </w:t>
      </w:r>
      <w:r w:rsidRPr="00756AF1">
        <w:rPr>
          <w:rFonts w:ascii="Arial" w:hAnsi="Arial" w:cs="Arial"/>
          <w:i/>
          <w:iCs/>
        </w:rPr>
        <w:t>239</w:t>
      </w:r>
      <w:r w:rsidRPr="00756AF1">
        <w:rPr>
          <w:rFonts w:ascii="Arial" w:hAnsi="Arial" w:cs="Arial"/>
        </w:rPr>
        <w:t>, 106267. https://doi.org/10.1016/j.agwat.2020.106267</w:t>
      </w:r>
    </w:p>
    <w:p w14:paraId="3A334761" w14:textId="77777777" w:rsidR="00CF35ED" w:rsidRPr="00756AF1" w:rsidRDefault="00CF35ED" w:rsidP="00CF35ED">
      <w:pPr>
        <w:pStyle w:val="Bibliografa"/>
        <w:rPr>
          <w:rFonts w:ascii="Arial" w:hAnsi="Arial" w:cs="Arial"/>
        </w:rPr>
      </w:pPr>
      <w:r w:rsidRPr="00756AF1">
        <w:rPr>
          <w:rFonts w:ascii="Arial" w:hAnsi="Arial" w:cs="Arial"/>
        </w:rPr>
        <w:t xml:space="preserve">Kamilaris, A., &amp; Prenafeta-Boldú, F. X. (2018). Deep learning in agriculture: A survey. </w:t>
      </w:r>
      <w:r w:rsidRPr="00756AF1">
        <w:rPr>
          <w:rFonts w:ascii="Arial" w:hAnsi="Arial" w:cs="Arial"/>
          <w:i/>
          <w:iCs/>
        </w:rPr>
        <w:t>Computers and Electronics in Agriculture</w:t>
      </w:r>
      <w:r w:rsidRPr="00756AF1">
        <w:rPr>
          <w:rFonts w:ascii="Arial" w:hAnsi="Arial" w:cs="Arial"/>
        </w:rPr>
        <w:t xml:space="preserve">, </w:t>
      </w:r>
      <w:r w:rsidRPr="00756AF1">
        <w:rPr>
          <w:rFonts w:ascii="Arial" w:hAnsi="Arial" w:cs="Arial"/>
          <w:i/>
          <w:iCs/>
        </w:rPr>
        <w:t>147</w:t>
      </w:r>
      <w:r w:rsidRPr="00756AF1">
        <w:rPr>
          <w:rFonts w:ascii="Arial" w:hAnsi="Arial" w:cs="Arial"/>
        </w:rPr>
        <w:t>, 70-90. https://doi.org/10.1016/j.compag.2018.02.016</w:t>
      </w:r>
    </w:p>
    <w:p w14:paraId="5C462ADB" w14:textId="77777777" w:rsidR="00CF35ED" w:rsidRPr="00756AF1" w:rsidRDefault="00CF35ED" w:rsidP="00CF35ED">
      <w:pPr>
        <w:pStyle w:val="Bibliografa"/>
        <w:rPr>
          <w:rFonts w:ascii="Arial" w:hAnsi="Arial" w:cs="Arial"/>
        </w:rPr>
      </w:pPr>
      <w:r w:rsidRPr="00756AF1">
        <w:rPr>
          <w:rFonts w:ascii="Arial" w:hAnsi="Arial" w:cs="Arial"/>
        </w:rPr>
        <w:t xml:space="preserve">Karam, K., Mansour, A., Khaldi, M., Clement, B., &amp; Ammad-Uddin, M. (2024). Quadcopters in Smart Agriculture: Applications and Modelling. </w:t>
      </w:r>
      <w:r w:rsidRPr="00756AF1">
        <w:rPr>
          <w:rFonts w:ascii="Arial" w:hAnsi="Arial" w:cs="Arial"/>
          <w:i/>
          <w:iCs/>
        </w:rPr>
        <w:t>Applied Sciences</w:t>
      </w:r>
      <w:r w:rsidRPr="00756AF1">
        <w:rPr>
          <w:rFonts w:ascii="Arial" w:hAnsi="Arial" w:cs="Arial"/>
        </w:rPr>
        <w:t xml:space="preserve">, </w:t>
      </w:r>
      <w:r w:rsidRPr="00756AF1">
        <w:rPr>
          <w:rFonts w:ascii="Arial" w:hAnsi="Arial" w:cs="Arial"/>
          <w:i/>
          <w:iCs/>
        </w:rPr>
        <w:t>14</w:t>
      </w:r>
      <w:r w:rsidRPr="00756AF1">
        <w:rPr>
          <w:rFonts w:ascii="Arial" w:hAnsi="Arial" w:cs="Arial"/>
        </w:rPr>
        <w:t>(19), 9132. https://doi.org/10.3390/app14199132</w:t>
      </w:r>
    </w:p>
    <w:p w14:paraId="0AE6EC81" w14:textId="77777777" w:rsidR="00CF35ED" w:rsidRPr="00756AF1" w:rsidRDefault="00CF35ED" w:rsidP="00CF35ED">
      <w:pPr>
        <w:pStyle w:val="Bibliografa"/>
        <w:rPr>
          <w:rFonts w:ascii="Arial" w:hAnsi="Arial" w:cs="Arial"/>
        </w:rPr>
      </w:pPr>
      <w:r w:rsidRPr="00756AF1">
        <w:rPr>
          <w:rFonts w:ascii="Arial" w:hAnsi="Arial" w:cs="Arial"/>
        </w:rPr>
        <w:t xml:space="preserve">Liakos, K. G., Busato, P., Moshou, D., Pearson, S., &amp; Bochtis, D. (2018). Machine Learning in Agriculture: A Review. </w:t>
      </w:r>
      <w:r w:rsidRPr="00756AF1">
        <w:rPr>
          <w:rFonts w:ascii="Arial" w:hAnsi="Arial" w:cs="Arial"/>
          <w:i/>
          <w:iCs/>
        </w:rPr>
        <w:t>Sensors</w:t>
      </w:r>
      <w:r w:rsidRPr="00756AF1">
        <w:rPr>
          <w:rFonts w:ascii="Arial" w:hAnsi="Arial" w:cs="Arial"/>
        </w:rPr>
        <w:t xml:space="preserve">, </w:t>
      </w:r>
      <w:r w:rsidRPr="00756AF1">
        <w:rPr>
          <w:rFonts w:ascii="Arial" w:hAnsi="Arial" w:cs="Arial"/>
          <w:i/>
          <w:iCs/>
        </w:rPr>
        <w:t>18</w:t>
      </w:r>
      <w:r w:rsidRPr="00756AF1">
        <w:rPr>
          <w:rFonts w:ascii="Arial" w:hAnsi="Arial" w:cs="Arial"/>
        </w:rPr>
        <w:t>(8), 2674. https://doi.org/10.3390/s18082674</w:t>
      </w:r>
    </w:p>
    <w:p w14:paraId="580BB547" w14:textId="77777777" w:rsidR="00CF35ED" w:rsidRPr="00756AF1" w:rsidRDefault="00CF35ED" w:rsidP="00CF35ED">
      <w:pPr>
        <w:pStyle w:val="Bibliografa"/>
        <w:rPr>
          <w:rFonts w:ascii="Arial" w:hAnsi="Arial" w:cs="Arial"/>
          <w:lang w:val="es-ES"/>
        </w:rPr>
      </w:pPr>
      <w:r w:rsidRPr="00756AF1">
        <w:rPr>
          <w:rFonts w:ascii="Arial" w:hAnsi="Arial" w:cs="Arial"/>
          <w:lang w:val="es-ES"/>
        </w:rPr>
        <w:t xml:space="preserve">Martinez, B. C., Ruiz-Rosado, O., Gallardo Lopez, F., Perez-Hernandez, P., Martinez Becerra, A., &amp; Vargas Villamil, L. (2011). </w:t>
      </w:r>
      <w:r w:rsidRPr="00756AF1">
        <w:rPr>
          <w:rFonts w:ascii="Arial" w:hAnsi="Arial" w:cs="Arial"/>
        </w:rPr>
        <w:t xml:space="preserve">APPLICATION OF SIMULATION </w:t>
      </w:r>
      <w:r w:rsidRPr="00756AF1">
        <w:rPr>
          <w:rFonts w:ascii="Arial" w:hAnsi="Arial" w:cs="Arial"/>
        </w:rPr>
        <w:lastRenderedPageBreak/>
        <w:t xml:space="preserve">MODELS IN AGRICULTURAL RESEARCH AND PLANNING, A REVIEW. </w:t>
      </w:r>
      <w:r w:rsidRPr="00756AF1">
        <w:rPr>
          <w:rFonts w:ascii="Arial" w:hAnsi="Arial" w:cs="Arial"/>
          <w:i/>
          <w:iCs/>
          <w:lang w:val="es-ES"/>
        </w:rPr>
        <w:t>Tropical and Subtropical Agroecosystems</w:t>
      </w:r>
      <w:r w:rsidRPr="00756AF1">
        <w:rPr>
          <w:rFonts w:ascii="Arial" w:hAnsi="Arial" w:cs="Arial"/>
          <w:lang w:val="es-ES"/>
        </w:rPr>
        <w:t xml:space="preserve">, </w:t>
      </w:r>
      <w:r w:rsidRPr="00756AF1">
        <w:rPr>
          <w:rFonts w:ascii="Arial" w:hAnsi="Arial" w:cs="Arial"/>
          <w:i/>
          <w:iCs/>
          <w:lang w:val="es-ES"/>
        </w:rPr>
        <w:t>14</w:t>
      </w:r>
      <w:r w:rsidRPr="00756AF1">
        <w:rPr>
          <w:rFonts w:ascii="Arial" w:hAnsi="Arial" w:cs="Arial"/>
          <w:lang w:val="es-ES"/>
        </w:rPr>
        <w:t>(3). https://doi.org/10.56369/tsaes.1103</w:t>
      </w:r>
    </w:p>
    <w:p w14:paraId="54364945" w14:textId="77777777" w:rsidR="00CF35ED" w:rsidRPr="00756AF1" w:rsidRDefault="00CF35ED" w:rsidP="00CF35ED">
      <w:pPr>
        <w:pStyle w:val="Bibliografa"/>
        <w:rPr>
          <w:rFonts w:ascii="Arial" w:hAnsi="Arial" w:cs="Arial"/>
          <w:lang w:val="es-ES"/>
        </w:rPr>
      </w:pPr>
      <w:r w:rsidRPr="00756AF1">
        <w:rPr>
          <w:rFonts w:ascii="Arial" w:hAnsi="Arial" w:cs="Arial"/>
          <w:lang w:val="es-ES"/>
        </w:rPr>
        <w:t xml:space="preserve">Martínez, B., Ruiz Rosado, O., Gallardo-López, F., Pérez-Hernández, P., Martínez-Becerra, Á., &amp; Vargas-Villamil, L. (2011). Aplicación de modelos de simulación en el estudio y planificación de la agricultura, una revisión. </w:t>
      </w:r>
      <w:r w:rsidRPr="00756AF1">
        <w:rPr>
          <w:rFonts w:ascii="Arial" w:hAnsi="Arial" w:cs="Arial"/>
          <w:i/>
          <w:iCs/>
          <w:lang w:val="es-ES"/>
        </w:rPr>
        <w:t>Tropical and subtropical agroecosystems</w:t>
      </w:r>
      <w:r w:rsidRPr="00756AF1">
        <w:rPr>
          <w:rFonts w:ascii="Arial" w:hAnsi="Arial" w:cs="Arial"/>
          <w:lang w:val="es-ES"/>
        </w:rPr>
        <w:t xml:space="preserve">, </w:t>
      </w:r>
      <w:r w:rsidRPr="00756AF1">
        <w:rPr>
          <w:rFonts w:ascii="Arial" w:hAnsi="Arial" w:cs="Arial"/>
          <w:i/>
          <w:iCs/>
          <w:lang w:val="es-ES"/>
        </w:rPr>
        <w:t>14</w:t>
      </w:r>
      <w:r w:rsidRPr="00756AF1">
        <w:rPr>
          <w:rFonts w:ascii="Arial" w:hAnsi="Arial" w:cs="Arial"/>
          <w:lang w:val="es-ES"/>
        </w:rPr>
        <w:t>, 999-1010.</w:t>
      </w:r>
    </w:p>
    <w:p w14:paraId="41A5CC29" w14:textId="77777777" w:rsidR="00CF35ED" w:rsidRPr="00756AF1" w:rsidRDefault="00CF35ED" w:rsidP="00CF35ED">
      <w:pPr>
        <w:pStyle w:val="Bibliografa"/>
        <w:rPr>
          <w:rFonts w:ascii="Arial" w:hAnsi="Arial" w:cs="Arial"/>
          <w:lang w:val="es-ES"/>
        </w:rPr>
      </w:pPr>
      <w:r w:rsidRPr="00756AF1">
        <w:rPr>
          <w:rFonts w:ascii="Arial" w:hAnsi="Arial" w:cs="Arial"/>
          <w:lang w:val="es-ES"/>
        </w:rPr>
        <w:t xml:space="preserve">Melgar, M. (2021). </w:t>
      </w:r>
      <w:r w:rsidRPr="00756AF1">
        <w:rPr>
          <w:rFonts w:ascii="Arial" w:hAnsi="Arial" w:cs="Arial"/>
          <w:i/>
          <w:iCs/>
          <w:lang w:val="es-ES"/>
        </w:rPr>
        <w:t>Inteligencia artificial aplicada a la agricultura</w:t>
      </w:r>
      <w:r w:rsidRPr="00756AF1">
        <w:rPr>
          <w:rFonts w:ascii="Arial" w:hAnsi="Arial" w:cs="Arial"/>
          <w:lang w:val="es-ES"/>
        </w:rPr>
        <w:t>. Cengicaña.</w:t>
      </w:r>
    </w:p>
    <w:p w14:paraId="1096108C" w14:textId="77777777" w:rsidR="00CF35ED" w:rsidRPr="00756AF1" w:rsidRDefault="00CF35ED" w:rsidP="00CF35ED">
      <w:pPr>
        <w:pStyle w:val="Bibliografa"/>
        <w:rPr>
          <w:rFonts w:ascii="Arial" w:hAnsi="Arial" w:cs="Arial"/>
          <w:lang w:val="es-ES"/>
        </w:rPr>
      </w:pPr>
      <w:r w:rsidRPr="00756AF1">
        <w:rPr>
          <w:rFonts w:ascii="Arial" w:hAnsi="Arial" w:cs="Arial"/>
          <w:lang w:val="es-ES"/>
        </w:rPr>
        <w:t xml:space="preserve">Morugán-Coronado, A., Linares, C., Gómez-López, M. D., Faz, Á., &amp; Zornoza, R. (2020). </w:t>
      </w:r>
      <w:r w:rsidRPr="00756AF1">
        <w:rPr>
          <w:rFonts w:ascii="Arial" w:hAnsi="Arial" w:cs="Arial"/>
        </w:rPr>
        <w:t xml:space="preserve">The impact of intercropping, tillage and fertilizer type on soil and crop yield in fruit orchards under Mediterranean conditions: A meta-analysis of field studies. </w:t>
      </w:r>
      <w:r w:rsidRPr="00756AF1">
        <w:rPr>
          <w:rFonts w:ascii="Arial" w:hAnsi="Arial" w:cs="Arial"/>
          <w:i/>
          <w:iCs/>
          <w:lang w:val="es-ES"/>
        </w:rPr>
        <w:t>Agricultural Systems</w:t>
      </w:r>
      <w:r w:rsidRPr="00756AF1">
        <w:rPr>
          <w:rFonts w:ascii="Arial" w:hAnsi="Arial" w:cs="Arial"/>
          <w:lang w:val="es-ES"/>
        </w:rPr>
        <w:t xml:space="preserve">, </w:t>
      </w:r>
      <w:r w:rsidRPr="00756AF1">
        <w:rPr>
          <w:rFonts w:ascii="Arial" w:hAnsi="Arial" w:cs="Arial"/>
          <w:i/>
          <w:iCs/>
          <w:lang w:val="es-ES"/>
        </w:rPr>
        <w:t>178</w:t>
      </w:r>
      <w:r w:rsidRPr="00756AF1">
        <w:rPr>
          <w:rFonts w:ascii="Arial" w:hAnsi="Arial" w:cs="Arial"/>
          <w:lang w:val="es-ES"/>
        </w:rPr>
        <w:t>, 102736. https://doi.org/10.1016/j.agsy.2019.102736</w:t>
      </w:r>
    </w:p>
    <w:p w14:paraId="6805818E" w14:textId="77777777" w:rsidR="00CF35ED" w:rsidRPr="00756AF1" w:rsidRDefault="00CF35ED" w:rsidP="00CF35ED">
      <w:pPr>
        <w:pStyle w:val="Bibliografa"/>
        <w:rPr>
          <w:rFonts w:ascii="Arial" w:hAnsi="Arial" w:cs="Arial"/>
          <w:lang w:val="es-ES"/>
        </w:rPr>
      </w:pPr>
      <w:r w:rsidRPr="00756AF1">
        <w:rPr>
          <w:rFonts w:ascii="Arial" w:hAnsi="Arial" w:cs="Arial"/>
          <w:lang w:val="es-ES"/>
        </w:rPr>
        <w:t xml:space="preserve">Noriega-Navarrete, J. L., Salazar-Moreno, R., &amp; López-Cruz, I. L. (2021). Revisión: Modelos de crecimiento y rendimiento de maíz en escenarios de cambio climático. </w:t>
      </w:r>
      <w:r w:rsidRPr="00756AF1">
        <w:rPr>
          <w:rFonts w:ascii="Arial" w:hAnsi="Arial" w:cs="Arial"/>
          <w:i/>
          <w:iCs/>
          <w:lang w:val="es-ES"/>
        </w:rPr>
        <w:t>Revista mexicana de ciencias agrícolas</w:t>
      </w:r>
      <w:r w:rsidRPr="00756AF1">
        <w:rPr>
          <w:rFonts w:ascii="Arial" w:hAnsi="Arial" w:cs="Arial"/>
          <w:lang w:val="es-ES"/>
        </w:rPr>
        <w:t xml:space="preserve">, </w:t>
      </w:r>
      <w:r w:rsidRPr="00756AF1">
        <w:rPr>
          <w:rFonts w:ascii="Arial" w:hAnsi="Arial" w:cs="Arial"/>
          <w:i/>
          <w:iCs/>
          <w:lang w:val="es-ES"/>
        </w:rPr>
        <w:t>12</w:t>
      </w:r>
      <w:r w:rsidRPr="00756AF1">
        <w:rPr>
          <w:rFonts w:ascii="Arial" w:hAnsi="Arial" w:cs="Arial"/>
          <w:lang w:val="es-ES"/>
        </w:rPr>
        <w:t>(1), 127-140. https://doi.org/10.29312/remexca.v12i1.2552</w:t>
      </w:r>
    </w:p>
    <w:p w14:paraId="3648155B" w14:textId="77777777" w:rsidR="00CF35ED" w:rsidRPr="00756AF1" w:rsidRDefault="00CF35ED" w:rsidP="00CF35ED">
      <w:pPr>
        <w:pStyle w:val="Bibliografa"/>
        <w:rPr>
          <w:rFonts w:ascii="Arial" w:hAnsi="Arial" w:cs="Arial"/>
          <w:lang w:val="es-ES"/>
        </w:rPr>
      </w:pPr>
      <w:r w:rsidRPr="00756AF1">
        <w:rPr>
          <w:rFonts w:ascii="Arial" w:hAnsi="Arial" w:cs="Arial"/>
          <w:lang w:val="es-ES"/>
        </w:rPr>
        <w:t xml:space="preserve">Pérez-Madruga, Y., Rosales-Jenquis, P. R., Menéndez, D. C.-, Falcón-Rodríguez, A., Pérez-Madruga, Y., Rosales-Jenquis, P. R., Menéndez, D. C.-, &amp; Falcón-Rodríguez, A. (2019). Aplicación combinada de quitosano y HMA en el rendimiento de maíz. </w:t>
      </w:r>
      <w:r w:rsidRPr="00756AF1">
        <w:rPr>
          <w:rFonts w:ascii="Arial" w:hAnsi="Arial" w:cs="Arial"/>
          <w:i/>
          <w:iCs/>
          <w:lang w:val="es-ES"/>
        </w:rPr>
        <w:t>Cultivos Tropicales</w:t>
      </w:r>
      <w:r w:rsidRPr="00756AF1">
        <w:rPr>
          <w:rFonts w:ascii="Arial" w:hAnsi="Arial" w:cs="Arial"/>
          <w:lang w:val="es-ES"/>
        </w:rPr>
        <w:t xml:space="preserve">, </w:t>
      </w:r>
      <w:r w:rsidRPr="00756AF1">
        <w:rPr>
          <w:rFonts w:ascii="Arial" w:hAnsi="Arial" w:cs="Arial"/>
          <w:i/>
          <w:iCs/>
          <w:lang w:val="es-ES"/>
        </w:rPr>
        <w:t>40</w:t>
      </w:r>
      <w:r w:rsidRPr="00756AF1">
        <w:rPr>
          <w:rFonts w:ascii="Arial" w:hAnsi="Arial" w:cs="Arial"/>
          <w:lang w:val="es-ES"/>
        </w:rPr>
        <w:t>(4), Article 4. http://scielo.sld.cu/scielo.php?script=sci_abstract&amp;pid=S0258-59362019000400006&amp;lng=es&amp;nrm=iso&amp;tlng=es</w:t>
      </w:r>
    </w:p>
    <w:p w14:paraId="066805B3" w14:textId="77777777" w:rsidR="00CF35ED" w:rsidRPr="00756AF1" w:rsidRDefault="00CF35ED" w:rsidP="00CF35ED">
      <w:pPr>
        <w:pStyle w:val="Bibliografa"/>
        <w:rPr>
          <w:rFonts w:ascii="Arial" w:hAnsi="Arial" w:cs="Arial"/>
          <w:lang w:val="es-ES"/>
        </w:rPr>
      </w:pPr>
      <w:r w:rsidRPr="00756AF1">
        <w:rPr>
          <w:rFonts w:ascii="Arial" w:hAnsi="Arial" w:cs="Arial"/>
          <w:lang w:val="es-ES"/>
        </w:rPr>
        <w:t xml:space="preserve">Perez-Ugena, M. (2024). </w:t>
      </w:r>
      <w:r w:rsidRPr="00756AF1">
        <w:rPr>
          <w:rFonts w:ascii="Arial" w:hAnsi="Arial" w:cs="Arial"/>
          <w:i/>
          <w:iCs/>
          <w:lang w:val="es-ES"/>
        </w:rPr>
        <w:t>La inteligencia artificial: Definición, regulación y riesgos para los derechos fundamentales</w:t>
      </w:r>
      <w:r w:rsidRPr="00756AF1">
        <w:rPr>
          <w:rFonts w:ascii="Arial" w:hAnsi="Arial" w:cs="Arial"/>
          <w:lang w:val="es-ES"/>
        </w:rPr>
        <w:t>. https://doi.org/10.18543/ed.3108</w:t>
      </w:r>
    </w:p>
    <w:p w14:paraId="5FAF5BFF" w14:textId="77777777" w:rsidR="00CF35ED" w:rsidRPr="00756AF1" w:rsidRDefault="00CF35ED" w:rsidP="00CF35ED">
      <w:pPr>
        <w:pStyle w:val="Bibliografa"/>
        <w:rPr>
          <w:rFonts w:ascii="Arial" w:hAnsi="Arial" w:cs="Arial"/>
        </w:rPr>
      </w:pPr>
      <w:r w:rsidRPr="00756AF1">
        <w:rPr>
          <w:rFonts w:ascii="Arial" w:hAnsi="Arial" w:cs="Arial"/>
          <w:lang w:val="es-ES"/>
        </w:rPr>
        <w:t xml:space="preserve">Rodríguez González, O., Florido Bacallao, R., Hernández Córdova, N., Soto Carreño, F., Jeréz Mompié, E. I., González Viera, D., Vázquez Montenegro, R. J., Rodríguez González, O., Florido Bacallao, R., Hernández Córdova, N., Soto Carreño, F., </w:t>
      </w:r>
      <w:r w:rsidRPr="00756AF1">
        <w:rPr>
          <w:rFonts w:ascii="Arial" w:hAnsi="Arial" w:cs="Arial"/>
          <w:lang w:val="es-ES"/>
        </w:rPr>
        <w:lastRenderedPageBreak/>
        <w:t xml:space="preserve">Jeréz Mompié, E. I., González Viera, D., &amp; Vázquez Montenegro, R. J. (2021). Simulación de estrategias de manejo a partir del modelo DSSAT para incrementar los rendimientos de un cultivar de maíz. </w:t>
      </w:r>
      <w:r w:rsidRPr="00756AF1">
        <w:rPr>
          <w:rFonts w:ascii="Arial" w:hAnsi="Arial" w:cs="Arial"/>
          <w:i/>
          <w:iCs/>
        </w:rPr>
        <w:t>Cuban Journal of Agricultural Science</w:t>
      </w:r>
      <w:r w:rsidRPr="00756AF1">
        <w:rPr>
          <w:rFonts w:ascii="Arial" w:hAnsi="Arial" w:cs="Arial"/>
        </w:rPr>
        <w:t xml:space="preserve">, </w:t>
      </w:r>
      <w:r w:rsidRPr="00756AF1">
        <w:rPr>
          <w:rFonts w:ascii="Arial" w:hAnsi="Arial" w:cs="Arial"/>
          <w:i/>
          <w:iCs/>
        </w:rPr>
        <w:t>55</w:t>
      </w:r>
      <w:r w:rsidRPr="00756AF1">
        <w:rPr>
          <w:rFonts w:ascii="Arial" w:hAnsi="Arial" w:cs="Arial"/>
        </w:rPr>
        <w:t>(2). http://scielo.sld.cu/scielo.php?script=sci_abstract&amp;pid=S2079-34802021000200008&amp;lng=es&amp;nrm=iso&amp;tlng=en</w:t>
      </w:r>
    </w:p>
    <w:p w14:paraId="656939C6" w14:textId="77777777" w:rsidR="00CF35ED" w:rsidRPr="00756AF1" w:rsidRDefault="00CF35ED" w:rsidP="00CF35ED">
      <w:pPr>
        <w:pStyle w:val="Bibliografa"/>
        <w:rPr>
          <w:rFonts w:ascii="Arial" w:hAnsi="Arial" w:cs="Arial"/>
        </w:rPr>
      </w:pPr>
      <w:r w:rsidRPr="00756AF1">
        <w:rPr>
          <w:rFonts w:ascii="Arial" w:hAnsi="Arial" w:cs="Arial"/>
        </w:rPr>
        <w:t xml:space="preserve">Rose, D. C., &amp; Chilvers, J. (2018). Agriculture 4.0: Broadening Responsible Innovation in an Era of Smart Farming. </w:t>
      </w:r>
      <w:r w:rsidRPr="00756AF1">
        <w:rPr>
          <w:rFonts w:ascii="Arial" w:hAnsi="Arial" w:cs="Arial"/>
          <w:i/>
          <w:iCs/>
        </w:rPr>
        <w:t>Frontiers in Sustainable Food Systems</w:t>
      </w:r>
      <w:r w:rsidRPr="00756AF1">
        <w:rPr>
          <w:rFonts w:ascii="Arial" w:hAnsi="Arial" w:cs="Arial"/>
        </w:rPr>
        <w:t xml:space="preserve">, </w:t>
      </w:r>
      <w:r w:rsidRPr="00756AF1">
        <w:rPr>
          <w:rFonts w:ascii="Arial" w:hAnsi="Arial" w:cs="Arial"/>
          <w:i/>
          <w:iCs/>
        </w:rPr>
        <w:t>2</w:t>
      </w:r>
      <w:r w:rsidRPr="00756AF1">
        <w:rPr>
          <w:rFonts w:ascii="Arial" w:hAnsi="Arial" w:cs="Arial"/>
        </w:rPr>
        <w:t>. https://doi.org/10.3389/fsufs.2018.00087</w:t>
      </w:r>
    </w:p>
    <w:p w14:paraId="10DA4F9A" w14:textId="77777777" w:rsidR="00CF35ED" w:rsidRPr="00756AF1" w:rsidRDefault="00CF35ED" w:rsidP="00CF35ED">
      <w:pPr>
        <w:pStyle w:val="Bibliografa"/>
        <w:rPr>
          <w:rFonts w:ascii="Arial" w:hAnsi="Arial" w:cs="Arial"/>
        </w:rPr>
      </w:pPr>
      <w:r w:rsidRPr="00756AF1">
        <w:rPr>
          <w:rFonts w:ascii="Arial" w:hAnsi="Arial" w:cs="Arial"/>
        </w:rPr>
        <w:t xml:space="preserve">Serrano, L. T. C., Aguila, M. V. G., Suárez, J. A. C., &amp; Vivar, M. A. P. (2024). Optimización de sistemas de soporte de decisiones en agricultura mediante IA: Un enfoque integrado: Optimization of decision support systems in agriculture using AI: an integrated approach. </w:t>
      </w:r>
      <w:r w:rsidRPr="00756AF1">
        <w:rPr>
          <w:rFonts w:ascii="Arial" w:hAnsi="Arial" w:cs="Arial"/>
          <w:i/>
          <w:iCs/>
        </w:rPr>
        <w:t>e-CUCBA</w:t>
      </w:r>
      <w:r w:rsidRPr="00756AF1">
        <w:rPr>
          <w:rFonts w:ascii="Arial" w:hAnsi="Arial" w:cs="Arial"/>
        </w:rPr>
        <w:t xml:space="preserve">, </w:t>
      </w:r>
      <w:r w:rsidRPr="00756AF1">
        <w:rPr>
          <w:rFonts w:ascii="Arial" w:hAnsi="Arial" w:cs="Arial"/>
          <w:i/>
          <w:iCs/>
        </w:rPr>
        <w:t>21</w:t>
      </w:r>
      <w:r w:rsidRPr="00756AF1">
        <w:rPr>
          <w:rFonts w:ascii="Arial" w:hAnsi="Arial" w:cs="Arial"/>
        </w:rPr>
        <w:t>, 150-155. https://doi.org/10.32870/e-cucba.vi21.333</w:t>
      </w:r>
    </w:p>
    <w:p w14:paraId="222C854A" w14:textId="77777777" w:rsidR="00CF35ED" w:rsidRPr="00756AF1" w:rsidRDefault="00CF35ED" w:rsidP="00CF35ED">
      <w:pPr>
        <w:pStyle w:val="Bibliografa"/>
        <w:rPr>
          <w:rFonts w:ascii="Arial" w:hAnsi="Arial" w:cs="Arial"/>
        </w:rPr>
      </w:pPr>
      <w:r w:rsidRPr="00756AF1">
        <w:rPr>
          <w:rFonts w:ascii="Arial" w:hAnsi="Arial" w:cs="Arial"/>
        </w:rPr>
        <w:t xml:space="preserve">Sinclair, T. R., &amp; Seligman, N. G. (1996). Crop Modeling: From Infancy to Maturity. </w:t>
      </w:r>
      <w:r w:rsidRPr="00756AF1">
        <w:rPr>
          <w:rFonts w:ascii="Arial" w:hAnsi="Arial" w:cs="Arial"/>
          <w:i/>
          <w:iCs/>
        </w:rPr>
        <w:t>Agronomy Journal</w:t>
      </w:r>
      <w:r w:rsidRPr="00756AF1">
        <w:rPr>
          <w:rFonts w:ascii="Arial" w:hAnsi="Arial" w:cs="Arial"/>
        </w:rPr>
        <w:t xml:space="preserve">, </w:t>
      </w:r>
      <w:r w:rsidRPr="00756AF1">
        <w:rPr>
          <w:rFonts w:ascii="Arial" w:hAnsi="Arial" w:cs="Arial"/>
          <w:i/>
          <w:iCs/>
        </w:rPr>
        <w:t>88</w:t>
      </w:r>
      <w:r w:rsidRPr="00756AF1">
        <w:rPr>
          <w:rFonts w:ascii="Arial" w:hAnsi="Arial" w:cs="Arial"/>
        </w:rPr>
        <w:t>(5), Article 5. https://doi.org/10.2134/agronj1996.00021962008800050004x</w:t>
      </w:r>
    </w:p>
    <w:p w14:paraId="21022028" w14:textId="77777777" w:rsidR="00CF35ED" w:rsidRPr="00756AF1" w:rsidRDefault="00CF35ED" w:rsidP="00CF35ED">
      <w:pPr>
        <w:pStyle w:val="Bibliografa"/>
        <w:rPr>
          <w:rFonts w:ascii="Arial" w:hAnsi="Arial" w:cs="Arial"/>
          <w:lang w:val="es-ES"/>
        </w:rPr>
      </w:pPr>
      <w:r w:rsidRPr="00756AF1">
        <w:rPr>
          <w:rFonts w:ascii="Arial" w:hAnsi="Arial" w:cs="Arial"/>
        </w:rPr>
        <w:t xml:space="preserve">Soto-Bravo, F., &amp; Lutz, M. I. G. (2019). </w:t>
      </w:r>
      <w:r w:rsidRPr="00756AF1">
        <w:rPr>
          <w:rFonts w:ascii="Arial" w:hAnsi="Arial" w:cs="Arial"/>
          <w:lang w:val="es-ES"/>
        </w:rPr>
        <w:t xml:space="preserve">Análisis de métodos estadísticos para evaluar el desempeño de modelos de simulación en cultivos hortícolas. </w:t>
      </w:r>
      <w:r w:rsidRPr="00756AF1">
        <w:rPr>
          <w:rFonts w:ascii="Arial" w:hAnsi="Arial" w:cs="Arial"/>
          <w:i/>
          <w:iCs/>
          <w:lang w:val="es-ES"/>
        </w:rPr>
        <w:t>Agronomía Mesoamericana</w:t>
      </w:r>
      <w:r w:rsidRPr="00756AF1">
        <w:rPr>
          <w:rFonts w:ascii="Arial" w:hAnsi="Arial" w:cs="Arial"/>
          <w:lang w:val="es-ES"/>
        </w:rPr>
        <w:t xml:space="preserve">, </w:t>
      </w:r>
      <w:r w:rsidRPr="00756AF1">
        <w:rPr>
          <w:rFonts w:ascii="Arial" w:hAnsi="Arial" w:cs="Arial"/>
          <w:i/>
          <w:iCs/>
          <w:lang w:val="es-ES"/>
        </w:rPr>
        <w:t>30</w:t>
      </w:r>
      <w:r w:rsidRPr="00756AF1">
        <w:rPr>
          <w:rFonts w:ascii="Arial" w:hAnsi="Arial" w:cs="Arial"/>
          <w:lang w:val="es-ES"/>
        </w:rPr>
        <w:t>(2), 517-534. https://doi.org/10.15517/am.v30i2.33839</w:t>
      </w:r>
    </w:p>
    <w:p w14:paraId="699861D1" w14:textId="77777777" w:rsidR="00CF35ED" w:rsidRPr="00756AF1" w:rsidRDefault="00CF35ED" w:rsidP="00CF35ED">
      <w:pPr>
        <w:pStyle w:val="Bibliografa"/>
        <w:rPr>
          <w:rFonts w:ascii="Arial" w:hAnsi="Arial" w:cs="Arial"/>
          <w:lang w:val="es-ES"/>
        </w:rPr>
      </w:pPr>
      <w:r w:rsidRPr="00756AF1">
        <w:rPr>
          <w:rFonts w:ascii="Arial" w:hAnsi="Arial" w:cs="Arial"/>
          <w:lang w:val="es-ES"/>
        </w:rPr>
        <w:t xml:space="preserve">Steduto, P., Hsiao, T. C., Raes, D., &amp; Fereres, E. (2009). </w:t>
      </w:r>
      <w:r w:rsidRPr="00756AF1">
        <w:rPr>
          <w:rFonts w:ascii="Arial" w:hAnsi="Arial" w:cs="Arial"/>
        </w:rPr>
        <w:t xml:space="preserve">AquaCrop—The FAO Crop Model to Simulate Yield Response to Water: I. Concepts and Underlying Principles. </w:t>
      </w:r>
      <w:r w:rsidRPr="00756AF1">
        <w:rPr>
          <w:rFonts w:ascii="Arial" w:hAnsi="Arial" w:cs="Arial"/>
          <w:i/>
          <w:iCs/>
          <w:lang w:val="es-ES"/>
        </w:rPr>
        <w:t>Agronomy Journal</w:t>
      </w:r>
      <w:r w:rsidRPr="00756AF1">
        <w:rPr>
          <w:rFonts w:ascii="Arial" w:hAnsi="Arial" w:cs="Arial"/>
          <w:lang w:val="es-ES"/>
        </w:rPr>
        <w:t xml:space="preserve">, </w:t>
      </w:r>
      <w:r w:rsidRPr="00756AF1">
        <w:rPr>
          <w:rFonts w:ascii="Arial" w:hAnsi="Arial" w:cs="Arial"/>
          <w:i/>
          <w:iCs/>
          <w:lang w:val="es-ES"/>
        </w:rPr>
        <w:t>101</w:t>
      </w:r>
      <w:r w:rsidRPr="00756AF1">
        <w:rPr>
          <w:rFonts w:ascii="Arial" w:hAnsi="Arial" w:cs="Arial"/>
          <w:lang w:val="es-ES"/>
        </w:rPr>
        <w:t>(3), 426-437. https://doi.org/10.2134/agronj2008.0139s</w:t>
      </w:r>
    </w:p>
    <w:p w14:paraId="15ED6D1D" w14:textId="77777777" w:rsidR="00CF35ED" w:rsidRPr="00756AF1" w:rsidRDefault="00CF35ED" w:rsidP="00CF35ED">
      <w:pPr>
        <w:pStyle w:val="Bibliografa"/>
        <w:rPr>
          <w:rFonts w:ascii="Arial" w:hAnsi="Arial" w:cs="Arial"/>
        </w:rPr>
      </w:pPr>
      <w:r w:rsidRPr="00756AF1">
        <w:rPr>
          <w:rFonts w:ascii="Arial" w:hAnsi="Arial" w:cs="Arial"/>
          <w:lang w:val="es-ES"/>
        </w:rPr>
        <w:t xml:space="preserve">Tavares Antunes, P., Vaz-Tostes, M. das G., Tomáz Sant’Ana, C., Araújo de Faria, R., Lopes Toledo, R. C., &amp; Brunoro Costa, N. M. (2019). </w:t>
      </w:r>
      <w:r w:rsidRPr="00756AF1">
        <w:rPr>
          <w:rFonts w:ascii="Arial" w:hAnsi="Arial" w:cs="Arial"/>
        </w:rPr>
        <w:t xml:space="preserve">Bioavailability of Iron and the Influence of Vitamin a in Biofortified Foods. </w:t>
      </w:r>
      <w:r w:rsidRPr="00756AF1">
        <w:rPr>
          <w:rFonts w:ascii="Arial" w:hAnsi="Arial" w:cs="Arial"/>
          <w:i/>
          <w:iCs/>
        </w:rPr>
        <w:t>Agronomy</w:t>
      </w:r>
      <w:r w:rsidRPr="00756AF1">
        <w:rPr>
          <w:rFonts w:ascii="Arial" w:hAnsi="Arial" w:cs="Arial"/>
        </w:rPr>
        <w:t xml:space="preserve">, </w:t>
      </w:r>
      <w:r w:rsidRPr="00756AF1">
        <w:rPr>
          <w:rFonts w:ascii="Arial" w:hAnsi="Arial" w:cs="Arial"/>
          <w:i/>
          <w:iCs/>
        </w:rPr>
        <w:t>9</w:t>
      </w:r>
      <w:r w:rsidRPr="00756AF1">
        <w:rPr>
          <w:rFonts w:ascii="Arial" w:hAnsi="Arial" w:cs="Arial"/>
        </w:rPr>
        <w:t>(12), 777. https://doi.org/10.3390/agronomy9120777</w:t>
      </w:r>
    </w:p>
    <w:p w14:paraId="507FB160" w14:textId="77777777" w:rsidR="00CF35ED" w:rsidRPr="00756AF1" w:rsidRDefault="00CF35ED" w:rsidP="00CF35ED">
      <w:pPr>
        <w:pStyle w:val="Bibliografa"/>
        <w:rPr>
          <w:rFonts w:ascii="Arial" w:hAnsi="Arial" w:cs="Arial"/>
        </w:rPr>
      </w:pPr>
      <w:r w:rsidRPr="00756AF1">
        <w:rPr>
          <w:rFonts w:ascii="Arial" w:hAnsi="Arial" w:cs="Arial"/>
        </w:rPr>
        <w:lastRenderedPageBreak/>
        <w:t xml:space="preserve">Tofa, A. I., Chiezey, U. F., Babaji, B. A., Kamara, A. Y., Adnan, A. A., Beah, A., &amp; Adam, A. M. (2020). Modeling Planting-Date Effects on Intermediate-Maturing Maize in Contrasting Environments in the Nigerian Savanna: An Application of DSSAT Model. </w:t>
      </w:r>
      <w:r w:rsidRPr="00756AF1">
        <w:rPr>
          <w:rFonts w:ascii="Arial" w:hAnsi="Arial" w:cs="Arial"/>
          <w:i/>
          <w:iCs/>
        </w:rPr>
        <w:t>Agronomy</w:t>
      </w:r>
      <w:r w:rsidRPr="00756AF1">
        <w:rPr>
          <w:rFonts w:ascii="Arial" w:hAnsi="Arial" w:cs="Arial"/>
        </w:rPr>
        <w:t xml:space="preserve">, </w:t>
      </w:r>
      <w:r w:rsidRPr="00756AF1">
        <w:rPr>
          <w:rFonts w:ascii="Arial" w:hAnsi="Arial" w:cs="Arial"/>
          <w:i/>
          <w:iCs/>
        </w:rPr>
        <w:t>10</w:t>
      </w:r>
      <w:r w:rsidRPr="00756AF1">
        <w:rPr>
          <w:rFonts w:ascii="Arial" w:hAnsi="Arial" w:cs="Arial"/>
        </w:rPr>
        <w:t>(6), Article 6. https://doi.org/10.3390/agronomy10060871</w:t>
      </w:r>
    </w:p>
    <w:p w14:paraId="4DC4806C" w14:textId="77777777" w:rsidR="00CF35ED" w:rsidRPr="00756AF1" w:rsidRDefault="00CF35ED" w:rsidP="00CF35ED">
      <w:pPr>
        <w:pStyle w:val="Bibliografa"/>
        <w:rPr>
          <w:rFonts w:ascii="Arial" w:hAnsi="Arial" w:cs="Arial"/>
        </w:rPr>
      </w:pPr>
      <w:r w:rsidRPr="00756AF1">
        <w:rPr>
          <w:rFonts w:ascii="Arial" w:hAnsi="Arial" w:cs="Arial"/>
        </w:rPr>
        <w:t xml:space="preserve">van Ittersum, M. K., Leffelaar, P. A., van Keulen, H., Kropff, M. J., Bastiaans, L., &amp; Goudriaan, J. (2003). On approaches and applications of the Wageningen crop models. </w:t>
      </w:r>
      <w:r w:rsidRPr="00756AF1">
        <w:rPr>
          <w:rFonts w:ascii="Arial" w:hAnsi="Arial" w:cs="Arial"/>
          <w:i/>
          <w:iCs/>
        </w:rPr>
        <w:t>European Journal of Agronomy</w:t>
      </w:r>
      <w:r w:rsidRPr="00756AF1">
        <w:rPr>
          <w:rFonts w:ascii="Arial" w:hAnsi="Arial" w:cs="Arial"/>
        </w:rPr>
        <w:t xml:space="preserve">, </w:t>
      </w:r>
      <w:r w:rsidRPr="00756AF1">
        <w:rPr>
          <w:rFonts w:ascii="Arial" w:hAnsi="Arial" w:cs="Arial"/>
          <w:i/>
          <w:iCs/>
        </w:rPr>
        <w:t>18</w:t>
      </w:r>
      <w:r w:rsidRPr="00756AF1">
        <w:rPr>
          <w:rFonts w:ascii="Arial" w:hAnsi="Arial" w:cs="Arial"/>
        </w:rPr>
        <w:t>(3), 201-234. https://doi.org/10.1016/S1161-0301(02)00106-5</w:t>
      </w:r>
    </w:p>
    <w:p w14:paraId="067F9331" w14:textId="77777777" w:rsidR="00CF35ED" w:rsidRPr="00756AF1" w:rsidRDefault="00CF35ED" w:rsidP="00CF35ED">
      <w:pPr>
        <w:pStyle w:val="Bibliografa"/>
        <w:rPr>
          <w:rFonts w:ascii="Arial" w:hAnsi="Arial" w:cs="Arial"/>
          <w:lang w:val="es-ES"/>
        </w:rPr>
      </w:pPr>
      <w:r w:rsidRPr="00756AF1">
        <w:rPr>
          <w:rFonts w:ascii="Arial" w:hAnsi="Arial" w:cs="Arial"/>
          <w:lang w:val="es-ES"/>
        </w:rPr>
        <w:t xml:space="preserve">Vázquez-Montenegro, R. J., Durán-Zarabozo, O., &amp; Baca, M. (2015). </w:t>
      </w:r>
      <w:r w:rsidRPr="00756AF1">
        <w:rPr>
          <w:rFonts w:ascii="Arial" w:hAnsi="Arial" w:cs="Arial"/>
          <w:i/>
          <w:iCs/>
          <w:lang w:val="es-ES"/>
        </w:rPr>
        <w:t>Modelos de impacto en la agricultura teniendo en cuenta los escenarios de la agricultura del cambio climático</w:t>
      </w:r>
      <w:r w:rsidRPr="00756AF1">
        <w:rPr>
          <w:rFonts w:ascii="Arial" w:hAnsi="Arial" w:cs="Arial"/>
          <w:lang w:val="es-ES"/>
        </w:rPr>
        <w:t>. https://doi.org/10.5377/ribcc.v1i1.2140</w:t>
      </w:r>
    </w:p>
    <w:p w14:paraId="673E7E1D" w14:textId="77777777" w:rsidR="00CF35ED" w:rsidRPr="00756AF1" w:rsidRDefault="00CF35ED" w:rsidP="00CF35ED">
      <w:pPr>
        <w:pStyle w:val="Bibliografa"/>
        <w:rPr>
          <w:rFonts w:ascii="Arial" w:hAnsi="Arial" w:cs="Arial"/>
        </w:rPr>
      </w:pPr>
      <w:r w:rsidRPr="00756AF1">
        <w:rPr>
          <w:rFonts w:ascii="Arial" w:hAnsi="Arial" w:cs="Arial"/>
        </w:rPr>
        <w:t xml:space="preserve">Waldrip, H. M., Casey, K. D., Todd, R. W., &amp; Parker, D. B. (2017). Nitrous Oxide Emissions from Southern High Plains Beef Cattle Feedyards: Measurement and Modeling. </w:t>
      </w:r>
      <w:r w:rsidRPr="00756AF1">
        <w:rPr>
          <w:rFonts w:ascii="Arial" w:hAnsi="Arial" w:cs="Arial"/>
          <w:i/>
          <w:iCs/>
        </w:rPr>
        <w:t>Transactions of the ASABE</w:t>
      </w:r>
      <w:r w:rsidRPr="00756AF1">
        <w:rPr>
          <w:rFonts w:ascii="Arial" w:hAnsi="Arial" w:cs="Arial"/>
        </w:rPr>
        <w:t xml:space="preserve">, </w:t>
      </w:r>
      <w:r w:rsidRPr="00756AF1">
        <w:rPr>
          <w:rFonts w:ascii="Arial" w:hAnsi="Arial" w:cs="Arial"/>
          <w:i/>
          <w:iCs/>
        </w:rPr>
        <w:t>60</w:t>
      </w:r>
      <w:r w:rsidRPr="00756AF1">
        <w:rPr>
          <w:rFonts w:ascii="Arial" w:hAnsi="Arial" w:cs="Arial"/>
        </w:rPr>
        <w:t>(4), 1209-1221. https://doi.org/10.13031/trans.12085</w:t>
      </w:r>
    </w:p>
    <w:p w14:paraId="5175C6FA" w14:textId="314B6F06" w:rsidR="00290892" w:rsidRPr="00756AF1" w:rsidRDefault="00CF35ED" w:rsidP="00F6075E">
      <w:pPr>
        <w:rPr>
          <w:rFonts w:ascii="Arial" w:hAnsi="Arial" w:cs="Arial"/>
        </w:rPr>
      </w:pPr>
      <w:r w:rsidRPr="00756AF1">
        <w:rPr>
          <w:rFonts w:ascii="Arial" w:hAnsi="Arial" w:cs="Arial"/>
        </w:rPr>
        <w:fldChar w:fldCharType="end"/>
      </w:r>
    </w:p>
    <w:sectPr w:rsidR="00290892" w:rsidRPr="00756AF1">
      <w:pgSz w:w="12240" w:h="15840"/>
      <w:pgMar w:top="1417" w:right="1701" w:bottom="1417"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271F16"/>
    <w:multiLevelType w:val="multilevel"/>
    <w:tmpl w:val="794839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EF27F46"/>
    <w:multiLevelType w:val="hybridMultilevel"/>
    <w:tmpl w:val="068ED094"/>
    <w:lvl w:ilvl="0" w:tplc="6FBAC2F0">
      <w:start w:val="1"/>
      <w:numFmt w:val="decimal"/>
      <w:lvlText w:val="%1."/>
      <w:lvlJc w:val="left"/>
      <w:pPr>
        <w:tabs>
          <w:tab w:val="num" w:pos="720"/>
        </w:tabs>
        <w:ind w:left="720" w:hanging="360"/>
      </w:pPr>
    </w:lvl>
    <w:lvl w:ilvl="1" w:tplc="E9D2E0A2" w:tentative="1">
      <w:start w:val="1"/>
      <w:numFmt w:val="decimal"/>
      <w:lvlText w:val="%2."/>
      <w:lvlJc w:val="left"/>
      <w:pPr>
        <w:tabs>
          <w:tab w:val="num" w:pos="1440"/>
        </w:tabs>
        <w:ind w:left="1440" w:hanging="360"/>
      </w:pPr>
    </w:lvl>
    <w:lvl w:ilvl="2" w:tplc="6B9816A6" w:tentative="1">
      <w:start w:val="1"/>
      <w:numFmt w:val="decimal"/>
      <w:lvlText w:val="%3."/>
      <w:lvlJc w:val="left"/>
      <w:pPr>
        <w:tabs>
          <w:tab w:val="num" w:pos="2160"/>
        </w:tabs>
        <w:ind w:left="2160" w:hanging="360"/>
      </w:pPr>
    </w:lvl>
    <w:lvl w:ilvl="3" w:tplc="40CAD50E" w:tentative="1">
      <w:start w:val="1"/>
      <w:numFmt w:val="decimal"/>
      <w:lvlText w:val="%4."/>
      <w:lvlJc w:val="left"/>
      <w:pPr>
        <w:tabs>
          <w:tab w:val="num" w:pos="2880"/>
        </w:tabs>
        <w:ind w:left="2880" w:hanging="360"/>
      </w:pPr>
    </w:lvl>
    <w:lvl w:ilvl="4" w:tplc="12A00450" w:tentative="1">
      <w:start w:val="1"/>
      <w:numFmt w:val="decimal"/>
      <w:lvlText w:val="%5."/>
      <w:lvlJc w:val="left"/>
      <w:pPr>
        <w:tabs>
          <w:tab w:val="num" w:pos="3600"/>
        </w:tabs>
        <w:ind w:left="3600" w:hanging="360"/>
      </w:pPr>
    </w:lvl>
    <w:lvl w:ilvl="5" w:tplc="E3049EFE" w:tentative="1">
      <w:start w:val="1"/>
      <w:numFmt w:val="decimal"/>
      <w:lvlText w:val="%6."/>
      <w:lvlJc w:val="left"/>
      <w:pPr>
        <w:tabs>
          <w:tab w:val="num" w:pos="4320"/>
        </w:tabs>
        <w:ind w:left="4320" w:hanging="360"/>
      </w:pPr>
    </w:lvl>
    <w:lvl w:ilvl="6" w:tplc="F148E45E" w:tentative="1">
      <w:start w:val="1"/>
      <w:numFmt w:val="decimal"/>
      <w:lvlText w:val="%7."/>
      <w:lvlJc w:val="left"/>
      <w:pPr>
        <w:tabs>
          <w:tab w:val="num" w:pos="5040"/>
        </w:tabs>
        <w:ind w:left="5040" w:hanging="360"/>
      </w:pPr>
    </w:lvl>
    <w:lvl w:ilvl="7" w:tplc="B00C717C" w:tentative="1">
      <w:start w:val="1"/>
      <w:numFmt w:val="decimal"/>
      <w:lvlText w:val="%8."/>
      <w:lvlJc w:val="left"/>
      <w:pPr>
        <w:tabs>
          <w:tab w:val="num" w:pos="5760"/>
        </w:tabs>
        <w:ind w:left="5760" w:hanging="360"/>
      </w:pPr>
    </w:lvl>
    <w:lvl w:ilvl="8" w:tplc="2B744CCC" w:tentative="1">
      <w:start w:val="1"/>
      <w:numFmt w:val="decimal"/>
      <w:lvlText w:val="%9."/>
      <w:lvlJc w:val="left"/>
      <w:pPr>
        <w:tabs>
          <w:tab w:val="num" w:pos="6480"/>
        </w:tabs>
        <w:ind w:left="6480" w:hanging="360"/>
      </w:pPr>
    </w:lvl>
  </w:abstractNum>
  <w:abstractNum w:abstractNumId="2" w15:restartNumberingAfterBreak="0">
    <w:nsid w:val="19324B48"/>
    <w:multiLevelType w:val="hybridMultilevel"/>
    <w:tmpl w:val="B0202D14"/>
    <w:lvl w:ilvl="0" w:tplc="B01C98E4">
      <w:start w:val="1"/>
      <w:numFmt w:val="decimal"/>
      <w:lvlText w:val="%1."/>
      <w:lvlJc w:val="left"/>
      <w:pPr>
        <w:tabs>
          <w:tab w:val="num" w:pos="720"/>
        </w:tabs>
        <w:ind w:left="720" w:hanging="360"/>
      </w:pPr>
    </w:lvl>
    <w:lvl w:ilvl="1" w:tplc="EC32C90E" w:tentative="1">
      <w:start w:val="1"/>
      <w:numFmt w:val="decimal"/>
      <w:lvlText w:val="%2."/>
      <w:lvlJc w:val="left"/>
      <w:pPr>
        <w:tabs>
          <w:tab w:val="num" w:pos="1440"/>
        </w:tabs>
        <w:ind w:left="1440" w:hanging="360"/>
      </w:pPr>
    </w:lvl>
    <w:lvl w:ilvl="2" w:tplc="B0CE7584" w:tentative="1">
      <w:start w:val="1"/>
      <w:numFmt w:val="decimal"/>
      <w:lvlText w:val="%3."/>
      <w:lvlJc w:val="left"/>
      <w:pPr>
        <w:tabs>
          <w:tab w:val="num" w:pos="2160"/>
        </w:tabs>
        <w:ind w:left="2160" w:hanging="360"/>
      </w:pPr>
    </w:lvl>
    <w:lvl w:ilvl="3" w:tplc="EAE60D32" w:tentative="1">
      <w:start w:val="1"/>
      <w:numFmt w:val="decimal"/>
      <w:lvlText w:val="%4."/>
      <w:lvlJc w:val="left"/>
      <w:pPr>
        <w:tabs>
          <w:tab w:val="num" w:pos="2880"/>
        </w:tabs>
        <w:ind w:left="2880" w:hanging="360"/>
      </w:pPr>
    </w:lvl>
    <w:lvl w:ilvl="4" w:tplc="9CC4BA4E" w:tentative="1">
      <w:start w:val="1"/>
      <w:numFmt w:val="decimal"/>
      <w:lvlText w:val="%5."/>
      <w:lvlJc w:val="left"/>
      <w:pPr>
        <w:tabs>
          <w:tab w:val="num" w:pos="3600"/>
        </w:tabs>
        <w:ind w:left="3600" w:hanging="360"/>
      </w:pPr>
    </w:lvl>
    <w:lvl w:ilvl="5" w:tplc="DF2E7AB8" w:tentative="1">
      <w:start w:val="1"/>
      <w:numFmt w:val="decimal"/>
      <w:lvlText w:val="%6."/>
      <w:lvlJc w:val="left"/>
      <w:pPr>
        <w:tabs>
          <w:tab w:val="num" w:pos="4320"/>
        </w:tabs>
        <w:ind w:left="4320" w:hanging="360"/>
      </w:pPr>
    </w:lvl>
    <w:lvl w:ilvl="6" w:tplc="77A693D8" w:tentative="1">
      <w:start w:val="1"/>
      <w:numFmt w:val="decimal"/>
      <w:lvlText w:val="%7."/>
      <w:lvlJc w:val="left"/>
      <w:pPr>
        <w:tabs>
          <w:tab w:val="num" w:pos="5040"/>
        </w:tabs>
        <w:ind w:left="5040" w:hanging="360"/>
      </w:pPr>
    </w:lvl>
    <w:lvl w:ilvl="7" w:tplc="6B68ECB0" w:tentative="1">
      <w:start w:val="1"/>
      <w:numFmt w:val="decimal"/>
      <w:lvlText w:val="%8."/>
      <w:lvlJc w:val="left"/>
      <w:pPr>
        <w:tabs>
          <w:tab w:val="num" w:pos="5760"/>
        </w:tabs>
        <w:ind w:left="5760" w:hanging="360"/>
      </w:pPr>
    </w:lvl>
    <w:lvl w:ilvl="8" w:tplc="B2AA93D4" w:tentative="1">
      <w:start w:val="1"/>
      <w:numFmt w:val="decimal"/>
      <w:lvlText w:val="%9."/>
      <w:lvlJc w:val="left"/>
      <w:pPr>
        <w:tabs>
          <w:tab w:val="num" w:pos="6480"/>
        </w:tabs>
        <w:ind w:left="6480" w:hanging="360"/>
      </w:pPr>
    </w:lvl>
  </w:abstractNum>
  <w:abstractNum w:abstractNumId="3" w15:restartNumberingAfterBreak="0">
    <w:nsid w:val="596D747E"/>
    <w:multiLevelType w:val="multilevel"/>
    <w:tmpl w:val="C09826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C662113"/>
    <w:multiLevelType w:val="hybridMultilevel"/>
    <w:tmpl w:val="FA74F8CC"/>
    <w:lvl w:ilvl="0" w:tplc="46243F90">
      <w:start w:val="1"/>
      <w:numFmt w:val="bullet"/>
      <w:lvlText w:val="•"/>
      <w:lvlJc w:val="left"/>
      <w:pPr>
        <w:tabs>
          <w:tab w:val="num" w:pos="720"/>
        </w:tabs>
        <w:ind w:left="720" w:hanging="360"/>
      </w:pPr>
      <w:rPr>
        <w:rFonts w:ascii="Times New Roman" w:hAnsi="Times New Roman" w:hint="default"/>
      </w:rPr>
    </w:lvl>
    <w:lvl w:ilvl="1" w:tplc="ECFE77AE" w:tentative="1">
      <w:start w:val="1"/>
      <w:numFmt w:val="bullet"/>
      <w:lvlText w:val="•"/>
      <w:lvlJc w:val="left"/>
      <w:pPr>
        <w:tabs>
          <w:tab w:val="num" w:pos="1440"/>
        </w:tabs>
        <w:ind w:left="1440" w:hanging="360"/>
      </w:pPr>
      <w:rPr>
        <w:rFonts w:ascii="Times New Roman" w:hAnsi="Times New Roman" w:hint="default"/>
      </w:rPr>
    </w:lvl>
    <w:lvl w:ilvl="2" w:tplc="F37A156A" w:tentative="1">
      <w:start w:val="1"/>
      <w:numFmt w:val="bullet"/>
      <w:lvlText w:val="•"/>
      <w:lvlJc w:val="left"/>
      <w:pPr>
        <w:tabs>
          <w:tab w:val="num" w:pos="2160"/>
        </w:tabs>
        <w:ind w:left="2160" w:hanging="360"/>
      </w:pPr>
      <w:rPr>
        <w:rFonts w:ascii="Times New Roman" w:hAnsi="Times New Roman" w:hint="default"/>
      </w:rPr>
    </w:lvl>
    <w:lvl w:ilvl="3" w:tplc="FCCE14CA" w:tentative="1">
      <w:start w:val="1"/>
      <w:numFmt w:val="bullet"/>
      <w:lvlText w:val="•"/>
      <w:lvlJc w:val="left"/>
      <w:pPr>
        <w:tabs>
          <w:tab w:val="num" w:pos="2880"/>
        </w:tabs>
        <w:ind w:left="2880" w:hanging="360"/>
      </w:pPr>
      <w:rPr>
        <w:rFonts w:ascii="Times New Roman" w:hAnsi="Times New Roman" w:hint="default"/>
      </w:rPr>
    </w:lvl>
    <w:lvl w:ilvl="4" w:tplc="F6CA364A" w:tentative="1">
      <w:start w:val="1"/>
      <w:numFmt w:val="bullet"/>
      <w:lvlText w:val="•"/>
      <w:lvlJc w:val="left"/>
      <w:pPr>
        <w:tabs>
          <w:tab w:val="num" w:pos="3600"/>
        </w:tabs>
        <w:ind w:left="3600" w:hanging="360"/>
      </w:pPr>
      <w:rPr>
        <w:rFonts w:ascii="Times New Roman" w:hAnsi="Times New Roman" w:hint="default"/>
      </w:rPr>
    </w:lvl>
    <w:lvl w:ilvl="5" w:tplc="2104ED1E" w:tentative="1">
      <w:start w:val="1"/>
      <w:numFmt w:val="bullet"/>
      <w:lvlText w:val="•"/>
      <w:lvlJc w:val="left"/>
      <w:pPr>
        <w:tabs>
          <w:tab w:val="num" w:pos="4320"/>
        </w:tabs>
        <w:ind w:left="4320" w:hanging="360"/>
      </w:pPr>
      <w:rPr>
        <w:rFonts w:ascii="Times New Roman" w:hAnsi="Times New Roman" w:hint="default"/>
      </w:rPr>
    </w:lvl>
    <w:lvl w:ilvl="6" w:tplc="5F803590" w:tentative="1">
      <w:start w:val="1"/>
      <w:numFmt w:val="bullet"/>
      <w:lvlText w:val="•"/>
      <w:lvlJc w:val="left"/>
      <w:pPr>
        <w:tabs>
          <w:tab w:val="num" w:pos="5040"/>
        </w:tabs>
        <w:ind w:left="5040" w:hanging="360"/>
      </w:pPr>
      <w:rPr>
        <w:rFonts w:ascii="Times New Roman" w:hAnsi="Times New Roman" w:hint="default"/>
      </w:rPr>
    </w:lvl>
    <w:lvl w:ilvl="7" w:tplc="3F02B226" w:tentative="1">
      <w:start w:val="1"/>
      <w:numFmt w:val="bullet"/>
      <w:lvlText w:val="•"/>
      <w:lvlJc w:val="left"/>
      <w:pPr>
        <w:tabs>
          <w:tab w:val="num" w:pos="5760"/>
        </w:tabs>
        <w:ind w:left="5760" w:hanging="360"/>
      </w:pPr>
      <w:rPr>
        <w:rFonts w:ascii="Times New Roman" w:hAnsi="Times New Roman" w:hint="default"/>
      </w:rPr>
    </w:lvl>
    <w:lvl w:ilvl="8" w:tplc="F57888FC" w:tentative="1">
      <w:start w:val="1"/>
      <w:numFmt w:val="bullet"/>
      <w:lvlText w:val="•"/>
      <w:lvlJc w:val="left"/>
      <w:pPr>
        <w:tabs>
          <w:tab w:val="num" w:pos="6480"/>
        </w:tabs>
        <w:ind w:left="6480" w:hanging="360"/>
      </w:pPr>
      <w:rPr>
        <w:rFonts w:ascii="Times New Roman" w:hAnsi="Times New Roman" w:hint="default"/>
      </w:rPr>
    </w:lvl>
  </w:abstractNum>
  <w:num w:numId="1">
    <w:abstractNumId w:val="4"/>
  </w:num>
  <w:num w:numId="2">
    <w:abstractNumId w:val="1"/>
  </w:num>
  <w:num w:numId="3">
    <w:abstractNumId w:val="2"/>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7230F"/>
    <w:rsid w:val="00012673"/>
    <w:rsid w:val="00043B8B"/>
    <w:rsid w:val="0004442F"/>
    <w:rsid w:val="000552A9"/>
    <w:rsid w:val="00085983"/>
    <w:rsid w:val="00094DF2"/>
    <w:rsid w:val="000A56B6"/>
    <w:rsid w:val="000C6C9C"/>
    <w:rsid w:val="000D26E2"/>
    <w:rsid w:val="000E06D3"/>
    <w:rsid w:val="001425CF"/>
    <w:rsid w:val="00153EEB"/>
    <w:rsid w:val="00164F1A"/>
    <w:rsid w:val="00182CA4"/>
    <w:rsid w:val="00187767"/>
    <w:rsid w:val="001B1398"/>
    <w:rsid w:val="001B70F8"/>
    <w:rsid w:val="001E3676"/>
    <w:rsid w:val="001F0EE5"/>
    <w:rsid w:val="001F532C"/>
    <w:rsid w:val="00206BE7"/>
    <w:rsid w:val="00206E45"/>
    <w:rsid w:val="00207C86"/>
    <w:rsid w:val="002221F3"/>
    <w:rsid w:val="00253EF1"/>
    <w:rsid w:val="00290892"/>
    <w:rsid w:val="00316630"/>
    <w:rsid w:val="003308FF"/>
    <w:rsid w:val="003454BE"/>
    <w:rsid w:val="00360992"/>
    <w:rsid w:val="00375550"/>
    <w:rsid w:val="00395973"/>
    <w:rsid w:val="003B3D66"/>
    <w:rsid w:val="003E0009"/>
    <w:rsid w:val="003F1D31"/>
    <w:rsid w:val="00400BC0"/>
    <w:rsid w:val="00423605"/>
    <w:rsid w:val="004B42A6"/>
    <w:rsid w:val="004D2233"/>
    <w:rsid w:val="004E45BF"/>
    <w:rsid w:val="005044BB"/>
    <w:rsid w:val="00541BA3"/>
    <w:rsid w:val="00562701"/>
    <w:rsid w:val="0057690D"/>
    <w:rsid w:val="0059005D"/>
    <w:rsid w:val="005A7D8F"/>
    <w:rsid w:val="005B0725"/>
    <w:rsid w:val="005C0D32"/>
    <w:rsid w:val="00620422"/>
    <w:rsid w:val="00620EE8"/>
    <w:rsid w:val="0064450D"/>
    <w:rsid w:val="00664BF8"/>
    <w:rsid w:val="0074089B"/>
    <w:rsid w:val="00756AF1"/>
    <w:rsid w:val="007822CC"/>
    <w:rsid w:val="007C3F83"/>
    <w:rsid w:val="00802D54"/>
    <w:rsid w:val="00811EF5"/>
    <w:rsid w:val="008327BF"/>
    <w:rsid w:val="00887619"/>
    <w:rsid w:val="00890F7C"/>
    <w:rsid w:val="008A5538"/>
    <w:rsid w:val="008B2401"/>
    <w:rsid w:val="00903266"/>
    <w:rsid w:val="00904F5C"/>
    <w:rsid w:val="00982367"/>
    <w:rsid w:val="009A1C8A"/>
    <w:rsid w:val="00A0085F"/>
    <w:rsid w:val="00A064BC"/>
    <w:rsid w:val="00A41C44"/>
    <w:rsid w:val="00A441E1"/>
    <w:rsid w:val="00A7071B"/>
    <w:rsid w:val="00A7230F"/>
    <w:rsid w:val="00A75E6B"/>
    <w:rsid w:val="00A80413"/>
    <w:rsid w:val="00AB1550"/>
    <w:rsid w:val="00AD5FE3"/>
    <w:rsid w:val="00AF2EA5"/>
    <w:rsid w:val="00B31295"/>
    <w:rsid w:val="00B72E40"/>
    <w:rsid w:val="00B86C83"/>
    <w:rsid w:val="00BA74BD"/>
    <w:rsid w:val="00BC6932"/>
    <w:rsid w:val="00C23AAF"/>
    <w:rsid w:val="00C275AA"/>
    <w:rsid w:val="00C31F66"/>
    <w:rsid w:val="00C704DE"/>
    <w:rsid w:val="00CA7A0B"/>
    <w:rsid w:val="00CB7F76"/>
    <w:rsid w:val="00CC733C"/>
    <w:rsid w:val="00CF35ED"/>
    <w:rsid w:val="00D72A08"/>
    <w:rsid w:val="00DB0E1E"/>
    <w:rsid w:val="00DC378F"/>
    <w:rsid w:val="00E41F62"/>
    <w:rsid w:val="00E426E9"/>
    <w:rsid w:val="00E55149"/>
    <w:rsid w:val="00E5645E"/>
    <w:rsid w:val="00E90B68"/>
    <w:rsid w:val="00EC3120"/>
    <w:rsid w:val="00ED1D5E"/>
    <w:rsid w:val="00ED446B"/>
    <w:rsid w:val="00ED65EE"/>
    <w:rsid w:val="00F27124"/>
    <w:rsid w:val="00F6075E"/>
    <w:rsid w:val="00F7212D"/>
    <w:rsid w:val="00F91B3A"/>
    <w:rsid w:val="00F9485E"/>
    <w:rsid w:val="00FB431C"/>
    <w:rsid w:val="00FC6729"/>
    <w:rsid w:val="00FF24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FC1230"/>
  <w15:chartTrackingRefBased/>
  <w15:docId w15:val="{6B26A1CC-2FF5-452A-A47F-2DB1C7B7F2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link w:val="Ttulo1Car"/>
    <w:uiPriority w:val="9"/>
    <w:qFormat/>
    <w:rsid w:val="00360992"/>
    <w:pPr>
      <w:spacing w:before="100" w:beforeAutospacing="1" w:after="100" w:afterAutospacing="1" w:line="240" w:lineRule="auto"/>
      <w:outlineLvl w:val="0"/>
    </w:pPr>
    <w:rPr>
      <w:rFonts w:ascii="Arial" w:eastAsia="Times New Roman" w:hAnsi="Arial" w:cs="Times New Roman"/>
      <w:b/>
      <w:bCs/>
      <w:kern w:val="36"/>
      <w:sz w:val="32"/>
      <w:szCs w:val="48"/>
      <w:lang w:val="es-ES" w:eastAsia="es-ES"/>
    </w:rPr>
  </w:style>
  <w:style w:type="paragraph" w:styleId="Ttulo2">
    <w:name w:val="heading 2"/>
    <w:basedOn w:val="Normal"/>
    <w:link w:val="Ttulo2Car"/>
    <w:uiPriority w:val="9"/>
    <w:qFormat/>
    <w:rsid w:val="00360992"/>
    <w:pPr>
      <w:spacing w:before="100" w:beforeAutospacing="1" w:after="100" w:afterAutospacing="1" w:line="240" w:lineRule="auto"/>
      <w:outlineLvl w:val="1"/>
    </w:pPr>
    <w:rPr>
      <w:rFonts w:ascii="Arial" w:eastAsia="Times New Roman" w:hAnsi="Arial" w:cs="Times New Roman"/>
      <w:b/>
      <w:bCs/>
      <w:sz w:val="28"/>
      <w:szCs w:val="36"/>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253EF1"/>
    <w:pPr>
      <w:ind w:left="720"/>
      <w:contextualSpacing/>
    </w:pPr>
  </w:style>
  <w:style w:type="character" w:styleId="Hipervnculo">
    <w:name w:val="Hyperlink"/>
    <w:basedOn w:val="Fuentedeprrafopredeter"/>
    <w:uiPriority w:val="99"/>
    <w:unhideWhenUsed/>
    <w:rsid w:val="007822CC"/>
    <w:rPr>
      <w:color w:val="0563C1" w:themeColor="hyperlink"/>
      <w:u w:val="single"/>
    </w:rPr>
  </w:style>
  <w:style w:type="paragraph" w:styleId="NormalWeb">
    <w:name w:val="Normal (Web)"/>
    <w:basedOn w:val="Normal"/>
    <w:uiPriority w:val="99"/>
    <w:unhideWhenUsed/>
    <w:rsid w:val="004B42A6"/>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styleId="nfasis">
    <w:name w:val="Emphasis"/>
    <w:basedOn w:val="Fuentedeprrafopredeter"/>
    <w:uiPriority w:val="20"/>
    <w:qFormat/>
    <w:rsid w:val="004B42A6"/>
    <w:rPr>
      <w:i/>
      <w:iCs/>
    </w:rPr>
  </w:style>
  <w:style w:type="character" w:customStyle="1" w:styleId="Ttulo1Car">
    <w:name w:val="Título 1 Car"/>
    <w:basedOn w:val="Fuentedeprrafopredeter"/>
    <w:link w:val="Ttulo1"/>
    <w:uiPriority w:val="9"/>
    <w:rsid w:val="00360992"/>
    <w:rPr>
      <w:rFonts w:ascii="Arial" w:eastAsia="Times New Roman" w:hAnsi="Arial" w:cs="Times New Roman"/>
      <w:b/>
      <w:bCs/>
      <w:kern w:val="36"/>
      <w:sz w:val="32"/>
      <w:szCs w:val="48"/>
      <w:lang w:val="es-ES" w:eastAsia="es-ES"/>
    </w:rPr>
  </w:style>
  <w:style w:type="character" w:customStyle="1" w:styleId="Ttulo2Car">
    <w:name w:val="Título 2 Car"/>
    <w:basedOn w:val="Fuentedeprrafopredeter"/>
    <w:link w:val="Ttulo2"/>
    <w:uiPriority w:val="9"/>
    <w:rsid w:val="00360992"/>
    <w:rPr>
      <w:rFonts w:ascii="Arial" w:eastAsia="Times New Roman" w:hAnsi="Arial" w:cs="Times New Roman"/>
      <w:b/>
      <w:bCs/>
      <w:sz w:val="28"/>
      <w:szCs w:val="36"/>
      <w:lang w:val="es-ES" w:eastAsia="es-ES"/>
    </w:rPr>
  </w:style>
  <w:style w:type="character" w:customStyle="1" w:styleId="anchor-text">
    <w:name w:val="anchor-text"/>
    <w:basedOn w:val="Fuentedeprrafopredeter"/>
    <w:rsid w:val="004B42A6"/>
  </w:style>
  <w:style w:type="character" w:customStyle="1" w:styleId="title-text">
    <w:name w:val="title-text"/>
    <w:basedOn w:val="Fuentedeprrafopredeter"/>
    <w:rsid w:val="004B42A6"/>
  </w:style>
  <w:style w:type="character" w:customStyle="1" w:styleId="sr-only">
    <w:name w:val="sr-only"/>
    <w:basedOn w:val="Fuentedeprrafopredeter"/>
    <w:rsid w:val="004B42A6"/>
  </w:style>
  <w:style w:type="character" w:customStyle="1" w:styleId="given-name">
    <w:name w:val="given-name"/>
    <w:basedOn w:val="Fuentedeprrafopredeter"/>
    <w:rsid w:val="004B42A6"/>
  </w:style>
  <w:style w:type="character" w:customStyle="1" w:styleId="text">
    <w:name w:val="text"/>
    <w:basedOn w:val="Fuentedeprrafopredeter"/>
    <w:rsid w:val="004B42A6"/>
  </w:style>
  <w:style w:type="character" w:customStyle="1" w:styleId="author-ref">
    <w:name w:val="author-ref"/>
    <w:basedOn w:val="Fuentedeprrafopredeter"/>
    <w:rsid w:val="004B42A6"/>
  </w:style>
  <w:style w:type="character" w:customStyle="1" w:styleId="button-link-text">
    <w:name w:val="button-link-text"/>
    <w:basedOn w:val="Fuentedeprrafopredeter"/>
    <w:rsid w:val="004B42A6"/>
  </w:style>
  <w:style w:type="character" w:styleId="Hipervnculovisitado">
    <w:name w:val="FollowedHyperlink"/>
    <w:basedOn w:val="Fuentedeprrafopredeter"/>
    <w:uiPriority w:val="99"/>
    <w:semiHidden/>
    <w:unhideWhenUsed/>
    <w:rsid w:val="00085983"/>
    <w:rPr>
      <w:color w:val="954F72" w:themeColor="followedHyperlink"/>
      <w:u w:val="single"/>
    </w:rPr>
  </w:style>
  <w:style w:type="paragraph" w:styleId="Bibliografa">
    <w:name w:val="Bibliography"/>
    <w:basedOn w:val="Normal"/>
    <w:next w:val="Normal"/>
    <w:uiPriority w:val="37"/>
    <w:unhideWhenUsed/>
    <w:rsid w:val="00360992"/>
    <w:pPr>
      <w:spacing w:after="0" w:line="480" w:lineRule="auto"/>
      <w:ind w:left="720" w:hanging="720"/>
    </w:pPr>
  </w:style>
  <w:style w:type="character" w:styleId="Mencinsinresolver">
    <w:name w:val="Unresolved Mention"/>
    <w:basedOn w:val="Fuentedeprrafopredeter"/>
    <w:uiPriority w:val="99"/>
    <w:semiHidden/>
    <w:unhideWhenUsed/>
    <w:rsid w:val="00E5645E"/>
    <w:rPr>
      <w:color w:val="605E5C"/>
      <w:shd w:val="clear" w:color="auto" w:fill="E1DFDD"/>
    </w:rPr>
  </w:style>
  <w:style w:type="character" w:customStyle="1" w:styleId="ai-text">
    <w:name w:val="ai-text"/>
    <w:basedOn w:val="Fuentedeprrafopredeter"/>
    <w:rsid w:val="00F6075E"/>
  </w:style>
  <w:style w:type="character" w:styleId="Textoennegrita">
    <w:name w:val="Strong"/>
    <w:basedOn w:val="Fuentedeprrafopredeter"/>
    <w:uiPriority w:val="22"/>
    <w:qFormat/>
    <w:rsid w:val="00F6075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1164750">
      <w:bodyDiv w:val="1"/>
      <w:marLeft w:val="0"/>
      <w:marRight w:val="0"/>
      <w:marTop w:val="0"/>
      <w:marBottom w:val="0"/>
      <w:divBdr>
        <w:top w:val="none" w:sz="0" w:space="0" w:color="auto"/>
        <w:left w:val="none" w:sz="0" w:space="0" w:color="auto"/>
        <w:bottom w:val="none" w:sz="0" w:space="0" w:color="auto"/>
        <w:right w:val="none" w:sz="0" w:space="0" w:color="auto"/>
      </w:divBdr>
    </w:div>
    <w:div w:id="177814836">
      <w:bodyDiv w:val="1"/>
      <w:marLeft w:val="0"/>
      <w:marRight w:val="0"/>
      <w:marTop w:val="0"/>
      <w:marBottom w:val="0"/>
      <w:divBdr>
        <w:top w:val="none" w:sz="0" w:space="0" w:color="auto"/>
        <w:left w:val="none" w:sz="0" w:space="0" w:color="auto"/>
        <w:bottom w:val="none" w:sz="0" w:space="0" w:color="auto"/>
        <w:right w:val="none" w:sz="0" w:space="0" w:color="auto"/>
      </w:divBdr>
    </w:div>
    <w:div w:id="197164005">
      <w:bodyDiv w:val="1"/>
      <w:marLeft w:val="0"/>
      <w:marRight w:val="0"/>
      <w:marTop w:val="0"/>
      <w:marBottom w:val="0"/>
      <w:divBdr>
        <w:top w:val="none" w:sz="0" w:space="0" w:color="auto"/>
        <w:left w:val="none" w:sz="0" w:space="0" w:color="auto"/>
        <w:bottom w:val="none" w:sz="0" w:space="0" w:color="auto"/>
        <w:right w:val="none" w:sz="0" w:space="0" w:color="auto"/>
      </w:divBdr>
    </w:div>
    <w:div w:id="398482083">
      <w:bodyDiv w:val="1"/>
      <w:marLeft w:val="0"/>
      <w:marRight w:val="0"/>
      <w:marTop w:val="0"/>
      <w:marBottom w:val="0"/>
      <w:divBdr>
        <w:top w:val="none" w:sz="0" w:space="0" w:color="auto"/>
        <w:left w:val="none" w:sz="0" w:space="0" w:color="auto"/>
        <w:bottom w:val="none" w:sz="0" w:space="0" w:color="auto"/>
        <w:right w:val="none" w:sz="0" w:space="0" w:color="auto"/>
      </w:divBdr>
    </w:div>
    <w:div w:id="510487196">
      <w:bodyDiv w:val="1"/>
      <w:marLeft w:val="0"/>
      <w:marRight w:val="0"/>
      <w:marTop w:val="0"/>
      <w:marBottom w:val="0"/>
      <w:divBdr>
        <w:top w:val="none" w:sz="0" w:space="0" w:color="auto"/>
        <w:left w:val="none" w:sz="0" w:space="0" w:color="auto"/>
        <w:bottom w:val="none" w:sz="0" w:space="0" w:color="auto"/>
        <w:right w:val="none" w:sz="0" w:space="0" w:color="auto"/>
      </w:divBdr>
    </w:div>
    <w:div w:id="599338476">
      <w:bodyDiv w:val="1"/>
      <w:marLeft w:val="0"/>
      <w:marRight w:val="0"/>
      <w:marTop w:val="0"/>
      <w:marBottom w:val="0"/>
      <w:divBdr>
        <w:top w:val="none" w:sz="0" w:space="0" w:color="auto"/>
        <w:left w:val="none" w:sz="0" w:space="0" w:color="auto"/>
        <w:bottom w:val="none" w:sz="0" w:space="0" w:color="auto"/>
        <w:right w:val="none" w:sz="0" w:space="0" w:color="auto"/>
      </w:divBdr>
    </w:div>
    <w:div w:id="614872066">
      <w:bodyDiv w:val="1"/>
      <w:marLeft w:val="0"/>
      <w:marRight w:val="0"/>
      <w:marTop w:val="0"/>
      <w:marBottom w:val="0"/>
      <w:divBdr>
        <w:top w:val="none" w:sz="0" w:space="0" w:color="auto"/>
        <w:left w:val="none" w:sz="0" w:space="0" w:color="auto"/>
        <w:bottom w:val="none" w:sz="0" w:space="0" w:color="auto"/>
        <w:right w:val="none" w:sz="0" w:space="0" w:color="auto"/>
      </w:divBdr>
    </w:div>
    <w:div w:id="668099440">
      <w:bodyDiv w:val="1"/>
      <w:marLeft w:val="0"/>
      <w:marRight w:val="0"/>
      <w:marTop w:val="0"/>
      <w:marBottom w:val="0"/>
      <w:divBdr>
        <w:top w:val="none" w:sz="0" w:space="0" w:color="auto"/>
        <w:left w:val="none" w:sz="0" w:space="0" w:color="auto"/>
        <w:bottom w:val="none" w:sz="0" w:space="0" w:color="auto"/>
        <w:right w:val="none" w:sz="0" w:space="0" w:color="auto"/>
      </w:divBdr>
      <w:divsChild>
        <w:div w:id="1465734920">
          <w:marLeft w:val="0"/>
          <w:marRight w:val="0"/>
          <w:marTop w:val="0"/>
          <w:marBottom w:val="0"/>
          <w:divBdr>
            <w:top w:val="none" w:sz="0" w:space="0" w:color="auto"/>
            <w:left w:val="none" w:sz="0" w:space="0" w:color="auto"/>
            <w:bottom w:val="none" w:sz="0" w:space="0" w:color="auto"/>
            <w:right w:val="none" w:sz="0" w:space="0" w:color="auto"/>
          </w:divBdr>
          <w:divsChild>
            <w:div w:id="158548452">
              <w:marLeft w:val="0"/>
              <w:marRight w:val="0"/>
              <w:marTop w:val="0"/>
              <w:marBottom w:val="0"/>
              <w:divBdr>
                <w:top w:val="none" w:sz="0" w:space="0" w:color="auto"/>
                <w:left w:val="none" w:sz="0" w:space="0" w:color="auto"/>
                <w:bottom w:val="none" w:sz="0" w:space="0" w:color="auto"/>
                <w:right w:val="none" w:sz="0" w:space="0" w:color="auto"/>
              </w:divBdr>
            </w:div>
          </w:divsChild>
        </w:div>
        <w:div w:id="2070839044">
          <w:marLeft w:val="0"/>
          <w:marRight w:val="0"/>
          <w:marTop w:val="0"/>
          <w:marBottom w:val="0"/>
          <w:divBdr>
            <w:top w:val="none" w:sz="0" w:space="0" w:color="auto"/>
            <w:left w:val="none" w:sz="0" w:space="0" w:color="auto"/>
            <w:bottom w:val="none" w:sz="0" w:space="0" w:color="auto"/>
            <w:right w:val="none" w:sz="0" w:space="0" w:color="auto"/>
          </w:divBdr>
          <w:divsChild>
            <w:div w:id="2088187838">
              <w:marLeft w:val="0"/>
              <w:marRight w:val="0"/>
              <w:marTop w:val="0"/>
              <w:marBottom w:val="0"/>
              <w:divBdr>
                <w:top w:val="none" w:sz="0" w:space="0" w:color="auto"/>
                <w:left w:val="none" w:sz="0" w:space="0" w:color="auto"/>
                <w:bottom w:val="none" w:sz="0" w:space="0" w:color="auto"/>
                <w:right w:val="none" w:sz="0" w:space="0" w:color="auto"/>
              </w:divBdr>
            </w:div>
            <w:div w:id="1232501053">
              <w:marLeft w:val="0"/>
              <w:marRight w:val="0"/>
              <w:marTop w:val="0"/>
              <w:marBottom w:val="0"/>
              <w:divBdr>
                <w:top w:val="none" w:sz="0" w:space="0" w:color="auto"/>
                <w:left w:val="none" w:sz="0" w:space="0" w:color="auto"/>
                <w:bottom w:val="none" w:sz="0" w:space="0" w:color="auto"/>
                <w:right w:val="none" w:sz="0" w:space="0" w:color="auto"/>
              </w:divBdr>
              <w:divsChild>
                <w:div w:id="215625766">
                  <w:marLeft w:val="0"/>
                  <w:marRight w:val="0"/>
                  <w:marTop w:val="0"/>
                  <w:marBottom w:val="0"/>
                  <w:divBdr>
                    <w:top w:val="none" w:sz="0" w:space="0" w:color="auto"/>
                    <w:left w:val="none" w:sz="0" w:space="0" w:color="auto"/>
                    <w:bottom w:val="none" w:sz="0" w:space="0" w:color="auto"/>
                    <w:right w:val="none" w:sz="0" w:space="0" w:color="auto"/>
                  </w:divBdr>
                </w:div>
              </w:divsChild>
            </w:div>
            <w:div w:id="1469203878">
              <w:marLeft w:val="0"/>
              <w:marRight w:val="0"/>
              <w:marTop w:val="0"/>
              <w:marBottom w:val="0"/>
              <w:divBdr>
                <w:top w:val="none" w:sz="0" w:space="0" w:color="auto"/>
                <w:left w:val="none" w:sz="0" w:space="0" w:color="auto"/>
                <w:bottom w:val="none" w:sz="0" w:space="0" w:color="auto"/>
                <w:right w:val="none" w:sz="0" w:space="0" w:color="auto"/>
              </w:divBdr>
            </w:div>
          </w:divsChild>
        </w:div>
        <w:div w:id="1507406717">
          <w:marLeft w:val="0"/>
          <w:marRight w:val="0"/>
          <w:marTop w:val="0"/>
          <w:marBottom w:val="0"/>
          <w:divBdr>
            <w:top w:val="none" w:sz="0" w:space="0" w:color="auto"/>
            <w:left w:val="none" w:sz="0" w:space="0" w:color="auto"/>
            <w:bottom w:val="none" w:sz="0" w:space="0" w:color="auto"/>
            <w:right w:val="none" w:sz="0" w:space="0" w:color="auto"/>
          </w:divBdr>
          <w:divsChild>
            <w:div w:id="258951409">
              <w:marLeft w:val="0"/>
              <w:marRight w:val="0"/>
              <w:marTop w:val="0"/>
              <w:marBottom w:val="0"/>
              <w:divBdr>
                <w:top w:val="none" w:sz="0" w:space="0" w:color="auto"/>
                <w:left w:val="none" w:sz="0" w:space="0" w:color="auto"/>
                <w:bottom w:val="none" w:sz="0" w:space="0" w:color="auto"/>
                <w:right w:val="none" w:sz="0" w:space="0" w:color="auto"/>
              </w:divBdr>
              <w:divsChild>
                <w:div w:id="1835760559">
                  <w:marLeft w:val="0"/>
                  <w:marRight w:val="0"/>
                  <w:marTop w:val="0"/>
                  <w:marBottom w:val="0"/>
                  <w:divBdr>
                    <w:top w:val="none" w:sz="0" w:space="0" w:color="auto"/>
                    <w:left w:val="none" w:sz="0" w:space="0" w:color="auto"/>
                    <w:bottom w:val="none" w:sz="0" w:space="0" w:color="auto"/>
                    <w:right w:val="none" w:sz="0" w:space="0" w:color="auto"/>
                  </w:divBdr>
                  <w:divsChild>
                    <w:div w:id="1893342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3213815">
          <w:marLeft w:val="0"/>
          <w:marRight w:val="0"/>
          <w:marTop w:val="0"/>
          <w:marBottom w:val="0"/>
          <w:divBdr>
            <w:top w:val="none" w:sz="0" w:space="0" w:color="auto"/>
            <w:left w:val="none" w:sz="0" w:space="0" w:color="auto"/>
            <w:bottom w:val="none" w:sz="0" w:space="0" w:color="auto"/>
            <w:right w:val="none" w:sz="0" w:space="0" w:color="auto"/>
          </w:divBdr>
          <w:divsChild>
            <w:div w:id="1733655586">
              <w:marLeft w:val="0"/>
              <w:marRight w:val="0"/>
              <w:marTop w:val="0"/>
              <w:marBottom w:val="0"/>
              <w:divBdr>
                <w:top w:val="none" w:sz="0" w:space="0" w:color="auto"/>
                <w:left w:val="none" w:sz="0" w:space="0" w:color="auto"/>
                <w:bottom w:val="none" w:sz="0" w:space="0" w:color="auto"/>
                <w:right w:val="none" w:sz="0" w:space="0" w:color="auto"/>
              </w:divBdr>
              <w:divsChild>
                <w:div w:id="1675525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9492376">
          <w:marLeft w:val="0"/>
          <w:marRight w:val="0"/>
          <w:marTop w:val="0"/>
          <w:marBottom w:val="0"/>
          <w:divBdr>
            <w:top w:val="none" w:sz="0" w:space="0" w:color="auto"/>
            <w:left w:val="none" w:sz="0" w:space="0" w:color="auto"/>
            <w:bottom w:val="none" w:sz="0" w:space="0" w:color="auto"/>
            <w:right w:val="none" w:sz="0" w:space="0" w:color="auto"/>
          </w:divBdr>
          <w:divsChild>
            <w:div w:id="2128962825">
              <w:marLeft w:val="0"/>
              <w:marRight w:val="0"/>
              <w:marTop w:val="0"/>
              <w:marBottom w:val="0"/>
              <w:divBdr>
                <w:top w:val="none" w:sz="0" w:space="0" w:color="auto"/>
                <w:left w:val="none" w:sz="0" w:space="0" w:color="auto"/>
                <w:bottom w:val="none" w:sz="0" w:space="0" w:color="auto"/>
                <w:right w:val="none" w:sz="0" w:space="0" w:color="auto"/>
              </w:divBdr>
              <w:divsChild>
                <w:div w:id="802969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69187">
          <w:marLeft w:val="0"/>
          <w:marRight w:val="0"/>
          <w:marTop w:val="0"/>
          <w:marBottom w:val="0"/>
          <w:divBdr>
            <w:top w:val="none" w:sz="0" w:space="0" w:color="auto"/>
            <w:left w:val="none" w:sz="0" w:space="0" w:color="auto"/>
            <w:bottom w:val="none" w:sz="0" w:space="0" w:color="auto"/>
            <w:right w:val="none" w:sz="0" w:space="0" w:color="auto"/>
          </w:divBdr>
          <w:divsChild>
            <w:div w:id="1687057470">
              <w:marLeft w:val="0"/>
              <w:marRight w:val="0"/>
              <w:marTop w:val="0"/>
              <w:marBottom w:val="0"/>
              <w:divBdr>
                <w:top w:val="none" w:sz="0" w:space="0" w:color="auto"/>
                <w:left w:val="none" w:sz="0" w:space="0" w:color="auto"/>
                <w:bottom w:val="none" w:sz="0" w:space="0" w:color="auto"/>
                <w:right w:val="none" w:sz="0" w:space="0" w:color="auto"/>
              </w:divBdr>
              <w:divsChild>
                <w:div w:id="1743723461">
                  <w:marLeft w:val="0"/>
                  <w:marRight w:val="0"/>
                  <w:marTop w:val="0"/>
                  <w:marBottom w:val="0"/>
                  <w:divBdr>
                    <w:top w:val="none" w:sz="0" w:space="0" w:color="auto"/>
                    <w:left w:val="none" w:sz="0" w:space="0" w:color="auto"/>
                    <w:bottom w:val="none" w:sz="0" w:space="0" w:color="auto"/>
                    <w:right w:val="none" w:sz="0" w:space="0" w:color="auto"/>
                  </w:divBdr>
                  <w:divsChild>
                    <w:div w:id="1317493375">
                      <w:marLeft w:val="0"/>
                      <w:marRight w:val="0"/>
                      <w:marTop w:val="0"/>
                      <w:marBottom w:val="0"/>
                      <w:divBdr>
                        <w:top w:val="none" w:sz="0" w:space="0" w:color="auto"/>
                        <w:left w:val="none" w:sz="0" w:space="0" w:color="auto"/>
                        <w:bottom w:val="none" w:sz="0" w:space="0" w:color="auto"/>
                        <w:right w:val="none" w:sz="0" w:space="0" w:color="auto"/>
                      </w:divBdr>
                      <w:divsChild>
                        <w:div w:id="1234656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8311179">
          <w:marLeft w:val="0"/>
          <w:marRight w:val="0"/>
          <w:marTop w:val="0"/>
          <w:marBottom w:val="0"/>
          <w:divBdr>
            <w:top w:val="none" w:sz="0" w:space="0" w:color="auto"/>
            <w:left w:val="none" w:sz="0" w:space="0" w:color="auto"/>
            <w:bottom w:val="none" w:sz="0" w:space="0" w:color="auto"/>
            <w:right w:val="none" w:sz="0" w:space="0" w:color="auto"/>
          </w:divBdr>
        </w:div>
        <w:div w:id="747003718">
          <w:marLeft w:val="0"/>
          <w:marRight w:val="0"/>
          <w:marTop w:val="0"/>
          <w:marBottom w:val="0"/>
          <w:divBdr>
            <w:top w:val="none" w:sz="0" w:space="0" w:color="auto"/>
            <w:left w:val="none" w:sz="0" w:space="0" w:color="auto"/>
            <w:bottom w:val="none" w:sz="0" w:space="0" w:color="auto"/>
            <w:right w:val="none" w:sz="0" w:space="0" w:color="auto"/>
          </w:divBdr>
          <w:divsChild>
            <w:div w:id="750855278">
              <w:marLeft w:val="0"/>
              <w:marRight w:val="0"/>
              <w:marTop w:val="0"/>
              <w:marBottom w:val="0"/>
              <w:divBdr>
                <w:top w:val="none" w:sz="0" w:space="0" w:color="auto"/>
                <w:left w:val="none" w:sz="0" w:space="0" w:color="auto"/>
                <w:bottom w:val="none" w:sz="0" w:space="0" w:color="auto"/>
                <w:right w:val="none" w:sz="0" w:space="0" w:color="auto"/>
              </w:divBdr>
              <w:divsChild>
                <w:div w:id="1885558871">
                  <w:marLeft w:val="0"/>
                  <w:marRight w:val="0"/>
                  <w:marTop w:val="0"/>
                  <w:marBottom w:val="0"/>
                  <w:divBdr>
                    <w:top w:val="none" w:sz="0" w:space="0" w:color="auto"/>
                    <w:left w:val="none" w:sz="0" w:space="0" w:color="auto"/>
                    <w:bottom w:val="none" w:sz="0" w:space="0" w:color="auto"/>
                    <w:right w:val="none" w:sz="0" w:space="0" w:color="auto"/>
                  </w:divBdr>
                  <w:divsChild>
                    <w:div w:id="411704171">
                      <w:marLeft w:val="0"/>
                      <w:marRight w:val="0"/>
                      <w:marTop w:val="0"/>
                      <w:marBottom w:val="0"/>
                      <w:divBdr>
                        <w:top w:val="none" w:sz="0" w:space="0" w:color="auto"/>
                        <w:left w:val="none" w:sz="0" w:space="0" w:color="auto"/>
                        <w:bottom w:val="none" w:sz="0" w:space="0" w:color="auto"/>
                        <w:right w:val="none" w:sz="0" w:space="0" w:color="auto"/>
                      </w:divBdr>
                      <w:divsChild>
                        <w:div w:id="814106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6240199">
          <w:marLeft w:val="0"/>
          <w:marRight w:val="0"/>
          <w:marTop w:val="0"/>
          <w:marBottom w:val="0"/>
          <w:divBdr>
            <w:top w:val="none" w:sz="0" w:space="0" w:color="auto"/>
            <w:left w:val="none" w:sz="0" w:space="0" w:color="auto"/>
            <w:bottom w:val="none" w:sz="0" w:space="0" w:color="auto"/>
            <w:right w:val="none" w:sz="0" w:space="0" w:color="auto"/>
          </w:divBdr>
          <w:divsChild>
            <w:div w:id="1229653363">
              <w:marLeft w:val="0"/>
              <w:marRight w:val="0"/>
              <w:marTop w:val="0"/>
              <w:marBottom w:val="0"/>
              <w:divBdr>
                <w:top w:val="none" w:sz="0" w:space="0" w:color="auto"/>
                <w:left w:val="none" w:sz="0" w:space="0" w:color="auto"/>
                <w:bottom w:val="none" w:sz="0" w:space="0" w:color="auto"/>
                <w:right w:val="none" w:sz="0" w:space="0" w:color="auto"/>
              </w:divBdr>
              <w:divsChild>
                <w:div w:id="354039121">
                  <w:marLeft w:val="0"/>
                  <w:marRight w:val="0"/>
                  <w:marTop w:val="0"/>
                  <w:marBottom w:val="0"/>
                  <w:divBdr>
                    <w:top w:val="none" w:sz="0" w:space="0" w:color="auto"/>
                    <w:left w:val="none" w:sz="0" w:space="0" w:color="auto"/>
                    <w:bottom w:val="none" w:sz="0" w:space="0" w:color="auto"/>
                    <w:right w:val="none" w:sz="0" w:space="0" w:color="auto"/>
                  </w:divBdr>
                </w:div>
                <w:div w:id="1830711512">
                  <w:marLeft w:val="0"/>
                  <w:marRight w:val="0"/>
                  <w:marTop w:val="0"/>
                  <w:marBottom w:val="0"/>
                  <w:divBdr>
                    <w:top w:val="none" w:sz="0" w:space="0" w:color="auto"/>
                    <w:left w:val="none" w:sz="0" w:space="0" w:color="auto"/>
                    <w:bottom w:val="none" w:sz="0" w:space="0" w:color="auto"/>
                    <w:right w:val="none" w:sz="0" w:space="0" w:color="auto"/>
                  </w:divBdr>
                </w:div>
                <w:div w:id="700517398">
                  <w:marLeft w:val="0"/>
                  <w:marRight w:val="0"/>
                  <w:marTop w:val="0"/>
                  <w:marBottom w:val="0"/>
                  <w:divBdr>
                    <w:top w:val="none" w:sz="0" w:space="0" w:color="auto"/>
                    <w:left w:val="none" w:sz="0" w:space="0" w:color="auto"/>
                    <w:bottom w:val="none" w:sz="0" w:space="0" w:color="auto"/>
                    <w:right w:val="none" w:sz="0" w:space="0" w:color="auto"/>
                  </w:divBdr>
                </w:div>
                <w:div w:id="556740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5754316">
      <w:bodyDiv w:val="1"/>
      <w:marLeft w:val="0"/>
      <w:marRight w:val="0"/>
      <w:marTop w:val="0"/>
      <w:marBottom w:val="0"/>
      <w:divBdr>
        <w:top w:val="none" w:sz="0" w:space="0" w:color="auto"/>
        <w:left w:val="none" w:sz="0" w:space="0" w:color="auto"/>
        <w:bottom w:val="none" w:sz="0" w:space="0" w:color="auto"/>
        <w:right w:val="none" w:sz="0" w:space="0" w:color="auto"/>
      </w:divBdr>
    </w:div>
    <w:div w:id="925109855">
      <w:bodyDiv w:val="1"/>
      <w:marLeft w:val="0"/>
      <w:marRight w:val="0"/>
      <w:marTop w:val="0"/>
      <w:marBottom w:val="0"/>
      <w:divBdr>
        <w:top w:val="none" w:sz="0" w:space="0" w:color="auto"/>
        <w:left w:val="none" w:sz="0" w:space="0" w:color="auto"/>
        <w:bottom w:val="none" w:sz="0" w:space="0" w:color="auto"/>
        <w:right w:val="none" w:sz="0" w:space="0" w:color="auto"/>
      </w:divBdr>
    </w:div>
    <w:div w:id="1067804047">
      <w:bodyDiv w:val="1"/>
      <w:marLeft w:val="0"/>
      <w:marRight w:val="0"/>
      <w:marTop w:val="0"/>
      <w:marBottom w:val="0"/>
      <w:divBdr>
        <w:top w:val="none" w:sz="0" w:space="0" w:color="auto"/>
        <w:left w:val="none" w:sz="0" w:space="0" w:color="auto"/>
        <w:bottom w:val="none" w:sz="0" w:space="0" w:color="auto"/>
        <w:right w:val="none" w:sz="0" w:space="0" w:color="auto"/>
      </w:divBdr>
    </w:div>
    <w:div w:id="1072503056">
      <w:bodyDiv w:val="1"/>
      <w:marLeft w:val="0"/>
      <w:marRight w:val="0"/>
      <w:marTop w:val="0"/>
      <w:marBottom w:val="0"/>
      <w:divBdr>
        <w:top w:val="none" w:sz="0" w:space="0" w:color="auto"/>
        <w:left w:val="none" w:sz="0" w:space="0" w:color="auto"/>
        <w:bottom w:val="none" w:sz="0" w:space="0" w:color="auto"/>
        <w:right w:val="none" w:sz="0" w:space="0" w:color="auto"/>
      </w:divBdr>
    </w:div>
    <w:div w:id="1115178340">
      <w:bodyDiv w:val="1"/>
      <w:marLeft w:val="0"/>
      <w:marRight w:val="0"/>
      <w:marTop w:val="0"/>
      <w:marBottom w:val="0"/>
      <w:divBdr>
        <w:top w:val="none" w:sz="0" w:space="0" w:color="auto"/>
        <w:left w:val="none" w:sz="0" w:space="0" w:color="auto"/>
        <w:bottom w:val="none" w:sz="0" w:space="0" w:color="auto"/>
        <w:right w:val="none" w:sz="0" w:space="0" w:color="auto"/>
      </w:divBdr>
    </w:div>
    <w:div w:id="1384137438">
      <w:bodyDiv w:val="1"/>
      <w:marLeft w:val="0"/>
      <w:marRight w:val="0"/>
      <w:marTop w:val="0"/>
      <w:marBottom w:val="0"/>
      <w:divBdr>
        <w:top w:val="none" w:sz="0" w:space="0" w:color="auto"/>
        <w:left w:val="none" w:sz="0" w:space="0" w:color="auto"/>
        <w:bottom w:val="none" w:sz="0" w:space="0" w:color="auto"/>
        <w:right w:val="none" w:sz="0" w:space="0" w:color="auto"/>
      </w:divBdr>
    </w:div>
    <w:div w:id="1795127497">
      <w:bodyDiv w:val="1"/>
      <w:marLeft w:val="0"/>
      <w:marRight w:val="0"/>
      <w:marTop w:val="0"/>
      <w:marBottom w:val="0"/>
      <w:divBdr>
        <w:top w:val="none" w:sz="0" w:space="0" w:color="auto"/>
        <w:left w:val="none" w:sz="0" w:space="0" w:color="auto"/>
        <w:bottom w:val="none" w:sz="0" w:space="0" w:color="auto"/>
        <w:right w:val="none" w:sz="0" w:space="0" w:color="auto"/>
      </w:divBdr>
    </w:div>
    <w:div w:id="1824349909">
      <w:bodyDiv w:val="1"/>
      <w:marLeft w:val="0"/>
      <w:marRight w:val="0"/>
      <w:marTop w:val="0"/>
      <w:marBottom w:val="0"/>
      <w:divBdr>
        <w:top w:val="none" w:sz="0" w:space="0" w:color="auto"/>
        <w:left w:val="none" w:sz="0" w:space="0" w:color="auto"/>
        <w:bottom w:val="none" w:sz="0" w:space="0" w:color="auto"/>
        <w:right w:val="none" w:sz="0" w:space="0" w:color="auto"/>
      </w:divBdr>
    </w:div>
    <w:div w:id="1947230649">
      <w:bodyDiv w:val="1"/>
      <w:marLeft w:val="0"/>
      <w:marRight w:val="0"/>
      <w:marTop w:val="0"/>
      <w:marBottom w:val="0"/>
      <w:divBdr>
        <w:top w:val="none" w:sz="0" w:space="0" w:color="auto"/>
        <w:left w:val="none" w:sz="0" w:space="0" w:color="auto"/>
        <w:bottom w:val="none" w:sz="0" w:space="0" w:color="auto"/>
        <w:right w:val="none" w:sz="0" w:space="0" w:color="auto"/>
      </w:divBdr>
    </w:div>
    <w:div w:id="2001542139">
      <w:bodyDiv w:val="1"/>
      <w:marLeft w:val="0"/>
      <w:marRight w:val="0"/>
      <w:marTop w:val="0"/>
      <w:marBottom w:val="0"/>
      <w:divBdr>
        <w:top w:val="none" w:sz="0" w:space="0" w:color="auto"/>
        <w:left w:val="none" w:sz="0" w:space="0" w:color="auto"/>
        <w:bottom w:val="none" w:sz="0" w:space="0" w:color="auto"/>
        <w:right w:val="none" w:sz="0" w:space="0" w:color="auto"/>
      </w:divBdr>
    </w:div>
    <w:div w:id="2050178197">
      <w:bodyDiv w:val="1"/>
      <w:marLeft w:val="0"/>
      <w:marRight w:val="0"/>
      <w:marTop w:val="0"/>
      <w:marBottom w:val="0"/>
      <w:divBdr>
        <w:top w:val="none" w:sz="0" w:space="0" w:color="auto"/>
        <w:left w:val="none" w:sz="0" w:space="0" w:color="auto"/>
        <w:bottom w:val="none" w:sz="0" w:space="0" w:color="auto"/>
        <w:right w:val="none" w:sz="0" w:space="0" w:color="auto"/>
      </w:divBdr>
    </w:div>
    <w:div w:id="2100983384">
      <w:bodyDiv w:val="1"/>
      <w:marLeft w:val="0"/>
      <w:marRight w:val="0"/>
      <w:marTop w:val="0"/>
      <w:marBottom w:val="0"/>
      <w:divBdr>
        <w:top w:val="none" w:sz="0" w:space="0" w:color="auto"/>
        <w:left w:val="none" w:sz="0" w:space="0" w:color="auto"/>
        <w:bottom w:val="none" w:sz="0" w:space="0" w:color="auto"/>
        <w:right w:val="none" w:sz="0" w:space="0" w:color="auto"/>
      </w:divBdr>
    </w:div>
    <w:div w:id="21084549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orcid.org/0000-0002-6480-9971"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orcid.org/0000-0003-4494-660X" TargetMode="External"/><Relationship Id="rId5" Type="http://schemas.openxmlformats.org/officeDocument/2006/relationships/hyperlink" Target="https://orcid.org/0009-0005-2267-5193"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504</TotalTime>
  <Pages>13</Pages>
  <Words>19300</Words>
  <Characters>106150</Characters>
  <Application>Microsoft Office Word</Application>
  <DocSecurity>0</DocSecurity>
  <Lines>884</Lines>
  <Paragraphs>250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125200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Daniel Fernández Sotolongo</cp:lastModifiedBy>
  <cp:revision>11</cp:revision>
  <cp:lastPrinted>2025-09-17T00:22:00Z</cp:lastPrinted>
  <dcterms:created xsi:type="dcterms:W3CDTF">2025-09-19T22:49:00Z</dcterms:created>
  <dcterms:modified xsi:type="dcterms:W3CDTF">2025-10-13T19:22:00Z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zotero-version="7.0.24"&gt;&lt;session id="OSRSkNGh"/&gt;&lt;style id="http://www.zotero.org/styles/apa" locale="es-ES" hasBibliography="1" bibliographyStyleHasBeenSet="1"/&gt;&lt;prefs&gt;&lt;pref name="fieldType" value="Field"/&gt;&lt;pref name="automaticJourn</vt:lpwstr>
  </property>
  <property fmtid="{D5CDD505-2E9C-101B-9397-08002B2CF9AE}" pid="3" name="ZOTERO_PREF_2">
    <vt:lpwstr>alAbbreviations" value="true"/&gt;&lt;/prefs&gt;&lt;/data&gt;</vt:lpwstr>
  </property>
</Properties>
</file>