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1A9698DB" w14:textId="77777777" w:rsidTr="008E3AD8">
        <w:trPr>
          <w:trHeight w:val="1837"/>
        </w:trPr>
        <w:tc>
          <w:tcPr>
            <w:tcW w:w="1560" w:type="dxa"/>
          </w:tcPr>
          <w:p w14:paraId="071CF1DD"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7C776BD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0C7239E2"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15234DE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067120C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3D02C45D"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2E33F05D"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1998EBB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1E72BBD6"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329CD603"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45CAFFB1"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17BFF189"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9A1CC24"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0F2163D6" w14:textId="7DC2090D" w:rsidR="00497013" w:rsidRPr="00E67C88" w:rsidRDefault="00497013" w:rsidP="00E67C88">
      <w:pPr>
        <w:pStyle w:val="Default"/>
        <w:ind w:left="-142" w:right="-377"/>
        <w:jc w:val="both"/>
        <w:rPr>
          <w:b/>
          <w:bCs/>
          <w:sz w:val="40"/>
          <w:szCs w:val="40"/>
          <w:lang w:eastAsia="es-ES_tradnl"/>
        </w:rPr>
      </w:pPr>
      <w:r>
        <w:rPr>
          <w:rFonts w:eastAsia="Times New Roman"/>
          <w:b/>
          <w:bCs/>
          <w:sz w:val="40"/>
          <w:szCs w:val="40"/>
          <w:lang w:val="es-ES_tradnl" w:eastAsia="es-ES_tradnl"/>
        </w:rPr>
        <w:t xml:space="preserve">Título: </w:t>
      </w:r>
      <w:r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r w:rsidR="00EA3EA3" w:rsidRPr="00137927">
        <w:rPr>
          <w:rFonts w:eastAsia="Times New Roman"/>
          <w:b/>
          <w:bCs/>
          <w:sz w:val="40"/>
          <w:szCs w:val="40"/>
          <w:lang w:eastAsia="es-ES_tradnl"/>
        </w:rPr>
        <w:t>EcoMic®</w:t>
      </w:r>
      <w:r w:rsidR="00E67C88" w:rsidRPr="00E67C88">
        <w:rPr>
          <w:rFonts w:eastAsia="Times New Roman"/>
          <w:b/>
          <w:bCs/>
          <w:sz w:val="40"/>
          <w:szCs w:val="40"/>
          <w:lang w:eastAsia="es-ES_tradnl"/>
        </w:rPr>
        <w:t xml:space="preserve"> utilizando el modelo DSSAT.</w:t>
      </w:r>
      <w:r w:rsidRPr="000C08CF">
        <w:rPr>
          <w:rFonts w:eastAsia="Times New Roman"/>
          <w:b/>
          <w:bCs/>
          <w:sz w:val="40"/>
          <w:szCs w:val="40"/>
          <w:lang w:val="es-ES_tradnl" w:eastAsia="es-ES_tradnl"/>
        </w:rPr>
        <w:t>”</w:t>
      </w:r>
    </w:p>
    <w:p w14:paraId="0EFFCBA8"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0634A761"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2D05E252"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55C83276" w14:textId="44C406E4"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sidR="00E67C88">
        <w:rPr>
          <w:rFonts w:ascii="Arial" w:eastAsia="Times New Roman" w:hAnsi="Arial" w:cs="Arial"/>
          <w:b/>
          <w:bCs/>
          <w:sz w:val="28"/>
          <w:szCs w:val="28"/>
          <w:lang w:val="es-ES_tradnl" w:eastAsia="es-ES_tradnl"/>
        </w:rPr>
        <w:t>Ing. Daniel Fernandez Sotolongo</w:t>
      </w:r>
    </w:p>
    <w:p w14:paraId="7C44CE6D"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6B02B92"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F84898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A9D0C3B"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Tesis presentada en opción de título de Master en Biomatemática</w:t>
      </w:r>
    </w:p>
    <w:p w14:paraId="75EB2DDD"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5A4B6FFE"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1B145518"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61129D2" w14:textId="0D1C12C6" w:rsidR="000C6959" w:rsidRDefault="00497013" w:rsidP="00497013">
      <w:pPr>
        <w:spacing w:after="120"/>
        <w:jc w:val="center"/>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w:t>
      </w:r>
      <w:r w:rsidR="008E1F11">
        <w:rPr>
          <w:rFonts w:ascii="Arial" w:eastAsia="Times New Roman" w:hAnsi="Arial" w:cs="Arial"/>
          <w:b/>
          <w:bCs/>
          <w:sz w:val="28"/>
          <w:szCs w:val="28"/>
          <w:lang w:val="es-ES_tradnl" w:eastAsia="es-ES_tradnl"/>
        </w:rPr>
        <w:t>4</w:t>
      </w:r>
    </w:p>
    <w:p w14:paraId="577919E6" w14:textId="77777777" w:rsidR="000C6959" w:rsidRDefault="000C6959">
      <w:pP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Pr>
          <w:rFonts w:ascii="Arial" w:eastAsia="Times New Roman" w:hAnsi="Arial" w:cs="Arial"/>
          <w:b/>
          <w:bCs/>
          <w:sz w:val="28"/>
          <w:szCs w:val="28"/>
          <w:lang w:val="es-ES_tradnl" w:eastAsia="es-ES_tradnl"/>
        </w:rPr>
        <w:br w:type="page"/>
      </w:r>
    </w:p>
    <w:tbl>
      <w:tblPr>
        <w:tblStyle w:val="Tablaconcuadrcula"/>
        <w:tblW w:w="9781"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087"/>
        <w:gridCol w:w="1134"/>
      </w:tblGrid>
      <w:tr w:rsidR="00497013" w14:paraId="6BB03B82" w14:textId="77777777" w:rsidTr="008E3AD8">
        <w:trPr>
          <w:trHeight w:val="1837"/>
        </w:trPr>
        <w:tc>
          <w:tcPr>
            <w:tcW w:w="1560" w:type="dxa"/>
          </w:tcPr>
          <w:p w14:paraId="0B7E4EA9" w14:textId="77777777" w:rsidR="00497013" w:rsidRDefault="00497013" w:rsidP="008E3AD8">
            <w:pPr>
              <w:autoSpaceDE w:val="0"/>
              <w:autoSpaceDN w:val="0"/>
              <w:adjustRightInd w:val="0"/>
              <w:spacing w:after="120" w:line="276" w:lineRule="auto"/>
              <w:rPr>
                <w:rFonts w:ascii="Arial" w:eastAsia="Times New Roman" w:hAnsi="Arial" w:cs="Arial"/>
                <w:b/>
                <w:bCs/>
                <w:sz w:val="32"/>
                <w:szCs w:val="24"/>
                <w:lang w:val="es-ES_tradnl" w:eastAsia="es-ES_tradnl"/>
              </w:rPr>
            </w:pPr>
          </w:p>
        </w:tc>
        <w:tc>
          <w:tcPr>
            <w:tcW w:w="7087" w:type="dxa"/>
          </w:tcPr>
          <w:p w14:paraId="079C5621"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13A0F453"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UNIVERSIDAD AGRARIA DE LA HABANA</w:t>
            </w:r>
          </w:p>
          <w:p w14:paraId="20C9E0CE"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sidRPr="00B175F0">
              <w:rPr>
                <w:rFonts w:ascii="Arial" w:eastAsia="Times New Roman" w:hAnsi="Arial" w:cs="Arial"/>
                <w:b/>
                <w:bCs/>
                <w:sz w:val="28"/>
                <w:szCs w:val="28"/>
                <w:lang w:val="es-ES_tradnl" w:eastAsia="es-ES_tradnl"/>
              </w:rPr>
              <w:t>“Fructuoso Rodríguez Pérez”</w:t>
            </w:r>
          </w:p>
          <w:p w14:paraId="7BC211B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p>
          <w:p w14:paraId="5F2E228C"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FACULTAD DE CIENCIAS T</w:t>
            </w:r>
            <w:r>
              <w:rPr>
                <w:rFonts w:ascii="Arial" w:eastAsia="Times New Roman" w:hAnsi="Arial" w:cs="Arial"/>
                <w:b/>
                <w:bCs/>
                <w:sz w:val="28"/>
                <w:szCs w:val="28"/>
                <w:lang w:eastAsia="es-ES_tradnl"/>
              </w:rPr>
              <w:t>É</w:t>
            </w:r>
            <w:r>
              <w:rPr>
                <w:rFonts w:ascii="Arial" w:eastAsia="Times New Roman" w:hAnsi="Arial" w:cs="Arial"/>
                <w:b/>
                <w:bCs/>
                <w:sz w:val="28"/>
                <w:szCs w:val="28"/>
                <w:lang w:val="es-ES_tradnl" w:eastAsia="es-ES_tradnl"/>
              </w:rPr>
              <w:t>CNICAS</w:t>
            </w:r>
          </w:p>
          <w:p w14:paraId="07F02DF4" w14:textId="77777777" w:rsidR="00497013" w:rsidRPr="00B175F0" w:rsidRDefault="00497013" w:rsidP="008E3AD8">
            <w:pPr>
              <w:autoSpaceDE w:val="0"/>
              <w:autoSpaceDN w:val="0"/>
              <w:adjustRightInd w:val="0"/>
              <w:spacing w:after="120" w:line="276" w:lineRule="auto"/>
              <w:jc w:val="center"/>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DEPARTAMENTO DE CIENCIAS BÁSICAS</w:t>
            </w:r>
          </w:p>
        </w:tc>
        <w:tc>
          <w:tcPr>
            <w:tcW w:w="1134" w:type="dxa"/>
          </w:tcPr>
          <w:p w14:paraId="241F9BFF" w14:textId="77777777" w:rsidR="00497013" w:rsidRDefault="00497013" w:rsidP="008E3AD8">
            <w:pPr>
              <w:autoSpaceDE w:val="0"/>
              <w:autoSpaceDN w:val="0"/>
              <w:adjustRightInd w:val="0"/>
              <w:spacing w:after="120" w:line="276" w:lineRule="auto"/>
              <w:jc w:val="center"/>
              <w:rPr>
                <w:rFonts w:ascii="Arial" w:eastAsia="Times New Roman" w:hAnsi="Arial" w:cs="Arial"/>
                <w:b/>
                <w:bCs/>
                <w:sz w:val="32"/>
                <w:szCs w:val="24"/>
                <w:lang w:val="es-ES_tradnl" w:eastAsia="es-ES_tradnl"/>
              </w:rPr>
            </w:pPr>
          </w:p>
        </w:tc>
      </w:tr>
    </w:tbl>
    <w:p w14:paraId="62E7DB11" w14:textId="77777777" w:rsidR="00497013" w:rsidRPr="008772F3" w:rsidRDefault="00497013" w:rsidP="00497013">
      <w:pPr>
        <w:autoSpaceDE w:val="0"/>
        <w:autoSpaceDN w:val="0"/>
        <w:adjustRightInd w:val="0"/>
        <w:spacing w:after="120" w:line="276" w:lineRule="auto"/>
        <w:ind w:hanging="567"/>
        <w:jc w:val="both"/>
        <w:rPr>
          <w:rFonts w:ascii="Arial" w:eastAsia="Times New Roman" w:hAnsi="Arial" w:cs="Arial"/>
          <w:b/>
          <w:bCs/>
          <w:sz w:val="32"/>
          <w:szCs w:val="24"/>
          <w:lang w:val="es-ES_tradnl" w:eastAsia="es-ES_tradnl"/>
        </w:rPr>
      </w:pPr>
    </w:p>
    <w:p w14:paraId="73CC0A4B" w14:textId="77777777" w:rsidR="00497013" w:rsidRPr="00CA1AF8" w:rsidRDefault="00497013" w:rsidP="00497013">
      <w:pPr>
        <w:autoSpaceDE w:val="0"/>
        <w:autoSpaceDN w:val="0"/>
        <w:adjustRightInd w:val="0"/>
        <w:spacing w:after="120" w:line="276" w:lineRule="auto"/>
        <w:jc w:val="both"/>
        <w:rPr>
          <w:rFonts w:ascii="Arial" w:eastAsia="Times New Roman" w:hAnsi="Arial" w:cs="Arial"/>
          <w:b/>
          <w:bCs/>
          <w:sz w:val="16"/>
          <w:szCs w:val="16"/>
          <w:lang w:val="es-ES_tradnl" w:eastAsia="es-ES_tradnl"/>
        </w:rPr>
      </w:pPr>
    </w:p>
    <w:p w14:paraId="75B3C765" w14:textId="77777777" w:rsidR="0049701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0CF55A1E"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32"/>
          <w:szCs w:val="32"/>
          <w:lang w:val="es-ES_tradnl" w:eastAsia="es-ES_tradnl"/>
        </w:rPr>
      </w:pPr>
    </w:p>
    <w:p w14:paraId="3B8EDE15"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4"/>
          <w:szCs w:val="24"/>
          <w:lang w:val="es-ES_tradnl" w:eastAsia="es-ES_tradnl"/>
        </w:rPr>
      </w:pPr>
    </w:p>
    <w:p w14:paraId="5DCE7017" w14:textId="03684862" w:rsidR="00E67C88" w:rsidRPr="00E67C88" w:rsidRDefault="00497013" w:rsidP="00E67C88">
      <w:pPr>
        <w:pStyle w:val="Default"/>
        <w:ind w:left="-142" w:right="-377"/>
        <w:jc w:val="both"/>
        <w:rPr>
          <w:b/>
          <w:bCs/>
          <w:sz w:val="40"/>
          <w:szCs w:val="40"/>
          <w:lang w:eastAsia="es-ES_tradnl"/>
        </w:rPr>
      </w:pPr>
      <w:r>
        <w:rPr>
          <w:rFonts w:eastAsia="Times New Roman"/>
          <w:b/>
          <w:bCs/>
          <w:sz w:val="40"/>
          <w:szCs w:val="40"/>
          <w:lang w:val="es-ES_tradnl" w:eastAsia="es-ES_tradnl"/>
        </w:rPr>
        <w:t>Título</w:t>
      </w:r>
      <w:r w:rsidR="00E67C88" w:rsidRPr="000C08CF">
        <w:rPr>
          <w:rFonts w:eastAsia="Times New Roman"/>
          <w:b/>
          <w:bCs/>
          <w:sz w:val="40"/>
          <w:szCs w:val="40"/>
          <w:lang w:val="es-ES_tradnl" w:eastAsia="es-ES_tradnl"/>
        </w:rPr>
        <w:t>“</w:t>
      </w:r>
      <w:r w:rsidR="00E67C88" w:rsidRPr="00E67C88">
        <w:rPr>
          <w:rFonts w:eastAsia="Times New Roman"/>
          <w:b/>
          <w:bCs/>
          <w:sz w:val="40"/>
          <w:szCs w:val="40"/>
          <w:lang w:eastAsia="es-ES_tradnl"/>
        </w:rPr>
        <w:t xml:space="preserve">Estimación de rendimiento del cultivar P-7928 con </w:t>
      </w:r>
      <w:r w:rsidR="00137927" w:rsidRPr="00137927">
        <w:rPr>
          <w:rFonts w:eastAsia="Times New Roman"/>
          <w:b/>
          <w:bCs/>
          <w:sz w:val="40"/>
          <w:szCs w:val="40"/>
          <w:lang w:eastAsia="es-ES_tradnl"/>
        </w:rPr>
        <w:t>EcoMic®</w:t>
      </w:r>
      <w:r w:rsidR="00137927" w:rsidRPr="00963BA4">
        <w:t xml:space="preserve"> </w:t>
      </w:r>
      <w:r w:rsidR="00E67C88" w:rsidRPr="00E67C88">
        <w:rPr>
          <w:rFonts w:eastAsia="Times New Roman"/>
          <w:b/>
          <w:bCs/>
          <w:sz w:val="40"/>
          <w:szCs w:val="40"/>
          <w:lang w:eastAsia="es-ES_tradnl"/>
        </w:rPr>
        <w:t>utilizando el modelo DSSAT.</w:t>
      </w:r>
      <w:r w:rsidR="00E67C88" w:rsidRPr="000C08CF">
        <w:rPr>
          <w:rFonts w:eastAsia="Times New Roman"/>
          <w:b/>
          <w:bCs/>
          <w:sz w:val="40"/>
          <w:szCs w:val="40"/>
          <w:lang w:val="es-ES_tradnl" w:eastAsia="es-ES_tradnl"/>
        </w:rPr>
        <w:t>”</w:t>
      </w:r>
    </w:p>
    <w:p w14:paraId="72EA9368" w14:textId="53AEF8D2" w:rsidR="00497013" w:rsidRPr="00E67C88" w:rsidRDefault="00497013" w:rsidP="00497013">
      <w:pPr>
        <w:pStyle w:val="Default"/>
        <w:ind w:left="-142" w:right="-377"/>
        <w:jc w:val="both"/>
        <w:rPr>
          <w:rFonts w:eastAsia="Times New Roman"/>
          <w:b/>
          <w:bCs/>
          <w:sz w:val="40"/>
          <w:szCs w:val="40"/>
          <w:lang w:eastAsia="es-ES_tradnl"/>
        </w:rPr>
      </w:pPr>
    </w:p>
    <w:p w14:paraId="2C25FD6F"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8786084" w14:textId="77777777" w:rsidR="0049701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4D1B95F3" w14:textId="77777777" w:rsidR="00497013" w:rsidRPr="008772F3" w:rsidRDefault="00497013" w:rsidP="00497013">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7B56DD0C" w14:textId="77777777" w:rsidR="00E67C88" w:rsidRPr="008772F3" w:rsidRDefault="00E67C88"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r w:rsidRPr="008772F3">
        <w:rPr>
          <w:rFonts w:ascii="Arial" w:eastAsia="Times New Roman" w:hAnsi="Arial" w:cs="Arial"/>
          <w:b/>
          <w:bCs/>
          <w:sz w:val="28"/>
          <w:szCs w:val="28"/>
          <w:lang w:val="es-ES_tradnl" w:eastAsia="es-ES_tradnl"/>
        </w:rPr>
        <w:t xml:space="preserve">Autor: </w:t>
      </w:r>
      <w:r>
        <w:rPr>
          <w:rFonts w:ascii="Arial" w:eastAsia="Times New Roman" w:hAnsi="Arial" w:cs="Arial"/>
          <w:b/>
          <w:bCs/>
          <w:sz w:val="28"/>
          <w:szCs w:val="28"/>
          <w:lang w:val="es-ES_tradnl" w:eastAsia="es-ES_tradnl"/>
        </w:rPr>
        <w:t>Ing. Daniel Fernandez Sotolongo</w:t>
      </w:r>
    </w:p>
    <w:p w14:paraId="5CB298D9" w14:textId="77777777" w:rsidR="00497013" w:rsidRDefault="00497013" w:rsidP="00497013">
      <w:pPr>
        <w:spacing w:after="120" w:line="276" w:lineRule="auto"/>
        <w:contextualSpacing/>
        <w:jc w:val="both"/>
        <w:rPr>
          <w:rFonts w:ascii="Arial" w:eastAsia="Times New Roman" w:hAnsi="Arial" w:cs="Arial"/>
          <w:b/>
          <w:bCs/>
          <w:sz w:val="28"/>
          <w:szCs w:val="28"/>
          <w:lang w:val="es-ES_tradnl" w:eastAsia="es-ES_tradnl"/>
        </w:rPr>
      </w:pPr>
    </w:p>
    <w:p w14:paraId="4A9EA31C" w14:textId="77777777" w:rsidR="00497013" w:rsidRPr="008772F3" w:rsidRDefault="00497013" w:rsidP="00497013">
      <w:pPr>
        <w:spacing w:after="120" w:line="276" w:lineRule="auto"/>
        <w:contextualSpacing/>
        <w:jc w:val="both"/>
        <w:rPr>
          <w:rFonts w:ascii="Arial" w:eastAsia="Calibri" w:hAnsi="Arial" w:cs="Arial"/>
          <w:sz w:val="28"/>
          <w:szCs w:val="28"/>
        </w:rPr>
      </w:pPr>
      <w:r w:rsidRPr="008772F3">
        <w:rPr>
          <w:rFonts w:ascii="Arial" w:eastAsia="Times New Roman" w:hAnsi="Arial" w:cs="Arial"/>
          <w:b/>
          <w:bCs/>
          <w:sz w:val="28"/>
          <w:szCs w:val="28"/>
          <w:lang w:val="es-ES_tradnl" w:eastAsia="es-ES_tradnl"/>
        </w:rPr>
        <w:t xml:space="preserve">Tutores: </w:t>
      </w:r>
      <w:r w:rsidRPr="008772F3">
        <w:rPr>
          <w:rFonts w:ascii="Arial" w:eastAsia="Calibri" w:hAnsi="Arial" w:cs="Arial"/>
          <w:sz w:val="28"/>
          <w:szCs w:val="28"/>
        </w:rPr>
        <w:t xml:space="preserve">Dr.C. </w:t>
      </w:r>
      <w:r>
        <w:rPr>
          <w:rFonts w:ascii="Arial" w:eastAsia="Calibri" w:hAnsi="Arial" w:cs="Arial"/>
          <w:sz w:val="28"/>
          <w:szCs w:val="28"/>
        </w:rPr>
        <w:t>René Florido Bacallao</w:t>
      </w:r>
    </w:p>
    <w:p w14:paraId="424130D9" w14:textId="77777777" w:rsidR="00E67C88" w:rsidRPr="00E67C88" w:rsidRDefault="00497013" w:rsidP="00E67C88">
      <w:pPr>
        <w:autoSpaceDE w:val="0"/>
        <w:autoSpaceDN w:val="0"/>
        <w:adjustRightInd w:val="0"/>
        <w:spacing w:after="120" w:line="276" w:lineRule="auto"/>
        <w:jc w:val="both"/>
        <w:rPr>
          <w:rFonts w:ascii="Arial" w:eastAsia="Calibri" w:hAnsi="Arial" w:cs="Arial"/>
          <w:sz w:val="28"/>
          <w:szCs w:val="28"/>
        </w:rPr>
      </w:pPr>
      <w:r w:rsidRPr="008772F3">
        <w:rPr>
          <w:rFonts w:ascii="Arial" w:eastAsia="Calibri" w:hAnsi="Arial" w:cs="Arial"/>
          <w:sz w:val="28"/>
          <w:szCs w:val="28"/>
        </w:rPr>
        <w:t xml:space="preserve">               </w:t>
      </w:r>
      <w:r w:rsidR="00E67C88" w:rsidRPr="00E67C88">
        <w:rPr>
          <w:rFonts w:ascii="Arial" w:eastAsia="Calibri" w:hAnsi="Arial" w:cs="Arial"/>
          <w:sz w:val="28"/>
          <w:szCs w:val="28"/>
        </w:rPr>
        <w:t>Ms.C. Osmel Rodríguez González</w:t>
      </w:r>
    </w:p>
    <w:p w14:paraId="49927FC5" w14:textId="59FBDE1B" w:rsidR="00497013" w:rsidRDefault="00497013" w:rsidP="00E67C88">
      <w:pPr>
        <w:autoSpaceDE w:val="0"/>
        <w:autoSpaceDN w:val="0"/>
        <w:adjustRightInd w:val="0"/>
        <w:spacing w:after="120" w:line="276" w:lineRule="auto"/>
        <w:jc w:val="both"/>
        <w:rPr>
          <w:rFonts w:ascii="Arial" w:eastAsia="Times New Roman" w:hAnsi="Arial" w:cs="Arial"/>
          <w:b/>
          <w:bCs/>
          <w:sz w:val="28"/>
          <w:szCs w:val="28"/>
          <w:lang w:val="es-ES_tradnl" w:eastAsia="es-ES_tradnl"/>
        </w:rPr>
      </w:pPr>
    </w:p>
    <w:p w14:paraId="143C8E9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72382C5F"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r>
        <w:rPr>
          <w:rFonts w:ascii="Arial" w:eastAsia="Times New Roman" w:hAnsi="Arial" w:cs="Arial"/>
          <w:b/>
          <w:bCs/>
          <w:sz w:val="28"/>
          <w:szCs w:val="28"/>
          <w:lang w:val="es-ES_tradnl" w:eastAsia="es-ES_tradnl"/>
        </w:rPr>
        <w:t>Tesis presentada en opción de título de Master en Biomatemática</w:t>
      </w:r>
    </w:p>
    <w:p w14:paraId="700B24B5" w14:textId="77777777" w:rsidR="00497013" w:rsidRDefault="00497013" w:rsidP="00497013">
      <w:pPr>
        <w:spacing w:after="120" w:line="276" w:lineRule="auto"/>
        <w:jc w:val="both"/>
        <w:rPr>
          <w:rFonts w:ascii="Arial" w:eastAsia="Times New Roman" w:hAnsi="Arial" w:cs="Arial"/>
          <w:b/>
          <w:bCs/>
          <w:sz w:val="28"/>
          <w:szCs w:val="28"/>
          <w:lang w:val="es-ES_tradnl" w:eastAsia="es-ES_tradnl"/>
        </w:rPr>
      </w:pPr>
    </w:p>
    <w:p w14:paraId="41C1757D" w14:textId="77777777" w:rsidR="000C6959" w:rsidRDefault="00497013" w:rsidP="00497013">
      <w:pPr>
        <w:spacing w:after="120"/>
        <w:jc w:val="center"/>
        <w:rPr>
          <w:rFonts w:ascii="Arial" w:eastAsia="Times New Roman" w:hAnsi="Arial" w:cs="Arial"/>
          <w:b/>
          <w:bCs/>
          <w:sz w:val="28"/>
          <w:szCs w:val="28"/>
          <w:lang w:val="es-ES_tradnl" w:eastAsia="es-ES_tradnl"/>
        </w:rPr>
        <w:sectPr w:rsidR="000C6959">
          <w:pgSz w:w="12240" w:h="15840"/>
          <w:pgMar w:top="1417" w:right="1701" w:bottom="1417" w:left="1701" w:header="720" w:footer="720" w:gutter="0"/>
          <w:cols w:space="720"/>
          <w:docGrid w:linePitch="360"/>
        </w:sectPr>
      </w:pPr>
      <w:r w:rsidRPr="008772F3">
        <w:rPr>
          <w:rFonts w:ascii="Arial" w:eastAsia="Times New Roman" w:hAnsi="Arial" w:cs="Arial"/>
          <w:b/>
          <w:bCs/>
          <w:sz w:val="28"/>
          <w:szCs w:val="28"/>
          <w:lang w:val="es-ES_tradnl" w:eastAsia="es-ES_tradnl"/>
        </w:rPr>
        <w:t xml:space="preserve">Mayabeque, </w:t>
      </w:r>
      <w:r>
        <w:rPr>
          <w:rFonts w:ascii="Arial" w:eastAsia="Times New Roman" w:hAnsi="Arial" w:cs="Arial"/>
          <w:b/>
          <w:bCs/>
          <w:sz w:val="28"/>
          <w:szCs w:val="28"/>
          <w:lang w:val="es-ES_tradnl" w:eastAsia="es-ES_tradnl"/>
        </w:rPr>
        <w:t>2023</w:t>
      </w:r>
    </w:p>
    <w:p w14:paraId="779BBED2" w14:textId="77777777" w:rsidR="00497013" w:rsidRPr="000A5207" w:rsidRDefault="00497013" w:rsidP="00D7244C">
      <w:pPr>
        <w:pStyle w:val="Ttulo1"/>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Toc4070406"/>
      <w:r w:rsidRPr="000A5207">
        <w:rPr>
          <w:b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INTRODUCCIÓN</w:t>
      </w:r>
      <w:bookmarkEnd w:id="0"/>
    </w:p>
    <w:p w14:paraId="2CF488FC" w14:textId="77777777" w:rsidR="00497013" w:rsidRPr="007D6317" w:rsidRDefault="00497013" w:rsidP="00497013"/>
    <w:p w14:paraId="2DBC84C2"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el cambio climático imponen importantes desafíos en los sistemas agrícolas y se evidencian efectos como el aumento de la temperatura, elevada variabilidad de los períodos lluviosos alternados con largas sequías, incremento en el número y el impacto de los eventos climatológicos, así como la elevación del nivel del mar </w:t>
      </w:r>
      <w:r>
        <w:fldChar w:fldCharType="begin"/>
      </w:r>
      <w:r>
        <w:rPr>
          <w:rFonts w:ascii="Arial" w:hAnsi="Arial" w:cs="Arial"/>
          <w:color w:val="000000"/>
          <w:sz w:val="24"/>
          <w:szCs w:val="24"/>
        </w:rPr>
        <w:instrText>ADDIN ZOTERO_ITEM CSL_CITATION {"citationID":"DJ1YATXH","properties":{"formattedCitation":"(Arias et\\uc0\\u160{}al., 2021; CEPAL, 2022)","plainCitation":"(Arias et al., 2021; CEPAL, 2022)","noteIndex":0},"citationItems":[{"id":"UJQ2oGUC/JXnHOJIp","uris":["http://zotero.org/users/13364072/items/49HGNBQJ"],"itemData":{"id":24,"type":"article-journal","note":"publisher: CEPAL","title":"Informe de la Cuarta Reunión de la Conferencia Regional sobre Desarrollo Social de América Latina y el Caribe","URL":"https://repositorio.cepal.org/server/api/core/bitstreams/4db5c492-307c-471f-8165-97b0785c625e/content","author":[{"family":"CEPAL","given":"NU"}],"issued":{"date-parts":[["2022"]]}}},{"id":"UJQ2oGUC/PXTAXbEE","uris":["http://zotero.org/users/13364072/items/TAIGZRNY"],"itemData":{"id":41,"type":"paper-conference","abstract":"The Working Group I (WGI) contribution to the Intergovernmental Panel on Climate Change Sixth Assessment Report (AR6) assess the physical science basis of climate change. As part of that contribution, this Technical Summary (TS) is designed to bridge between the comprehensive assessment of the WGI Chapters and its Summary for Policymakers (SPM). It is primarily built from the Executive Summaries of the individual chapters and atlas and provides a synthesis of key findings based on multiple lines of evidence (e.g., analyses of observations, models, paleoclimate information and understanding of physical, chemical and biological processes and components of the climate system). All the findings and figures here are supported by and traceable to the underlying chapters, with relevant chapter sections indicated in curly brackets.","event-place":"Remote","event-title":"The Intergovernmental Panel on Climate Change AR6","publisher-place":"Remote","source":"elib.dlr.de","title":"Climate Change 2021: The Physical Science Basis. Contribution of Working Group I to the Sixth Assessment Report of the Intergovernmental Panel on Climate Change; Technical Summary","title-short":"Climate Change 2021","URL":"https://www.ipcc.ch/report/ar6/wg1/","author":[{"family":"Arias","given":"Paola"},{"family":"Bellouin","given":"Nicolas"},{"family":"Coppola","given":"Erika"},{"family":"Jones","given":"Richard"},{"family":"Krinner","given":"Gerhard"},{"family":"Marotzke","given":"Jochem"},{"family":"Naik","given":"Vaishali"},{"family":"Palmer","given":"Matthew"},{"family":"Plattner","given":"G.-K."},{"family":"Rogelj","given":"Joeri"},{"family":"Rojas","given":"Maisa"},{"family":"Sillmann","given":"Jana"},{"family":"Storelvmo","given":"Trude"},{"family":"Thorne","given":"Peter"},{"family":"Trewin","given":"Blair"},{"family":"Achutarao","given":"Krishna"},{"family":"Adhikary","given":"Bhupesh"},{"family":"Allan","given":"Richard"},{"family":"Armour","given":"Kyle"},{"family":"Bala","given":"Govindasamy"},{"family":"Barimalala","given":"Rondrotiana"},{"family":"Berger","given":"Sophie"},{"family":"Canadell","given":"Josep G."},{"family":"Cassou","given":"Christophe"},{"family":"Cherchi","given":"Annalisa"},{"family":"Collins","given":"William D."},{"family":"Collins","given":"William J."},{"family":"Connors","given":"Sarah"},{"family":"Corti","given":"Susanna"},{"family":"Cruz","given":"Faye"},{"family":"Dentener","given":"Frank J."},{"family":"Dereczynski","given":"Claudine"},{"family":"Di Luca","given":"Alejandro"},{"family":"Diongue Niang","given":"Aida"},{"family":"Doblas-Reyes","given":"Paco"},{"family":"Dosio","given":"Alessandro"},{"family":"Douville","given":"Hervé"},{"family":"Engelbrecht","given":"Francois"},{"family":"Eyring","given":"Veronika"},{"family":"Fischer","given":"Erich M."},{"family":"Forster","given":"Piers"},{"family":"Fox-Kemper","given":"Baylor"},{"family":"Fuglestvedt","given":"Jan"},{"family":"Fyfe","given":"John"},{"family":"Gillett","given":"Nathan"},{"family":"Goldfarb","given":"Leah"},{"family":"Gorodetskaya","given":"Irina"},{"family":"Gutierrez","given":"Jose Manuel"},{"family":"Hamdi","given":"Rafiq"},{"family":"Hawkins","given":"E."},{"family":"Hewitt","given":"Helene"},{"family":"Hope","given":"Pandora"},{"family":"Islam","given":"Akm Saiful"},{"family":"Jones","given":"Christopher"},{"family":"Kaufmann","given":"Darrell"},{"family":"Kopp","given":"Robert"},{"family":"Kosaka","given":"Yu"},{"family":"Kossin","given":"James"},{"family":"Krakovska","given":"Svitlana"},{"family":"Li","given":"Jian"},{"family":"Lee","given":"June-Yi"},{"family":"Masson-Delmotte","given":"Valérie"},{"family":"Mauritsen","given":"Thorsten"},{"family":"Maycock","given":"Thomas"},{"family":"Meinshausen","given":"Malte"},{"family":"Min","given":"Seung-ki"},{"family":"Ngo Duc","given":"Thanh"},{"family":"Otto","given":"Friederike"},{"family":"Pinto","given":"Izidine"},{"family":"Pirani","given":"Anna"},{"family":"Raghavan","given":"Krishnan"},{"family":"Ranasighe","given":"Roshanka"},{"family":"Ruane","given":"Alexander"},{"family":"Ruiz","given":"Lucas"},{"family":"Sallée","given":"Jean-Baptiste"},{"family":"Samset","given":"Bjorn H."},{"family":"Sathyendranath","given":"Shubha"},{"family":"Monteiro","given":"Pedro Scheel"},{"family":"Seneviratne","given":"Sonia I."},{"family":"Sörensson","given":"Anna Amelia"},{"family":"Szopa","given":"Sophie"},{"family":"Takayabu","given":"Izuru"},{"family":"Treguier","given":"Anne-Marie"},{"family":"Hurk","given":"Bart","non-dropping-particle":"van den"},{"family":"Vautard","given":"R."},{"family":"Von Schuckmann","given":"Karina"},{"family":"Zaehle","given":"Sönke"},{"family":"Zhang","given":"Xuebin"},{"family":"Zickfeld","given":"Kirsten"}],"editor":[{"family":"Masson-Delmotte","given":"Valérie"},{"family":"Zhai","given":"Panmao"},{"family":"Pirani","given":"Anna"},{"family":"Conners","given":"S. L."},{"family":"Péan","given":"C."},{"family":"Berger","given":"S."},{"family":"Caud","given":"N."},{"family":"Chen","given":"Y."},{"family":"Goldfarb","given":"Leah"},{"family":"Gomis","given":"M. I."},{"family":"Huang","given":"M."},{"family":"Leitzell","given":"K."},{"family":"Lonnoy","given":"E."},{"family":"Matthews","given":"J. B. R."},{"family":"Maycock","given":"T. K."},{"family":"Waterfield","given":"T."},{"family":"Yelekçi","given":"O."},{"family":"Yu","given":"R."},{"family":"Zhou","given":"Bin"}],"accessed":{"date-parts":[["2024",1,31]]},"issued":{"date-parts":[["2021"]]}}}],"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(Arias et al., 2021; CEPAL, 2022)</w:t>
      </w:r>
      <w:r>
        <w:rPr>
          <w:rFonts w:ascii="Arial" w:hAnsi="Arial" w:cs="Arial"/>
          <w:color w:val="000000"/>
          <w:sz w:val="24"/>
          <w:szCs w:val="24"/>
        </w:rPr>
        <w:fldChar w:fldCharType="end"/>
      </w:r>
      <w:r>
        <w:rPr>
          <w:rFonts w:ascii="Arial" w:hAnsi="Arial" w:cs="Arial"/>
          <w:color w:val="000000"/>
          <w:sz w:val="24"/>
          <w:szCs w:val="24"/>
        </w:rPr>
        <w:t xml:space="preserve">. </w:t>
      </w:r>
    </w:p>
    <w:p w14:paraId="343DCFD5" w14:textId="77777777" w:rsidR="000630B1" w:rsidRDefault="000630B1" w:rsidP="000630B1">
      <w:pPr>
        <w:spacing w:after="0" w:line="360" w:lineRule="auto"/>
        <w:jc w:val="both"/>
        <w:rPr>
          <w:rFonts w:ascii="Arial" w:eastAsia="Calibri" w:hAnsi="Arial" w:cs="Arial"/>
          <w:sz w:val="24"/>
          <w:szCs w:val="24"/>
          <w:lang w:eastAsia="es-ES"/>
        </w:rPr>
      </w:pPr>
    </w:p>
    <w:p w14:paraId="425AF18D"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Entre las necesidades mundiales está el aumento sostenido de la producción de cereales como una alternativa para contribuir a la seguridad alimentaria para cubrir </w:t>
      </w:r>
    </w:p>
    <w:p w14:paraId="35F17987"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las necesidades crecientes de los pueblos, lo que ha propiciado que los productores busquen mayores rendimientos en las áreas improductivas al utilizar especies que se adapten a esas condiciones </w:t>
      </w:r>
      <w:r>
        <w:fldChar w:fldCharType="begin"/>
      </w:r>
      <w:r>
        <w:rPr>
          <w:rFonts w:ascii="Arial" w:hAnsi="Arial" w:cs="Arial"/>
          <w:color w:val="000000"/>
          <w:sz w:val="24"/>
          <w:szCs w:val="24"/>
        </w:rPr>
        <w:instrText>ADDIN ZOTERO_ITEM CSL_CITATION {"citationID":"npHAVIa7","properties":{"formattedCitation":"(\\uc0\\u193{}vila P\\uc0\\u233{}rez &amp; P\\uc0\\u233{}rez Zaldiva, 2017)","plainCitation":"(Ávila Pérez &amp; Pérez Zaldiva, 2017)","noteIndex":0},"citationItems":[{"id":"UJQ2oGUC/B24C3meB","uris":["http://zotero.org/users/13364072/items/TDP4CVPB"],"itemData":{"id":5,"type":"article-journal","abstract":"Se presentan los resultados de la evaluación de cuatro cultivares de sorgo (Sorghum vulgares, L. Moench) en la CCS José Manuel Rodríguez” del municipio Jesús Menéndez, provincia Las Tunas, en el periodo comprendido entre el 12 de agosto al 2 de noviembre de 2013. Se utilizó un diseño de bloques al azar con cuatro tratamientos y tres réplicas. Los cultivares utilizados fueron: Forrajero, Rojo Enano, Blanco Amarillo y Blanco Enano. Durante la fase experimental se evaluaron los parámetros: altura de las plantas, número, largo y ancho de las hojas, diámetro del tallo, largo de la panícula, masa verde y seca de la panícula y rendimiento experimental. En los parámetros fisiológicos el cultivar Forrajero alcanzó la mayor altura y el mayor número de hojas, mientras que en el cultivar Blanco Amarillo se obtuvo el mayor rendimiento, diámetro de la panícula y peso verde y seco de la panícula.","container-title":"Ojeando la Agenda","ISSN":"1989-6794","issue":"47","language":"spa","note":"publisher: Mª Begoña Peris Martínez\nsection: Ojeando la Agenda","page":"4","source":"dialnet.unirioja.es","title":"Evaluación de cultivares de Sorgo (Sorghum Vulgares, l. Moench) en la CCS “José Manuel Rodríguez” del municipio Jesús Menéndez","author":[{"family":"Ávila Pérez","given":"Leodanis"},{"family":"Pérez Zaldiva","given":"Juan Carlos"}],"issued":{"date-parts":[["2017"]]}}}],"schema":"https://github.com/citation-style-language/schema/raw/master/csl-citation.json"}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(Ávila Pérez &amp; Pérez Zaldiva, 2017)</w:t>
      </w:r>
      <w:r>
        <w:rPr>
          <w:rFonts w:ascii="Arial" w:hAnsi="Arial" w:cs="Arial"/>
          <w:color w:val="000000"/>
          <w:sz w:val="24"/>
          <w:szCs w:val="24"/>
        </w:rPr>
        <w:fldChar w:fldCharType="end"/>
      </w:r>
      <w:r>
        <w:rPr>
          <w:rFonts w:ascii="Arial" w:hAnsi="Arial" w:cs="Arial"/>
          <w:color w:val="000000"/>
          <w:sz w:val="24"/>
          <w:szCs w:val="24"/>
        </w:rPr>
        <w:t xml:space="preserve">. Algunas investigaciones estiman que la producción mundial de alimentos tendrá que aumentar en un 70 % para el 2050 y que en la actualidad se requiere de una fertilización orgánica menos contaminante al medio ambiente y que proteja el recursos de </w:t>
      </w:r>
      <w:r w:rsidRPr="000F2C83">
        <w:rPr>
          <w:rFonts w:ascii="Arial" w:hAnsi="Arial" w:cs="Arial"/>
          <w:sz w:val="24"/>
          <w:szCs w:val="24"/>
        </w:rPr>
        <w:t>suelo</w:t>
      </w:r>
      <w:r>
        <w:rPr>
          <w:rFonts w:ascii="Arial" w:hAnsi="Arial" w:cs="Arial"/>
          <w:sz w:val="24"/>
          <w:szCs w:val="24"/>
        </w:rPr>
        <w:t xml:space="preserve"> </w:t>
      </w:r>
      <w:r>
        <w:fldChar w:fldCharType="begin"/>
      </w:r>
      <w:r>
        <w:rPr>
          <w:rFonts w:ascii="Arial" w:hAnsi="Arial" w:cs="Arial"/>
          <w:color w:val="000000"/>
          <w:sz w:val="24"/>
          <w:szCs w:val="24"/>
        </w:rPr>
        <w:instrText>ADDIN ZOTERO_ITEM CSL_CITATION {"citationID":"bZ1Tnm5y","properties":{"formattedCitation":"(Ruiz-Rodr\\uc0\\u237{}guez et\\uc0\\u160{}al., s.\\uc0\\u160{}f.)","plainCitation":"(Ruiz-Rodríguez et al., s. f.)","noteIndex":0},"citationItems":[{"id":"UJQ2oGUC/ufyMM9Sz","uris":["http://zotero.org/users/13364072/items/CJVGNQ58"],"itemData":{"id":42,"type":"article-journal","container-title":"El sector vitivinícola frente al desafío del cambio climático","page":"221","title":"Desafíos del regadío español frente al cambio climático y consecuencias para el viñedo","author":[{"family":"Ruiz-Rodríguez","given":"Martín"},{"family":"Pulido-Velázquez","given":"Manuel"},{"family":"García-Prats","given":"Alberto"}]}}],"schema":"https://github.com/citation-style-language/schema/raw/master/csl-citation.json"}</w:instrText>
      </w:r>
      <w:r>
        <w:rPr>
          <w:rFonts w:ascii="Arial" w:hAnsi="Arial" w:cs="Arial"/>
          <w:color w:val="000000"/>
          <w:sz w:val="24"/>
          <w:szCs w:val="24"/>
        </w:rPr>
        <w:fldChar w:fldCharType="separate"/>
      </w:r>
      <w:r>
        <w:rPr>
          <w:rFonts w:ascii="Arial" w:hAnsi="Arial" w:cs="Arial"/>
          <w:sz w:val="24"/>
          <w:szCs w:val="24"/>
        </w:rPr>
        <w:t>(Ruiz-Rodríguez et al., s. f.)</w:t>
      </w:r>
      <w:r>
        <w:rPr>
          <w:rFonts w:ascii="Arial" w:hAnsi="Arial" w:cs="Arial"/>
          <w:color w:val="000000"/>
          <w:sz w:val="24"/>
          <w:szCs w:val="24"/>
        </w:rPr>
        <w:fldChar w:fldCharType="end"/>
      </w:r>
      <w:r>
        <w:rPr>
          <w:rFonts w:ascii="Arial" w:hAnsi="Arial" w:cs="Arial"/>
          <w:color w:val="000000"/>
          <w:sz w:val="24"/>
          <w:szCs w:val="24"/>
        </w:rPr>
        <w:t>.</w:t>
      </w:r>
    </w:p>
    <w:p w14:paraId="0BCFF894"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447FF2A6"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El cultivo del maíz (</w:t>
      </w:r>
      <w:r>
        <w:rPr>
          <w:rFonts w:ascii="Arial" w:hAnsi="Arial" w:cs="Arial"/>
          <w:i/>
          <w:iCs/>
          <w:color w:val="000000"/>
          <w:sz w:val="24"/>
          <w:szCs w:val="24"/>
        </w:rPr>
        <w:t>Zea mays</w:t>
      </w:r>
      <w:r>
        <w:rPr>
          <w:rFonts w:ascii="Arial" w:hAnsi="Arial" w:cs="Arial"/>
          <w:color w:val="000000"/>
          <w:sz w:val="24"/>
          <w:szCs w:val="24"/>
        </w:rPr>
        <w:t xml:space="preserve"> L.) ha sido generalizado a nivel mundial, en la actualidad ocupa el segundo lugar entre todos los cereales, destacándose su uso para la alimentación animal y humana (Guamán </w:t>
      </w:r>
      <w:r>
        <w:rPr>
          <w:rFonts w:ascii="Arial" w:hAnsi="Arial" w:cs="Arial"/>
          <w:i/>
          <w:iCs/>
          <w:color w:val="000000"/>
          <w:sz w:val="24"/>
          <w:szCs w:val="24"/>
        </w:rPr>
        <w:t>et al</w:t>
      </w:r>
      <w:r>
        <w:rPr>
          <w:rFonts w:ascii="Arial" w:hAnsi="Arial" w:cs="Arial"/>
          <w:color w:val="000000"/>
          <w:sz w:val="24"/>
          <w:szCs w:val="24"/>
        </w:rPr>
        <w:t xml:space="preserve">., 2020). Se adapta a diversas </w:t>
      </w:r>
    </w:p>
    <w:p w14:paraId="7B8C9C93"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condiciones ambientales y no se encuentra entre los de mayor demanda hídrica (Tarazona-Meza </w:t>
      </w:r>
      <w:r>
        <w:rPr>
          <w:rFonts w:ascii="Arial" w:hAnsi="Arial" w:cs="Arial"/>
          <w:i/>
          <w:iCs/>
          <w:color w:val="000000"/>
          <w:sz w:val="24"/>
          <w:szCs w:val="24"/>
        </w:rPr>
        <w:t>et al</w:t>
      </w:r>
      <w:r>
        <w:rPr>
          <w:rFonts w:ascii="Arial" w:hAnsi="Arial" w:cs="Arial"/>
          <w:color w:val="000000"/>
          <w:sz w:val="24"/>
          <w:szCs w:val="24"/>
        </w:rPr>
        <w:t>., 2022). Todo ello es consecuencia de ser una especie con un elevado potencial de rendimiento asociado con altos niveles de fotosíntesis.</w:t>
      </w:r>
    </w:p>
    <w:p w14:paraId="5C5F9E2C"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  </w:t>
      </w:r>
    </w:p>
    <w:p w14:paraId="5B43F80B"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t xml:space="preserve">El comportamiento fotosintético de este, difiere notablemente del resto de los cultivos templados al ser una planta C4; lo cual tiene importantes efectos ecológicos y agronómicos, entre ellos, la influencia de la temperatura y la intensidad luminosa, que son requeridas a altos niveles en este cultivo.  </w:t>
      </w:r>
    </w:p>
    <w:p w14:paraId="598F93B6" w14:textId="77777777" w:rsidR="000630B1" w:rsidRDefault="000630B1" w:rsidP="000630B1">
      <w:pPr>
        <w:spacing w:after="0" w:line="360" w:lineRule="auto"/>
        <w:jc w:val="both"/>
        <w:rPr>
          <w:rFonts w:ascii="Arial" w:hAnsi="Arial" w:cs="Arial"/>
          <w:color w:val="000000"/>
          <w:sz w:val="24"/>
          <w:szCs w:val="24"/>
        </w:rPr>
      </w:pPr>
    </w:p>
    <w:p w14:paraId="7422A586" w14:textId="77777777" w:rsidR="000630B1" w:rsidRDefault="000630B1" w:rsidP="000630B1">
      <w:pPr>
        <w:spacing w:after="0" w:line="360" w:lineRule="auto"/>
        <w:jc w:val="both"/>
        <w:rPr>
          <w:rFonts w:ascii="Arial" w:hAnsi="Arial" w:cs="Arial"/>
          <w:sz w:val="24"/>
          <w:szCs w:val="24"/>
        </w:rPr>
      </w:pPr>
      <w:r>
        <w:rPr>
          <w:rFonts w:ascii="Arial" w:hAnsi="Arial" w:cs="Arial"/>
          <w:color w:val="000000"/>
          <w:sz w:val="24"/>
          <w:szCs w:val="24"/>
        </w:rPr>
        <w:lastRenderedPageBreak/>
        <w:t xml:space="preserve"> </w:t>
      </w:r>
    </w:p>
    <w:p w14:paraId="703501E8" w14:textId="77777777" w:rsidR="000630B1" w:rsidRDefault="000630B1" w:rsidP="000630B1">
      <w:pPr>
        <w:spacing w:after="0" w:line="360" w:lineRule="auto"/>
        <w:jc w:val="both"/>
        <w:rPr>
          <w:rFonts w:ascii="Arial" w:hAnsi="Arial" w:cs="Arial"/>
          <w:sz w:val="24"/>
          <w:szCs w:val="24"/>
        </w:rPr>
      </w:pPr>
      <w:r>
        <w:rPr>
          <w:rFonts w:ascii="Arial" w:eastAsia="Calibri" w:hAnsi="Arial" w:cs="Arial"/>
          <w:sz w:val="24"/>
          <w:szCs w:val="24"/>
          <w:lang w:eastAsia="es-ES"/>
        </w:rPr>
        <w:t xml:space="preserve">En la actualidad se requiere de programas de desarrollo agrícola que evalúen los recursos naturales disponibles y tener una medida del resultado de la interacción entre el ambiente y los cultivos </w:t>
      </w:r>
      <w:r>
        <w:fldChar w:fldCharType="begin"/>
      </w:r>
      <w:r>
        <w:rPr>
          <w:rFonts w:ascii="Arial" w:eastAsia="Calibri" w:hAnsi="Arial" w:cs="Arial"/>
          <w:sz w:val="24"/>
          <w:szCs w:val="24"/>
          <w:lang w:eastAsia="es-ES"/>
        </w:rPr>
        <w:instrText>ADDIN EN.CITE &lt;EndNote&gt;&lt;Cite&gt;&lt;Author&gt;Hernández&lt;/Author&gt;&lt;Year&gt;2009&lt;/Year&gt;&lt;RecNum&gt;2&lt;/RecNum&gt;&lt;record&gt;&lt;rec-number&gt;2&lt;/rec-number&gt;&lt;foreign-keys&gt;&lt;key app="EN" db-id="x9radvsr30rwe9efzs555ae5fwrfv5axtrdw"&gt;2&lt;/key&gt;&lt;/foreign-keys&gt;&lt;ref-type name="Journal Article"&gt;17&lt;/ref-type&gt;&lt;contributors&gt;&lt;authors&gt;&lt;author&gt;Hernández, N.&lt;/author&gt;&lt;author&gt;Soto,  F.&lt;/author&gt;&lt;author&gt;Caballero, A. &lt;/author&gt;&lt;/authors&gt;&lt;/contributors&gt;&lt;titles&gt;&lt;title&gt;Modelos de simulación de cultivos. Características y usos&lt;/title&gt;&lt;secondary-title&gt;Cultivos Tropicales&lt;/secondary-title&gt;&lt;/titles&gt;&lt;periodical&gt;&lt;full-title&gt;Cultivos Tropicales&lt;/full-title&gt;&lt;/periodical&gt;&lt;pages&gt;73-82 &lt;/pages&gt;&lt;volume&gt;30&lt;/volume&gt;&lt;number&gt;1&lt;/number&gt;&lt;dates&gt;&lt;year&gt;2009&lt;/year&gt;&lt;/dates&gt;&lt;urls&gt;&lt;/urls&gt;&lt;/record&gt;&lt;/Cite&gt;&lt;/EndNote&gt;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(1)</w:t>
      </w:r>
      <w:r>
        <w:rPr>
          <w:rFonts w:ascii="Arial" w:eastAsia="Calibri" w:hAnsi="Arial" w:cs="Arial"/>
          <w:sz w:val="24"/>
          <w:szCs w:val="24"/>
          <w:lang w:eastAsia="es-ES"/>
        </w:rPr>
        <w:fldChar w:fldCharType="end"/>
      </w:r>
      <w:r>
        <w:rPr>
          <w:rFonts w:ascii="Arial" w:eastAsia="Calibri" w:hAnsi="Arial" w:cs="Arial"/>
          <w:sz w:val="24"/>
          <w:szCs w:val="24"/>
          <w:lang w:eastAsia="es-ES"/>
        </w:rPr>
        <w:t xml:space="preserve">, de manera que caractericen la variabilidad de esa interacción tanto en forma temporal como espacial; es decir, disponer de resultados que permitan conocer el impacto de las variables ambientales sobre la productividad de los cultivos, conocer las limitaciones, poder disminuir el efecto de esas limitaciones y definir las mejores estrategias productivas, que permitan acercarse a esa potencialidad cuidando el medio ambiente </w:t>
      </w:r>
      <w:r>
        <w:fldChar w:fldCharType="begin"/>
      </w:r>
      <w:r>
        <w:rPr>
          <w:rFonts w:ascii="Arial" w:eastAsia="Calibri" w:hAnsi="Arial" w:cs="Arial"/>
          <w:sz w:val="24"/>
          <w:szCs w:val="24"/>
          <w:lang w:eastAsia="es-ES"/>
        </w:rPr>
        <w:instrText>ADDIN EN.CITE &lt;EndNote&gt;&lt;Cite&gt;&lt;Author&gt;Thornton&lt;/Author&gt;&lt;Year&gt;2010&lt;/Year&gt;&lt;RecNum&gt;3&lt;/RecNum&gt;&lt;record&gt;&lt;rec-number&gt;3&lt;/rec-number&gt;&lt;foreign-keys&gt;&lt;key app="EN" db-id="x9radvsr30rwe9efzs555ae5fwrfv5axtrdw"&gt;3&lt;/key&gt;&lt;/foreign-keys&gt;&lt;ref-type name="Journal Article"&gt;17&lt;/ref-type&gt;&lt;contributors&gt;&lt;authors&gt;&lt;author&gt;Thornton, P. P. &lt;/author&gt;&lt;author&gt;Jones, G.&lt;/author&gt;&lt;author&gt;Alagarswamy, G.&lt;/author&gt;&lt;author&gt;Andresen, J. &lt;/author&gt;&lt;author&gt;Herrero, M. &lt;/author&gt;&lt;/authors&gt;&lt;/contributors&gt;&lt;titles&gt;&lt;title&gt;Adapting to climate change: Agricultural system and household impacts in East Africa.&lt;/title&gt;&lt;secondary-title&gt;Agricultural Systems&lt;/secondary-title&gt;&lt;/titles&gt;&lt;periodical&gt;&lt;full-title&gt;Agricultural Systems&lt;/full-title&gt;&lt;/periodical&gt;&lt;pages&gt;73–82&lt;/pages&gt;&lt;volume&gt;103&lt;/volume&gt;&lt;dates&gt;&lt;year&gt;2010&lt;/year&gt;&lt;/dates&gt;&lt;urls&gt;&lt;/urls&gt;&lt;/record&gt;&lt;/Cite&gt;&lt;/EndNote&gt;</w:instrText>
      </w:r>
      <w:r>
        <w:rPr>
          <w:rFonts w:ascii="Arial" w:eastAsia="Calibri" w:hAnsi="Arial" w:cs="Arial"/>
          <w:sz w:val="24"/>
          <w:szCs w:val="24"/>
          <w:lang w:eastAsia="es-ES"/>
        </w:rPr>
        <w:fldChar w:fldCharType="separate"/>
      </w:r>
      <w:r>
        <w:rPr>
          <w:rFonts w:ascii="Arial" w:eastAsia="Calibri" w:hAnsi="Arial" w:cs="Arial"/>
          <w:sz w:val="24"/>
          <w:szCs w:val="24"/>
          <w:lang w:eastAsia="es-ES"/>
        </w:rPr>
        <w:t>(2)</w:t>
      </w:r>
      <w:r>
        <w:rPr>
          <w:rFonts w:ascii="Arial" w:eastAsia="Calibri" w:hAnsi="Arial" w:cs="Arial"/>
          <w:sz w:val="24"/>
          <w:szCs w:val="24"/>
          <w:lang w:eastAsia="es-ES"/>
        </w:rPr>
        <w:fldChar w:fldCharType="end"/>
      </w:r>
      <w:r>
        <w:rPr>
          <w:rFonts w:ascii="Arial" w:eastAsia="Calibri" w:hAnsi="Arial" w:cs="Arial"/>
          <w:sz w:val="24"/>
          <w:szCs w:val="24"/>
          <w:lang w:eastAsia="es-ES"/>
        </w:rPr>
        <w:t>.</w:t>
      </w:r>
    </w:p>
    <w:p w14:paraId="3C9727C7" w14:textId="77777777" w:rsidR="000630B1" w:rsidRDefault="000630B1" w:rsidP="000630B1">
      <w:pPr>
        <w:spacing w:after="0" w:line="360" w:lineRule="auto"/>
        <w:jc w:val="both"/>
        <w:rPr>
          <w:rFonts w:ascii="Arial" w:hAnsi="Arial" w:cs="Arial"/>
          <w:color w:val="000000"/>
          <w:sz w:val="24"/>
          <w:szCs w:val="24"/>
        </w:rPr>
      </w:pPr>
      <w:r>
        <w:rPr>
          <w:rFonts w:ascii="Arial" w:eastAsia="Calibri" w:hAnsi="Arial" w:cs="Arial"/>
          <w:sz w:val="24"/>
          <w:szCs w:val="24"/>
          <w:lang w:val="es-MX" w:eastAsia="es-MX"/>
        </w:rPr>
        <w:t xml:space="preserve">Se debe destacar que el aspecto más </w:t>
      </w:r>
      <w:r>
        <w:rPr>
          <w:rFonts w:ascii="Arial" w:hAnsi="Arial" w:cs="Arial"/>
          <w:color w:val="000000"/>
          <w:sz w:val="24"/>
          <w:szCs w:val="24"/>
        </w:rPr>
        <w:t xml:space="preserve">importante en la evaluación de modelos de cultivo es la determinación de parámetros o coeficientes específicos del cultivo (Hunt y Boote, 1998). </w:t>
      </w:r>
    </w:p>
    <w:p w14:paraId="0DDDD8EF" w14:textId="77777777" w:rsidR="000630B1" w:rsidRDefault="000630B1" w:rsidP="000630B1">
      <w:pPr>
        <w:spacing w:after="0" w:line="360" w:lineRule="auto"/>
        <w:jc w:val="both"/>
        <w:rPr>
          <w:rFonts w:ascii="Arial" w:hAnsi="Arial" w:cs="Arial"/>
          <w:color w:val="000000"/>
          <w:sz w:val="24"/>
          <w:szCs w:val="24"/>
        </w:rPr>
      </w:pPr>
      <w:r>
        <w:rPr>
          <w:rFonts w:ascii="Arial" w:hAnsi="Arial" w:cs="Arial"/>
          <w:color w:val="000000"/>
          <w:sz w:val="24"/>
          <w:szCs w:val="24"/>
        </w:rPr>
        <w:t xml:space="preserve">En la actualidad se cuenta con coeficientes genéticos para el cultivar de maíz </w:t>
      </w:r>
      <w:r>
        <w:rPr>
          <w:rFonts w:ascii="Arial" w:hAnsi="Arial" w:cs="Arial"/>
          <w:sz w:val="24"/>
          <w:szCs w:val="24"/>
        </w:rPr>
        <w:t>P-7928 el cual muestra un buen ajuste (Osmel tesis), aunque en la actualidad no se puede estimar rendimientos con la utilización hongos micorrízicos arbusculares (HMA).</w:t>
      </w:r>
    </w:p>
    <w:p w14:paraId="12D801EC" w14:textId="77777777" w:rsidR="000630B1" w:rsidRDefault="000630B1" w:rsidP="000630B1">
      <w:pPr>
        <w:spacing w:after="0" w:line="360" w:lineRule="auto"/>
        <w:jc w:val="both"/>
        <w:rPr>
          <w:rFonts w:ascii="Arial" w:hAnsi="Arial" w:cs="Arial"/>
          <w:sz w:val="24"/>
          <w:szCs w:val="24"/>
        </w:rPr>
      </w:pPr>
    </w:p>
    <w:p w14:paraId="03CE7DF3"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 antes expuesto hace que se utilicen como biofertilizantes para aumentar los rendimientos de diferentes cultivos entre los que se encuentra el maíz, por lo que sería de gran utilidad que el modelo permita realizar simulaciones incluyendo el  biofertilizante EcoMic® y más aún en la actualidad que se incrementa el uso de bioproductos orgánicos </w:t>
      </w:r>
      <w:r>
        <w:fldChar w:fldCharType="begin"/>
      </w:r>
      <w:r>
        <w:rPr>
          <w:rFonts w:ascii="Arial" w:hAnsi="Arial" w:cs="Arial"/>
          <w:sz w:val="24"/>
          <w:szCs w:val="24"/>
        </w:rPr>
        <w:instrText>ADDIN ZOTERO_ITEM CSL_CITATION {"citationID":"g2eP6NZI","properties":{"formattedCitation":"(Cabrales H et\\uc0\\u160{}al., 2017; Irizar Garza et\\uc0\\u160{}al., 2016)","plainCitation":"(Cabrales H et al., 2017; Irizar Garza et al., 2016)","dontUpdate":true,"noteIndex":0},"citationItems":[{"id":"UJQ2oGUC/UzjQm7Il","uris":["http://zotero.org/users/13364072/items/FI927G63"],"itemData":{"id":50,"type":"article-journal","abstract":"En suelos de sabana del estado Guárico – Venezuela, se evaluó la eficiencia de cuatro especies de hongos formadores de micorrizas nativa y su mezcla: Scutellospora pellucida, Scutellospora calospora, Glomus leptotichum y Acaulospora mellea en la toma de N y P, y su efecto en los rendimientos del cultivo de maíz hibrido HIMECA 3005 con 4 dosis de P (0, 27, 54 y 80 kg ha-1 de P2O5). Se sembró a 0,9 m entre hileras y 0,4 m entre plantas, la cuantificación del P y N foliar se hizo muestreando la hoja opuesta a la mazorca, por los métodos de Murphy – Riley y destilación con Kjeldalh; los redimientos se evaluaron en los tres surcos centrales de cada parcela. Se utilizó un diseño de bloques al azar con arregló factorial. Encontrándose que las dosis de P y los morfotipos evaluados influyeron en la toma de N y P, siendo 54 kg ha-1 de P2O5 y la mezcla de inóculos los de mejor eficiencia para la toma de N; mientras que la dosis de 54 kg ha-1 de P2O5 más Scutellospora pellucida para la toma de P. Se concluyó que estos inóculos pueden disminuir la aplicacion de P en un 25% e incrementar los rendimientos del maíz hasta en un 100% (de 2 a 4 t ha-1) con base en la producción de la zona.","language":"spa","source":"repositorio.unicordoba.edu.co","title":"Efecto de micorrizas nativas y fósforo en los rendimientos del maíz en Guárico, Venezuela","URL":"https://repositorio.unicordoba.edu.co/handle/ucordoba/312","author":[{"family":"Cabrales H","given":"Eliecer M."},{"family":"Toro","given":"Marcia"},{"family":"López Hernández","given":"Danilo"}],"accessed":{"date-parts":[["2024",2,1]]},"issued":{"date-parts":[["2017",7,27]]}}},{"id":"UJQ2oGUC/dmJi69gY","uris":["http://zotero.org/users/13364072/items/5XGTBT3A"],"itemData":{"id":53,"type":"article-journal","title":"Uso de micorriza y abonos orgánicos en el cultivo de maíz","author":[{"family":"Irizar Garza","given":"Martha Blanca Guadalupe"},{"family":"González Molina","given":"Luclia"},{"family":"Larqué Saavedra","given":"Bertha Sofía"},{"family":"Martínez Trejo","given":"Guillermina"},{"family":"Díaz Valasis","given":"Margarita"},{"family":"Muñiz Reyes","given":"Érica"}],"issued":{"date-parts":[["2016"]]}}}],"schema":"https://github.com/citation-style-language/schema/raw/master/csl-citation.json"}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(Cabrales H et al., 2017; Irizar Garza  et al., 2016)</w:t>
      </w:r>
      <w:r>
        <w:rPr>
          <w:rFonts w:ascii="Arial" w:hAnsi="Arial" w:cs="Arial"/>
          <w:sz w:val="24"/>
          <w:szCs w:val="24"/>
        </w:rPr>
        <w:fldChar w:fldCharType="end"/>
      </w:r>
      <w:r>
        <w:rPr>
          <w:rFonts w:ascii="Arial" w:hAnsi="Arial" w:cs="Arial"/>
          <w:sz w:val="24"/>
          <w:szCs w:val="24"/>
        </w:rPr>
        <w:t xml:space="preserve">. </w:t>
      </w:r>
    </w:p>
    <w:p w14:paraId="23C28422" w14:textId="77777777" w:rsidR="000630B1" w:rsidRDefault="000630B1" w:rsidP="000630B1">
      <w:pPr>
        <w:spacing w:after="0" w:line="360" w:lineRule="auto"/>
        <w:jc w:val="both"/>
        <w:rPr>
          <w:rFonts w:ascii="Arial" w:hAnsi="Arial" w:cs="Arial"/>
          <w:sz w:val="24"/>
          <w:szCs w:val="24"/>
        </w:rPr>
      </w:pPr>
    </w:p>
    <w:p w14:paraId="7853D04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 planteado anteriormente hace que surja como problema científico el siguiente:</w:t>
      </w:r>
    </w:p>
    <w:p w14:paraId="426B5D3C"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¿Cómo propiciar un uso racional del biofertilizante EcoMic® para el cultivar de maíz P-7928 y obtener rendimientos satisfactorios?</w:t>
      </w:r>
    </w:p>
    <w:p w14:paraId="2BE4AE6D"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rPr>
        <w:t>Para dar respuesta al problema científico se trazó como objetivo general: Proponer alternativas de manejo con biofertilizante EcoMic® para el cultivar de maíz P-7928 que propicien rendimientos satisfactorios utilizando el modelo DSSAT</w:t>
      </w:r>
    </w:p>
    <w:p w14:paraId="7F044716"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lang w:val="es-US"/>
        </w:rPr>
        <w:t>Hipótesis</w:t>
      </w:r>
    </w:p>
    <w:p w14:paraId="62281FBC" w14:textId="77777777" w:rsidR="000630B1" w:rsidRDefault="000630B1" w:rsidP="000630B1">
      <w:pPr>
        <w:spacing w:after="0" w:line="360" w:lineRule="auto"/>
        <w:jc w:val="both"/>
        <w:rPr>
          <w:rFonts w:ascii="Arial" w:hAnsi="Arial" w:cs="Arial"/>
          <w:sz w:val="24"/>
          <w:szCs w:val="24"/>
          <w:lang w:val="es-US"/>
        </w:rPr>
      </w:pPr>
      <w:r>
        <w:rPr>
          <w:rFonts w:ascii="Arial" w:hAnsi="Arial" w:cs="Arial"/>
          <w:sz w:val="24"/>
          <w:szCs w:val="24"/>
        </w:rPr>
        <w:lastRenderedPageBreak/>
        <w:t>La utilización de alternativas de manejo para el cultivar de maíz P-7928 basada en la aplicación de Ecomic® permiten un uso racional de la fertilización con rendimientos satisfactorios.</w:t>
      </w:r>
    </w:p>
    <w:p w14:paraId="38565C2B" w14:textId="77777777" w:rsidR="000630B1" w:rsidRDefault="000630B1" w:rsidP="000630B1">
      <w:pPr>
        <w:spacing w:after="0" w:line="360" w:lineRule="auto"/>
        <w:jc w:val="both"/>
        <w:rPr>
          <w:rFonts w:ascii="Arial" w:hAnsi="Arial" w:cs="Arial"/>
          <w:sz w:val="24"/>
          <w:szCs w:val="24"/>
          <w:lang w:val="es-US"/>
        </w:rPr>
      </w:pPr>
    </w:p>
    <w:p w14:paraId="641AB489" w14:textId="77777777" w:rsidR="000630B1" w:rsidRDefault="000630B1" w:rsidP="000630B1">
      <w:pPr>
        <w:spacing w:after="0" w:line="360" w:lineRule="auto"/>
        <w:jc w:val="both"/>
        <w:rPr>
          <w:rFonts w:ascii="Arial" w:hAnsi="Arial" w:cs="Arial"/>
          <w:sz w:val="24"/>
          <w:szCs w:val="24"/>
          <w:lang w:val="es-US"/>
        </w:rPr>
      </w:pPr>
    </w:p>
    <w:p w14:paraId="6F8CE095" w14:textId="77777777" w:rsidR="000630B1" w:rsidRDefault="000630B1" w:rsidP="000630B1">
      <w:pPr>
        <w:spacing w:after="0" w:line="360" w:lineRule="auto"/>
        <w:jc w:val="both"/>
        <w:rPr>
          <w:rFonts w:ascii="Arial" w:hAnsi="Arial" w:cs="Arial"/>
          <w:b/>
          <w:bCs/>
          <w:sz w:val="24"/>
          <w:szCs w:val="24"/>
        </w:rPr>
      </w:pPr>
      <w:r>
        <w:rPr>
          <w:rFonts w:ascii="Arial" w:hAnsi="Arial" w:cs="Arial"/>
          <w:sz w:val="24"/>
          <w:szCs w:val="24"/>
        </w:rPr>
        <w:t xml:space="preserve">Se proponen como </w:t>
      </w:r>
      <w:r>
        <w:rPr>
          <w:rFonts w:ascii="Arial" w:hAnsi="Arial" w:cs="Arial"/>
          <w:b/>
          <w:bCs/>
          <w:sz w:val="24"/>
          <w:szCs w:val="24"/>
        </w:rPr>
        <w:t>Objetivos específicos:</w:t>
      </w:r>
    </w:p>
    <w:p w14:paraId="0A9094CA" w14:textId="77777777" w:rsidR="000630B1" w:rsidRDefault="000630B1" w:rsidP="000630B1">
      <w:pPr>
        <w:spacing w:after="0" w:line="360" w:lineRule="auto"/>
        <w:jc w:val="both"/>
        <w:rPr>
          <w:rFonts w:ascii="Arial" w:hAnsi="Arial" w:cs="Arial"/>
          <w:sz w:val="24"/>
          <w:szCs w:val="24"/>
        </w:rPr>
      </w:pPr>
    </w:p>
    <w:p w14:paraId="67A8C925"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 xml:space="preserve">Evaluar el comportamiento del </w:t>
      </w:r>
      <w:commentRangeStart w:id="1"/>
      <w:r>
        <w:rPr>
          <w:rFonts w:ascii="Arial" w:hAnsi="Arial" w:cs="Arial"/>
          <w:sz w:val="24"/>
          <w:szCs w:val="24"/>
        </w:rPr>
        <w:t>cultivar</w:t>
      </w:r>
      <w:commentRangeEnd w:id="1"/>
      <w:r>
        <w:commentReference w:id="1"/>
      </w:r>
      <w:r>
        <w:rPr>
          <w:rFonts w:ascii="Arial" w:hAnsi="Arial" w:cs="Arial"/>
          <w:sz w:val="24"/>
          <w:szCs w:val="24"/>
        </w:rPr>
        <w:t xml:space="preserve"> P-7928 utilizando el modelo DSSAT con y sin EcoMic®  </w:t>
      </w:r>
    </w:p>
    <w:p w14:paraId="51398062"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Determinar la variabilidad del rendimiento cultivar P-7928 simulado en el modelo DSSAT y con la aplicación de EcoMic®.</w:t>
      </w:r>
    </w:p>
    <w:p w14:paraId="25FF17AE" w14:textId="77777777" w:rsidR="000630B1" w:rsidRDefault="000630B1" w:rsidP="000630B1">
      <w:pPr>
        <w:pStyle w:val="Prrafodelista"/>
        <w:numPr>
          <w:ilvl w:val="0"/>
          <w:numId w:val="3"/>
        </w:numPr>
        <w:suppressAutoHyphens/>
        <w:spacing w:after="0" w:line="360" w:lineRule="auto"/>
        <w:jc w:val="both"/>
        <w:rPr>
          <w:rFonts w:ascii="Arial" w:hAnsi="Arial" w:cs="Arial"/>
          <w:sz w:val="24"/>
          <w:szCs w:val="24"/>
          <w:lang w:val="es-US"/>
        </w:rPr>
      </w:pPr>
      <w:r>
        <w:rPr>
          <w:rFonts w:ascii="Arial" w:hAnsi="Arial" w:cs="Arial"/>
          <w:sz w:val="24"/>
          <w:szCs w:val="24"/>
        </w:rPr>
        <w:t>Proponer alternativas de manejo más adecuada para el cultivar de maíz P-7928 utilizando EcoMic®.</w:t>
      </w:r>
    </w:p>
    <w:p w14:paraId="463C2D27" w14:textId="77777777" w:rsidR="000630B1" w:rsidRDefault="000630B1" w:rsidP="000630B1">
      <w:pPr>
        <w:pStyle w:val="Prrafodelista"/>
        <w:spacing w:after="0" w:line="360" w:lineRule="auto"/>
        <w:jc w:val="both"/>
        <w:rPr>
          <w:rFonts w:ascii="Arial" w:hAnsi="Arial" w:cs="Arial"/>
          <w:sz w:val="24"/>
          <w:szCs w:val="24"/>
          <w:lang w:val="es-US"/>
        </w:rPr>
      </w:pPr>
    </w:p>
    <w:p w14:paraId="0D9CFAD3" w14:textId="77777777" w:rsidR="000630B1" w:rsidRDefault="000630B1" w:rsidP="000630B1">
      <w:pPr>
        <w:spacing w:after="0" w:line="360" w:lineRule="auto"/>
        <w:jc w:val="both"/>
        <w:rPr>
          <w:rFonts w:ascii="Arial" w:hAnsi="Arial" w:cs="Arial"/>
          <w:color w:val="000000" w:themeColor="text1"/>
          <w:sz w:val="24"/>
          <w:szCs w:val="24"/>
        </w:rPr>
      </w:pPr>
    </w:p>
    <w:p w14:paraId="5A4F3955" w14:textId="77777777" w:rsidR="000630B1" w:rsidRDefault="000630B1" w:rsidP="000630B1">
      <w:pPr>
        <w:spacing w:after="0" w:line="360" w:lineRule="auto"/>
        <w:jc w:val="both"/>
        <w:rPr>
          <w:rFonts w:ascii="Arial" w:hAnsi="Arial" w:cs="Arial"/>
          <w:sz w:val="24"/>
          <w:szCs w:val="24"/>
          <w:lang w:val="es-ES_tradnl"/>
        </w:rPr>
      </w:pPr>
      <w:r>
        <w:rPr>
          <w:rFonts w:ascii="Arial" w:hAnsi="Arial" w:cs="Arial"/>
          <w:b/>
          <w:sz w:val="24"/>
          <w:szCs w:val="24"/>
          <w:lang w:val="es-ES_tradnl"/>
        </w:rPr>
        <w:t>Proyecto Asociado:</w:t>
      </w:r>
      <w:r>
        <w:rPr>
          <w:rFonts w:ascii="Arial" w:hAnsi="Arial" w:cs="Arial"/>
          <w:sz w:val="24"/>
          <w:szCs w:val="24"/>
          <w:lang w:val="es-ES_tradnl"/>
        </w:rPr>
        <w:t xml:space="preserve"> Utilización de la modelación como herramienta para predecir el comportamiento de los cultivos de </w:t>
      </w:r>
      <w:r>
        <w:rPr>
          <w:rStyle w:val="object"/>
          <w:rFonts w:ascii="Arial" w:hAnsi="Arial" w:cs="Arial"/>
          <w:sz w:val="24"/>
          <w:szCs w:val="24"/>
          <w:lang w:val="es-ES_tradnl"/>
        </w:rPr>
        <w:t>ma</w:t>
      </w:r>
      <w:r>
        <w:rPr>
          <w:rFonts w:ascii="Arial" w:hAnsi="Arial" w:cs="Arial"/>
          <w:sz w:val="24"/>
          <w:szCs w:val="24"/>
          <w:lang w:val="es-ES_tradnl"/>
        </w:rPr>
        <w:t>íz y sorgo ante los cambios climáticos y trazar estrategias para la adaptación.</w:t>
      </w:r>
    </w:p>
    <w:p w14:paraId="2C575310" w14:textId="77777777" w:rsidR="000630B1" w:rsidRDefault="000630B1" w:rsidP="000630B1">
      <w:pPr>
        <w:spacing w:after="0" w:line="360" w:lineRule="auto"/>
        <w:jc w:val="both"/>
        <w:rPr>
          <w:rFonts w:ascii="Arial" w:hAnsi="Arial" w:cs="Arial"/>
          <w:sz w:val="24"/>
          <w:szCs w:val="24"/>
          <w:lang w:val="es-ES_tradnl"/>
        </w:rPr>
      </w:pPr>
      <w:r>
        <w:rPr>
          <w:rFonts w:ascii="Arial" w:hAnsi="Arial" w:cs="Arial"/>
          <w:sz w:val="24"/>
          <w:szCs w:val="24"/>
          <w:lang w:val="es-ES_tradnl"/>
        </w:rPr>
        <w:t>Proyecto de Lucy</w:t>
      </w:r>
    </w:p>
    <w:p w14:paraId="2D1A56D8" w14:textId="77777777" w:rsidR="000630B1" w:rsidRDefault="000630B1" w:rsidP="000630B1">
      <w:pPr>
        <w:pStyle w:val="Ttulo1"/>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b w:val="0"/>
          <w:color w:val="000000" w:themeColor="text1"/>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CAPÍTULO I. REVISIÓN BIBLIOGRÁFICA</w:t>
      </w:r>
    </w:p>
    <w:p w14:paraId="668261A0"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32E82A11"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 cultivo del maíz</w:t>
      </w:r>
    </w:p>
    <w:p w14:paraId="0FA29A15" w14:textId="77777777" w:rsidR="000630B1" w:rsidRDefault="000630B1" w:rsidP="000630B1">
      <w:pPr>
        <w:spacing w:after="0" w:line="480" w:lineRule="auto"/>
        <w:jc w:val="both"/>
        <w:rPr>
          <w:rFonts w:ascii="Arial" w:hAnsi="Arial" w:cs="Arial"/>
          <w:sz w:val="24"/>
          <w:szCs w:val="24"/>
        </w:rPr>
      </w:pPr>
    </w:p>
    <w:p w14:paraId="6BFDCB2D"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El maíz (Zea mays L.) es un cereal con alto potencial para la producción de carbohidratos por unidad de superficie por día, es el que posee mayor rendimiento de granos por hectáreas y después del trigo es de mayor producción total, actualmente se produce en 125 países y se encuentra entre los tres cultivos más </w:t>
      </w:r>
      <w:r>
        <w:rPr>
          <w:rFonts w:ascii="Arial" w:hAnsi="Arial" w:cs="Arial"/>
          <w:sz w:val="24"/>
          <w:szCs w:val="24"/>
        </w:rPr>
        <w:lastRenderedPageBreak/>
        <w:t>sembrados en 75 de dichos países. (</w:t>
      </w:r>
      <w:hyperlink r:id="rId8">
        <w:r>
          <w:rPr>
            <w:rStyle w:val="Hipervnculo"/>
            <w:rFonts w:ascii="Arial" w:hAnsi="Arial" w:cs="Arial"/>
            <w:sz w:val="24"/>
            <w:szCs w:val="24"/>
          </w:rPr>
          <w:t>https://ri.conicet.gov.ar/handle/11336/162758</w:t>
        </w:r>
      </w:hyperlink>
      <w:r>
        <w:rPr>
          <w:rFonts w:ascii="Arial" w:hAnsi="Arial" w:cs="Arial"/>
          <w:sz w:val="24"/>
          <w:szCs w:val="24"/>
        </w:rPr>
        <w:t xml:space="preserve">) </w:t>
      </w:r>
      <w:r>
        <w:fldChar w:fldCharType="begin"/>
      </w:r>
      <w:r>
        <w:rPr>
          <w:rFonts w:ascii="Arial" w:hAnsi="Arial" w:cs="Arial"/>
          <w:sz w:val="24"/>
          <w:szCs w:val="24"/>
        </w:rPr>
        <w:instrText>ADDIN ZOTERO_ITEM CSL_CITATION {"citationID":"EtMm0YAo","properties":{"formattedCitation":"(FAOSTAT,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szCs w:val="24"/>
        </w:rPr>
        <w:t>(FAOSTAT, 2020)</w:t>
      </w:r>
      <w:r>
        <w:rPr>
          <w:rFonts w:ascii="Arial" w:hAnsi="Arial" w:cs="Arial"/>
          <w:sz w:val="24"/>
          <w:szCs w:val="24"/>
        </w:rPr>
        <w:fldChar w:fldCharType="end"/>
      </w:r>
      <w:r>
        <w:rPr>
          <w:rFonts w:ascii="Arial" w:hAnsi="Arial" w:cs="Arial"/>
          <w:sz w:val="24"/>
          <w:szCs w:val="24"/>
        </w:rPr>
        <w:t xml:space="preserve">. </w:t>
      </w:r>
    </w:p>
    <w:p w14:paraId="02687C5B" w14:textId="77777777" w:rsidR="000630B1" w:rsidRDefault="000630B1" w:rsidP="000630B1">
      <w:pPr>
        <w:spacing w:after="0" w:line="480" w:lineRule="auto"/>
        <w:jc w:val="both"/>
        <w:rPr>
          <w:rFonts w:ascii="Arial" w:hAnsi="Arial" w:cs="Arial"/>
          <w:sz w:val="24"/>
          <w:szCs w:val="24"/>
        </w:rPr>
      </w:pPr>
      <w:r>
        <w:rPr>
          <w:rFonts w:ascii="Calibri" w:hAnsi="Calibri" w:cs="Calibri"/>
        </w:rPr>
        <w:t>Este cultivo es considerado de gran importancia económica a nivel mundial ya sea como alimento humano, por ser uno de los granos alimenticios más antiguos que se conocen, como alimento para el ganado o como materia prima de un gran número de productos industriales como</w:t>
      </w:r>
      <w:r>
        <w:rPr>
          <w:rFonts w:ascii="Arial" w:hAnsi="Arial" w:cs="Arial"/>
          <w:sz w:val="24"/>
          <w:szCs w:val="24"/>
        </w:rPr>
        <w:t xml:space="preserve"> medicamentos, cosméticos o sopas</w:t>
      </w:r>
      <w:r>
        <w:rPr>
          <w:rFonts w:ascii="Calibri" w:hAnsi="Calibri" w:cs="Calibri"/>
        </w:rPr>
        <w:t xml:space="preserve">. </w:t>
      </w:r>
      <w:r>
        <w:rPr>
          <w:rFonts w:ascii="Arial" w:hAnsi="Arial" w:cs="Arial"/>
          <w:sz w:val="24"/>
          <w:szCs w:val="24"/>
        </w:rPr>
        <w:t>(</w:t>
      </w:r>
      <w:hyperlink r:id="rId9">
        <w:r>
          <w:rPr>
            <w:rStyle w:val="Hipervnculo"/>
            <w:rFonts w:ascii="Arial" w:hAnsi="Arial" w:cs="Arial"/>
            <w:sz w:val="24"/>
            <w:szCs w:val="24"/>
          </w:rPr>
          <w:t>https://ri.conicet.gov.ar/handle/11336/162758</w:t>
        </w:r>
      </w:hyperlink>
      <w:r>
        <w:rPr>
          <w:rFonts w:ascii="Arial" w:hAnsi="Arial" w:cs="Arial"/>
          <w:sz w:val="24"/>
          <w:szCs w:val="24"/>
        </w:rPr>
        <w:t>)(</w:t>
      </w:r>
      <w:r>
        <w:fldChar w:fldCharType="begin"/>
      </w:r>
      <w:r>
        <w:rPr>
          <w:rFonts w:ascii="Arial" w:hAnsi="Arial" w:cs="Arial"/>
          <w:sz w:val="24"/>
          <w:szCs w:val="24"/>
        </w:rPr>
        <w:instrText>ADDIN ZOTERO_ITEM CSL_CITATION {"citationID":"99zw0Vd0","properties":{"formattedCitation":"(Ayala &amp; Dabdab, 2020)","plainCitation":"(Ayala &amp; Dabdab, 2020)","dontUpdate":true,"noteIndex":0},"citationItems":[{"id":"UJQ2oGUC/tGQIi9Co","uris":["http://zotero.org/users/local/NeejuBUy/items/8J5IFK58"],"itemData":{"id":169,"type":"article-journal","container-title":"Trabajo y Sociedad","ISSN":"1514-6871","issue":"34","page":"211-220","title":"Factores que influyen en la recomendación de uso del maíz criollo: Un estudio para extensionistas salvadoreños.","volume":"21","author":[{"family":"Ayala","given":"Carlos"},{"family":"Dabdab","given":"Paulo"}],"issued":{"date-parts":[["2020"]]}}}],"schema":"https://github.com/citation-style-language/schema/raw/master/csl-citation.json"}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Ayala y Dabdab (2020)</w:t>
      </w:r>
      <w:r>
        <w:rPr>
          <w:rFonts w:ascii="Arial" w:hAnsi="Arial" w:cs="Arial"/>
          <w:sz w:val="24"/>
          <w:szCs w:val="24"/>
        </w:rPr>
        <w:fldChar w:fldCharType="end"/>
      </w:r>
    </w:p>
    <w:p w14:paraId="7D775E09"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Es el cereal más consumido en América Latina y en África Subsahariana y. Se prevé que para el año 2025, se convierta en el cultivo de mayor producción a nivel mundial y para el 2050, la demanda de este grano en el mundo en desarrollo se duplicará </w:t>
      </w:r>
      <w:r>
        <w:fldChar w:fldCharType="begin"/>
      </w:r>
      <w:r>
        <w:rPr>
          <w:rFonts w:ascii="Arial" w:hAnsi="Arial" w:cs="Arial"/>
          <w:sz w:val="24"/>
          <w:szCs w:val="24"/>
        </w:rPr>
        <w:instrText>ADDIN ZOTERO_ITEM CSL_CITATION {"citationID":"e8JCrg8g","properties":{"formattedCitation":"(FAOSTAT, 2020)","plainCitation":"(FAOSTAT, 2020)","noteIndex":0},"citationItems":[{"id":"UJQ2oGUC/9s4aplzp","uris":["http://zotero.org/users/local/NeejuBUy/items/DQQ7Y3EN"],"itemData":{"id":210,"type":"webpage","container-title":"Food and Agriculture Organization of the United Nations","title":"Crops","URL":"https://www.fao.org/faostat/","author":[{"family":"FAOSTAT","given":""}],"accessed":{"date-parts":[["2023",2,7]]},"issued":{"date-parts":[["2020"]]}}}],"schema":"https://github.com/citation-style-language/schema/raw/master/csl-citation.json"}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(FAOSTAT, 2020)</w:t>
      </w:r>
      <w:r>
        <w:rPr>
          <w:rFonts w:ascii="Arial" w:hAnsi="Arial" w:cs="Arial"/>
          <w:sz w:val="24"/>
          <w:szCs w:val="24"/>
        </w:rPr>
        <w:fldChar w:fldCharType="end"/>
      </w:r>
      <w:r>
        <w:rPr>
          <w:rFonts w:ascii="Arial" w:hAnsi="Arial" w:cs="Arial"/>
          <w:sz w:val="24"/>
          <w:szCs w:val="24"/>
        </w:rPr>
        <w:t xml:space="preserve">. </w:t>
      </w:r>
    </w:p>
    <w:p w14:paraId="675F7B34" w14:textId="77777777" w:rsidR="000630B1" w:rsidRDefault="000630B1" w:rsidP="000630B1">
      <w:pPr>
        <w:pStyle w:val="Ttulo3"/>
        <w:spacing w:before="0" w:line="480" w:lineRule="auto"/>
        <w:rPr>
          <w:rFonts w:cs="Arial"/>
          <w:b/>
          <w:color w:val="000000" w:themeColor="text1"/>
        </w:rPr>
      </w:pPr>
      <w:bookmarkStart w:id="2" w:name="_Toc148350394"/>
      <w:bookmarkStart w:id="3" w:name="_Toc138712724"/>
      <w:r>
        <w:rPr>
          <w:rFonts w:cs="Arial"/>
          <w:color w:val="000000" w:themeColor="text1"/>
        </w:rPr>
        <w:t>1.5.2 El cultivo del maíz en Cuba</w:t>
      </w:r>
      <w:bookmarkEnd w:id="2"/>
      <w:bookmarkEnd w:id="3"/>
      <w:r>
        <w:rPr>
          <w:rFonts w:cs="Arial"/>
          <w:color w:val="000000" w:themeColor="text1"/>
        </w:rPr>
        <w:t xml:space="preserve"> </w:t>
      </w:r>
    </w:p>
    <w:p w14:paraId="55065514"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En el año 2021, en Cuba se cosecharon 126 035 ha, de ellas, al sector estatal correspondieron 23 278 ha y al sector campesino 102 757 ha; con una producción de 238 721 toneladas (38 872 t en el sector estatal y 199 848 t en el campesino). El rendimiento del maíz fue de 1,89 t ha</w:t>
      </w:r>
      <w:r>
        <w:rPr>
          <w:rFonts w:ascii="Arial" w:hAnsi="Arial" w:cs="Arial"/>
          <w:sz w:val="24"/>
          <w:szCs w:val="24"/>
          <w:vertAlign w:val="superscript"/>
        </w:rPr>
        <w:t>-1</w:t>
      </w:r>
      <w:r>
        <w:rPr>
          <w:rFonts w:ascii="Arial" w:hAnsi="Arial" w:cs="Arial"/>
          <w:sz w:val="24"/>
          <w:szCs w:val="24"/>
        </w:rPr>
        <w:t xml:space="preserve"> (1,67 t ha</w:t>
      </w:r>
      <w:r>
        <w:rPr>
          <w:rFonts w:ascii="Arial" w:hAnsi="Arial" w:cs="Arial"/>
          <w:sz w:val="24"/>
          <w:szCs w:val="24"/>
          <w:vertAlign w:val="superscript"/>
        </w:rPr>
        <w:t>-1</w:t>
      </w:r>
      <w:r>
        <w:rPr>
          <w:rFonts w:ascii="Arial" w:hAnsi="Arial" w:cs="Arial"/>
          <w:sz w:val="24"/>
          <w:szCs w:val="24"/>
        </w:rPr>
        <w:t xml:space="preserve"> en el sector estatal y 1,94 t ha</w:t>
      </w:r>
      <w:r>
        <w:rPr>
          <w:rFonts w:ascii="Arial" w:hAnsi="Arial" w:cs="Arial"/>
          <w:sz w:val="24"/>
          <w:szCs w:val="24"/>
          <w:vertAlign w:val="superscript"/>
        </w:rPr>
        <w:t>-1</w:t>
      </w:r>
      <w:r>
        <w:rPr>
          <w:rFonts w:ascii="Arial" w:hAnsi="Arial" w:cs="Arial"/>
          <w:sz w:val="24"/>
          <w:szCs w:val="24"/>
        </w:rPr>
        <w:t xml:space="preserve"> en el campesino) </w:t>
      </w:r>
      <w:r>
        <w:fldChar w:fldCharType="begin"/>
      </w:r>
      <w:r>
        <w:rPr>
          <w:rFonts w:ascii="Arial" w:hAnsi="Arial" w:cs="Arial"/>
          <w:sz w:val="24"/>
          <w:szCs w:val="24"/>
        </w:rPr>
        <w:instrText>ADDIN ZOTERO_ITEM CSL_CITATION {"citationID":"kg3PM3bh","properties":{"formattedCitation":"(ONEI, 2022)","plainCitation":"(ONEI, 2022)","noteIndex":0},"citationItems":[{"id":"UJQ2oGUC/LGVZV1vX","uris":["http://zotero.org/users/local/NeejuBUy/items/YNYPXUBJ"],"itemData":{"id":243,"type":"book","title":"Anuario estadístico de Cuba, 2020","author":[{"family":"ONEI","given":""}],"issued":{"date-parts":[["2022"]]}}}],"schema":"https://github.com/citation-style-language/schema/raw/master/csl-citation.json"}</w:instrText>
      </w:r>
      <w:r>
        <w:rPr>
          <w:rFonts w:ascii="Arial" w:hAnsi="Arial" w:cs="Arial"/>
          <w:sz w:val="24"/>
          <w:szCs w:val="24"/>
        </w:rPr>
        <w:fldChar w:fldCharType="separate"/>
      </w:r>
      <w:r>
        <w:rPr>
          <w:rFonts w:ascii="Arial" w:hAnsi="Arial" w:cs="Arial"/>
          <w:sz w:val="24"/>
        </w:rPr>
        <w:t>(ONEI, 2022)</w:t>
      </w:r>
      <w:r>
        <w:rPr>
          <w:rFonts w:ascii="Arial" w:hAnsi="Arial" w:cs="Arial"/>
          <w:sz w:val="24"/>
          <w:szCs w:val="24"/>
        </w:rPr>
        <w:fldChar w:fldCharType="end"/>
      </w:r>
      <w:r>
        <w:rPr>
          <w:rFonts w:ascii="Arial" w:hAnsi="Arial" w:cs="Arial"/>
          <w:sz w:val="24"/>
          <w:szCs w:val="24"/>
        </w:rPr>
        <w:t xml:space="preserve">. </w:t>
      </w:r>
    </w:p>
    <w:p w14:paraId="6EFABC46"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Se cultiva en toda la isla, pero se destacan las provincias de las regiones central y oriental con mayores superficies de siembra. Se siembra principalmente maíz de grano amarillo (cristalino o dentado), para la alimentación humana en forma de elotes (mazorca en estado tierno) y en grano seco para consumo humano y animal </w:t>
      </w:r>
      <w:r>
        <w:fldChar w:fldCharType="begin"/>
      </w:r>
      <w:r>
        <w:rPr>
          <w:rFonts w:ascii="Arial" w:hAnsi="Arial" w:cs="Arial"/>
          <w:sz w:val="24"/>
          <w:szCs w:val="24"/>
        </w:rPr>
        <w:instrText>ADDIN ZOTERO_ITEM CSL_CITATION {"citationID":"elCAzOP7","properties":{"formattedCitation":"(IIG,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 xml:space="preserve">.  </w:t>
      </w:r>
    </w:p>
    <w:p w14:paraId="2415CBBB" w14:textId="77777777" w:rsidR="000630B1" w:rsidRDefault="000630B1" w:rsidP="000630B1">
      <w:pPr>
        <w:pStyle w:val="Ttulo2"/>
      </w:pPr>
      <w:r>
        <w:lastRenderedPageBreak/>
        <w:t xml:space="preserve">Cultivares comerciales del maíz </w:t>
      </w:r>
    </w:p>
    <w:p w14:paraId="733599F9"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En nuestro país se cuenta con 47 cultivares comerciales, de las cuales sólo cuatro son tradicionales y el resto son cultivares avanzados procedentes de diferentes programas nacionales de mejoramiento. De igual forma, existen 18 variedades tradicionales más, que aunque no están registradas en la lista oficial, son utilizadas por los campesinos </w:t>
      </w:r>
      <w:r>
        <w:fldChar w:fldCharType="begin"/>
      </w:r>
      <w:r>
        <w:rPr>
          <w:rFonts w:ascii="Arial" w:hAnsi="Arial" w:cs="Arial"/>
          <w:sz w:val="24"/>
          <w:szCs w:val="24"/>
        </w:rPr>
        <w:instrText>ADDIN ZOTERO_ITEM CSL_CITATION {"citationID":"K6nGduyL","properties":{"formattedCitation":"(Acosta et\\uc0\\u160{}al., 2013)","plainCitation":"(Acosta et al., 2013)","noteIndex":0},"citationItems":[{"id":"UJQ2oGUC/9o6vx41y","uris":["http://zotero.org/users/local/NeejuBUy/items/2RY8P4CR"],"itemData":{"id":161,"type":"article-journal","abstract":"The genetic variability in maize (Zea mays, L.) is due to the same mechanisms operating in populations of organisms in the evolutionary process, both spontaneously and under domestication ways, as well as to the numerous ecological niches and the environmental effects that each climatic condition has on the populations during their adaptation. However, the experiences of the programs of plant breeding developed by farmers in this crop have been little documented. The present work shows evidences about the advantages of a program of plant breeding developed in Cuba, to obtain populations of maize adapted to the low inputs conditions in Batabanó, Mayabeque province. The morphological evaluation showed that it was characterized by high plants, with shafts of medium grosor, leaves of half width and a tendency to have from 1 to 2 ears. They had a good coverage; were long and thin in a conical-cylindrical way, with few willing arrays lightly in hairspring and grains numerous semidents of color orange. It was found that the quantitative characters of grain and cob were in which bigger selection pressure was exerted by, influencing in the determination of the characteristic morphologicals of final population. This characterization coincided with the genetic patterns of the Canilla type. The major results in the yield of poblation «RAUL» with respect to control, should validate the selection made by the farmer, being an indicator of the advantages of the processes of participatory plant breeding in allogamous plants.","container-title":"Cultivos Tropicales","issue":"2","language":"es","page":"52-60","source":"Zotero","title":"Evaluación morfoagronómica de una población de maíz (Zea mays, L.) en condiciones de polinización abierta en el municipio Batabanó, provincia Mayabeque","volume":"34","author":[{"family":"Acosta","given":"Rosa"},{"family":"Colomer","given":"Adán"},{"family":"Ríos","given":"Humberto"},{"family":"Martínez","given":"Michel"}],"issued":{"date-parts":[["2013"]]}}}],"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(Acosta </w:t>
      </w:r>
      <w:r>
        <w:rPr>
          <w:rFonts w:ascii="Arial" w:hAnsi="Arial" w:cs="Arial"/>
          <w:i/>
          <w:sz w:val="24"/>
          <w:szCs w:val="24"/>
        </w:rPr>
        <w:t>et al</w:t>
      </w:r>
      <w:r>
        <w:rPr>
          <w:rFonts w:ascii="Arial" w:hAnsi="Arial" w:cs="Arial"/>
          <w:sz w:val="24"/>
          <w:szCs w:val="24"/>
        </w:rPr>
        <w:t>., 2013)</w:t>
      </w:r>
      <w:r>
        <w:rPr>
          <w:rFonts w:ascii="Arial" w:hAnsi="Arial" w:cs="Arial"/>
          <w:sz w:val="24"/>
          <w:szCs w:val="24"/>
        </w:rPr>
        <w:fldChar w:fldCharType="end"/>
      </w:r>
      <w:r>
        <w:rPr>
          <w:rFonts w:ascii="Arial" w:hAnsi="Arial" w:cs="Arial"/>
          <w:sz w:val="24"/>
          <w:szCs w:val="24"/>
        </w:rPr>
        <w:t xml:space="preserve">. Esta diversidad ha sido ampliamente utilizada por el hombre, ya sea de forma empírica, como las que llevan a cabo los productores desde el proceso de domesticación hasta la actualidad. </w:t>
      </w:r>
    </w:p>
    <w:p w14:paraId="6A60EBE0"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En Cuba, se señala la existencia de siete razas de maíz, que se diferencian y clasifican principalmente por los caracteres de la mazorca: Maíz Criollo, Tusón, Argentino, Canilla, White Pop, Yellow Pop y White Dent </w:t>
      </w:r>
      <w:r>
        <w:fldChar w:fldCharType="begin"/>
      </w:r>
      <w:r>
        <w:rPr>
          <w:rFonts w:ascii="Arial" w:hAnsi="Arial" w:cs="Arial"/>
          <w:sz w:val="24"/>
          <w:szCs w:val="24"/>
        </w:rPr>
        <w:instrText>ADDIN ZOTERO_ITEM CSL_CITATION {"citationID":"JI4lYRJ3","properties":{"formattedCitation":"(Mart\\uc0\\u237{}nez et\\uc0\\u160{}al., 2011)","plainCitation":"(Martínez et al., 2011)","noteIndex":0},"citationItems":[{"id":"UJQ2oGUC/7VbYDUjN","uris":["http://zotero.org/users/local/NeejuBUy/items/T3VX4RZE"],"itemData":{"id":109,"type":"article-journal","abstract":"In our country, the corn is cultivated from the time of the aboriginal ones and it constitutes a basic food in the human nutrition, of the livestock and the birds; it is the second cereal of importance and has high consumption preference for the population. In Cuba, six races of corn exist with a high diversity, which has been broadly studied. The present work was carried out in a sample of 106 local varieties, these local varieties were included conserved in situ in peasants’ properties and conserved ex situ. The objective of the study was to evaluate the degree of variability of the collection; using for it 16 characters. The obtained results allowed to detect the existence of variability in the sample. It was demonstrated that the evaluated collection of corn presented variability due to the difference among genotypes, to the plurality of origins, handling and environmental conditions in that this cultivation is developed in Cuba. Also, in the studied collection, the variability of the evaluated characters is moderate, due to the selection that the peasants carry out on them. The most variable characters were the incidence of Spodoptera frugiperda (Smith), height to the superior ear and weight of a hundred seeds.","container-title":"Cultivos Tropicales","ISSN":"1819-4087","issue":"4","language":"es","page":"35-43","source":"Zotero","title":"Evaluación de la variabilidad morfoagronómica de una colección cubana de maíz (Zea mays L.)","volume":"32","author":[{"family":"Martínez","given":"Michel"},{"family":"Ortiz","given":"Rodobaldo"},{"family":"Ríos","given":"Humberto"},{"family":"Acosta","given":"Rosa"}],"issued":{"date-parts":[["2011"]]}}}],"schema":"https://github.com/citation-style-language/schema/raw/master/csl-citation.json"}</w:instrText>
      </w:r>
      <w:r>
        <w:rPr>
          <w:rFonts w:ascii="Arial" w:hAnsi="Arial" w:cs="Arial"/>
          <w:sz w:val="24"/>
          <w:szCs w:val="24"/>
        </w:rPr>
        <w:fldChar w:fldCharType="separate"/>
      </w:r>
      <w:r>
        <w:rPr>
          <w:rFonts w:ascii="Arial" w:hAnsi="Arial" w:cs="Arial"/>
          <w:sz w:val="24"/>
          <w:szCs w:val="24"/>
        </w:rPr>
        <w:t>(Martínez et al., 2011)</w:t>
      </w:r>
      <w:r>
        <w:rPr>
          <w:rFonts w:ascii="Arial" w:hAnsi="Arial" w:cs="Arial"/>
          <w:sz w:val="24"/>
          <w:szCs w:val="24"/>
        </w:rPr>
        <w:fldChar w:fldCharType="end"/>
      </w:r>
      <w:r>
        <w:rPr>
          <w:rFonts w:ascii="Arial" w:hAnsi="Arial" w:cs="Arial"/>
          <w:sz w:val="24"/>
          <w:szCs w:val="24"/>
        </w:rPr>
        <w:t>.</w:t>
      </w:r>
    </w:p>
    <w:p w14:paraId="2345EB7C"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Dentro de los principales cultivares comerciales de maíz se encuentran: Francisco Mejorado, VST- 6, P-7928, Tusón, FR-28, INIVIT-4, Rosita, entre otras </w:t>
      </w:r>
      <w:r>
        <w:fldChar w:fldCharType="begin"/>
      </w:r>
      <w:r>
        <w:rPr>
          <w:rFonts w:ascii="Arial" w:hAnsi="Arial" w:cs="Arial"/>
          <w:sz w:val="24"/>
          <w:szCs w:val="24"/>
        </w:rPr>
        <w:instrText>ADDIN ZOTERO_ITEM CSL_CITATION {"citationID":"NyaSNH4u","properties":{"formattedCitation":"(MINAG, 2015)","plainCitation":"(MINAG, 2015)","noteIndex":0},"citationItems":[{"id":"UJQ2oGUC/khkaXII1","uris":["http://zotero.org/users/local/NeejuBUy/items/L2BL7CI2"],"itemData":{"id":236,"type":"book","event-place":"La Habana","publisher":"Ministerio de Agricultura","publisher-place":"La Habana","title":"Lista oficial de variedades comerciales. Registro de variedades comerciales","author":[{"family":"MINAG","given":""}],"issued":{"date-parts":[["2015"]]}}}],"schema":"https://github.com/citation-style-language/schema/raw/master/csl-citation.json"}</w:instrText>
      </w:r>
      <w:r>
        <w:rPr>
          <w:rFonts w:ascii="Arial" w:hAnsi="Arial" w:cs="Arial"/>
          <w:sz w:val="24"/>
          <w:szCs w:val="24"/>
        </w:rPr>
        <w:fldChar w:fldCharType="separate"/>
      </w:r>
      <w:r>
        <w:rPr>
          <w:rFonts w:ascii="Arial" w:hAnsi="Arial" w:cs="Arial"/>
          <w:sz w:val="24"/>
        </w:rPr>
        <w:t>(MINAG, 2015)</w:t>
      </w:r>
      <w:r>
        <w:rPr>
          <w:rFonts w:ascii="Arial" w:hAnsi="Arial" w:cs="Arial"/>
          <w:sz w:val="24"/>
          <w:szCs w:val="24"/>
        </w:rPr>
        <w:fldChar w:fldCharType="end"/>
      </w:r>
      <w:r>
        <w:rPr>
          <w:rFonts w:ascii="Arial" w:hAnsi="Arial" w:cs="Arial"/>
          <w:sz w:val="24"/>
          <w:szCs w:val="24"/>
        </w:rPr>
        <w:t xml:space="preserve">. Es importante destacar que estas variedades de maíz tienen excelentes características agronómicas y buen rendimiento, adaptados a nuestras condiciones climáticas </w:t>
      </w:r>
      <w:r>
        <w:fldChar w:fldCharType="begin"/>
      </w:r>
      <w:r>
        <w:rPr>
          <w:rFonts w:ascii="Arial" w:hAnsi="Arial" w:cs="Arial"/>
          <w:sz w:val="24"/>
          <w:szCs w:val="24"/>
        </w:rPr>
        <w:instrText>ADDIN ZOTERO_ITEM CSL_CITATION {"citationID":"V2tcxAtD","properties":{"formattedCitation":"(IIG,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Fonts w:ascii="Arial" w:hAnsi="Arial" w:cs="Arial"/>
          <w:sz w:val="24"/>
          <w:szCs w:val="24"/>
        </w:rPr>
        <w:fldChar w:fldCharType="separate"/>
      </w:r>
      <w:r>
        <w:rPr>
          <w:rFonts w:ascii="Arial" w:hAnsi="Arial" w:cs="Arial"/>
          <w:sz w:val="24"/>
        </w:rPr>
        <w:t>(IIG, 2020)</w:t>
      </w:r>
      <w:r>
        <w:rPr>
          <w:rFonts w:ascii="Arial" w:hAnsi="Arial" w:cs="Arial"/>
          <w:sz w:val="24"/>
          <w:szCs w:val="24"/>
        </w:rPr>
        <w:fldChar w:fldCharType="end"/>
      </w:r>
      <w:r>
        <w:rPr>
          <w:rFonts w:ascii="Arial" w:hAnsi="Arial" w:cs="Arial"/>
          <w:sz w:val="24"/>
          <w:szCs w:val="24"/>
        </w:rPr>
        <w:t>.</w:t>
      </w:r>
    </w:p>
    <w:p w14:paraId="4C67B83B" w14:textId="77777777" w:rsidR="000630B1" w:rsidRDefault="000630B1" w:rsidP="000630B1">
      <w:pPr>
        <w:pStyle w:val="Ttulo2"/>
        <w:rPr>
          <w:rStyle w:val="rynqvb"/>
          <w:rFonts w:cs="Arial"/>
          <w:color w:val="000000" w:themeColor="text1"/>
          <w:szCs w:val="24"/>
        </w:rPr>
      </w:pPr>
      <w:bookmarkStart w:id="4" w:name="_Toc148350395"/>
      <w:bookmarkStart w:id="5" w:name="_Toc138712725"/>
      <w:r>
        <w:rPr>
          <w:rStyle w:val="rynqvb"/>
          <w:rFonts w:cs="Arial"/>
          <w:color w:val="000000" w:themeColor="text1"/>
          <w:szCs w:val="24"/>
        </w:rPr>
        <w:t>1.6 Aspectos del crecimiento y desarrollo de la planta de maíz</w:t>
      </w:r>
      <w:bookmarkEnd w:id="4"/>
      <w:bookmarkEnd w:id="5"/>
      <w:r>
        <w:rPr>
          <w:rStyle w:val="rynqvb"/>
          <w:rFonts w:cs="Arial"/>
          <w:color w:val="000000" w:themeColor="text1"/>
          <w:szCs w:val="24"/>
        </w:rPr>
        <w:t xml:space="preserve"> </w:t>
      </w:r>
    </w:p>
    <w:p w14:paraId="42139483"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El maíz tiene varias etapas vegetativas (V) y reproductivas (R).</w:t>
      </w:r>
      <w:r>
        <w:rPr>
          <w:rStyle w:val="hwtze"/>
          <w:rFonts w:ascii="Arial" w:hAnsi="Arial" w:cs="Arial"/>
          <w:sz w:val="24"/>
          <w:szCs w:val="24"/>
        </w:rPr>
        <w:t xml:space="preserve"> </w:t>
      </w:r>
      <w:r>
        <w:rPr>
          <w:rStyle w:val="rynqvb"/>
          <w:rFonts w:ascii="Arial" w:hAnsi="Arial" w:cs="Arial"/>
          <w:sz w:val="24"/>
          <w:szCs w:val="24"/>
        </w:rPr>
        <w:t>Las subdivisiones de las etapas V se designan numéricamente como VE (Emergencia), V1 (es visible el cuello de la hoja más baja), V2 (segunda hoja), V3 (tercera hoja), hasta V(n), donde (n) representa la última hoja</w:t>
      </w:r>
      <w:r>
        <w:rPr>
          <w:rStyle w:val="hwtze"/>
          <w:rFonts w:ascii="Arial" w:hAnsi="Arial" w:cs="Arial"/>
          <w:sz w:val="24"/>
          <w:szCs w:val="24"/>
        </w:rPr>
        <w:t xml:space="preserve"> </w:t>
      </w:r>
      <w:r>
        <w:rPr>
          <w:rStyle w:val="rynqvb"/>
          <w:rFonts w:ascii="Arial" w:hAnsi="Arial" w:cs="Arial"/>
          <w:sz w:val="24"/>
          <w:szCs w:val="24"/>
        </w:rPr>
        <w:t>antes de VT (espiga) para el cultivar específico bajo consideración.</w:t>
      </w:r>
      <w:r>
        <w:rPr>
          <w:rStyle w:val="hwtze"/>
          <w:rFonts w:ascii="Arial" w:hAnsi="Arial" w:cs="Arial"/>
          <w:sz w:val="24"/>
          <w:szCs w:val="24"/>
        </w:rPr>
        <w:t xml:space="preserve"> </w:t>
      </w:r>
      <w:r>
        <w:rPr>
          <w:rStyle w:val="rynqvb"/>
          <w:rFonts w:ascii="Arial" w:hAnsi="Arial" w:cs="Arial"/>
          <w:sz w:val="24"/>
          <w:szCs w:val="24"/>
        </w:rPr>
        <w:t>Las etapas primera y última V se designan como VE (emergencia) y VT (espiga).</w:t>
      </w:r>
      <w:r>
        <w:rPr>
          <w:rStyle w:val="hwtze"/>
          <w:rFonts w:ascii="Arial" w:hAnsi="Arial" w:cs="Arial"/>
          <w:sz w:val="24"/>
          <w:szCs w:val="24"/>
        </w:rPr>
        <w:t xml:space="preserve"> </w:t>
      </w:r>
      <w:r>
        <w:rPr>
          <w:rStyle w:val="rynqvb"/>
          <w:rFonts w:ascii="Arial" w:hAnsi="Arial" w:cs="Arial"/>
          <w:sz w:val="24"/>
          <w:szCs w:val="24"/>
        </w:rPr>
        <w:t xml:space="preserve">El (n) fluctuará con factores de genotipo y ambientales. </w:t>
      </w:r>
    </w:p>
    <w:p w14:paraId="043540B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lastRenderedPageBreak/>
        <w:t xml:space="preserve">Para determinar las etapas de desarrollo reproductivo, el enfoque es observar los granos en la mazorca </w:t>
      </w:r>
      <w:r>
        <w:fldChar w:fldCharType="begin"/>
      </w:r>
      <w:r>
        <w:rPr>
          <w:rStyle w:val="rynqvb"/>
          <w:rFonts w:ascii="Arial" w:hAnsi="Arial" w:cs="Arial"/>
          <w:sz w:val="24"/>
          <w:szCs w:val="24"/>
        </w:rPr>
        <w:instrText>ADDIN ZOTERO_ITEM CSL_CITATION {"citationID":"JqpS9Dil","properties":{"formattedCitation":"(Nleya,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Las seis subdivisiones de las etapas reproductivas se designan numéricamente y estas son: R1 (antesis), R2 (ampolla), R3 (lechoso), R4 (pastoso), R5 (dentado) y R6 (madurez fisiológica)  </w:t>
      </w:r>
      <w:r>
        <w:fldChar w:fldCharType="begin"/>
      </w:r>
      <w:r>
        <w:rPr>
          <w:rStyle w:val="rynqvb"/>
          <w:rFonts w:ascii="Arial" w:hAnsi="Arial" w:cs="Arial"/>
          <w:sz w:val="24"/>
          <w:szCs w:val="24"/>
        </w:rPr>
        <w:instrText>ADDIN ZOTERO_ITEM CSL_CITATION {"citationID":"Fa7agGMw","properties":{"unsorted":true,"formattedCitation":"(PIONEER, 2015; CONACYT, 2019)","plainCitation":"(PIONEER, 2015; CONACYT, 2019)","noteIndex":0},"citationItems":[{"id":"UJQ2oGUC/LAAWW5sX","uris":["http://zotero.org/users/local/NeejuBUy/items/RTJIA7LA"],"itemData":{"id":245,"type":"book","title":"Maíz. Crecimiento y desarrollo","author":[{"family":"PIONEER","given":""}],"issued":{"date-parts":[["2015"]]}},"label":"page"},{"id":"UJQ2oGUC/LpwqkImz","uris":["http://zotero.org/users/local/NeejuBUy/items/36UKHA39"],"itemData":{"id":202,"type":"webpage","title":"Maíz","URL":"https://conacyt.mx/cibiogem/index.php/maiz","author":[{"family":"CONACYT","given":""}],"accessed":{"date-parts":[["2022",2,14]]},"issued":{"date-parts":[["2019"]]}},"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(PIONEER, 2015; CONACYT, 2019)</w:t>
      </w:r>
      <w:r>
        <w:rPr>
          <w:rStyle w:val="rynqvb"/>
          <w:rFonts w:ascii="Arial" w:hAnsi="Arial" w:cs="Arial"/>
          <w:sz w:val="24"/>
          <w:szCs w:val="24"/>
        </w:rPr>
        <w:fldChar w:fldCharType="end"/>
      </w:r>
      <w:r>
        <w:rPr>
          <w:rFonts w:ascii="Arial" w:hAnsi="Arial" w:cs="Arial"/>
          <w:sz w:val="24"/>
          <w:szCs w:val="24"/>
        </w:rPr>
        <w:t>.</w:t>
      </w:r>
    </w:p>
    <w:p w14:paraId="0A000E70" w14:textId="77777777" w:rsidR="000630B1" w:rsidRDefault="000630B1" w:rsidP="000630B1">
      <w:pPr>
        <w:pStyle w:val="Ttulo3"/>
        <w:rPr>
          <w:rStyle w:val="rynqvb"/>
          <w:rFonts w:cs="Arial"/>
          <w:b/>
          <w:color w:val="000000" w:themeColor="text1"/>
        </w:rPr>
      </w:pPr>
      <w:bookmarkStart w:id="6" w:name="_Toc148350396"/>
      <w:bookmarkStart w:id="7" w:name="_Toc138712726"/>
      <w:r>
        <w:rPr>
          <w:rStyle w:val="rynqvb"/>
          <w:rFonts w:cs="Arial"/>
          <w:color w:val="000000" w:themeColor="text1"/>
        </w:rPr>
        <w:t xml:space="preserve">1.6.1 Fase </w:t>
      </w:r>
      <w:r>
        <w:rPr>
          <w:rStyle w:val="rynqvb"/>
        </w:rPr>
        <w:t>vegetativa</w:t>
      </w:r>
      <w:bookmarkEnd w:id="6"/>
      <w:bookmarkEnd w:id="7"/>
    </w:p>
    <w:p w14:paraId="3F369862"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Emergencia y germinación</w:t>
      </w:r>
    </w:p>
    <w:p w14:paraId="2C80BC32"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semilla de maíz comienza a germinar al contener como mínimo un 30 % de humedad </w:t>
      </w:r>
      <w:r>
        <w:fldChar w:fldCharType="begin"/>
      </w:r>
      <w:r>
        <w:rPr>
          <w:rStyle w:val="rynqvb"/>
          <w:rFonts w:ascii="Arial" w:hAnsi="Arial" w:cs="Arial"/>
          <w:sz w:val="24"/>
          <w:szCs w:val="24"/>
        </w:rPr>
        <w:instrText>ADDIN ZOTERO_ITEM CSL_CITATION {"citationID":"QQA1c5ZF","properties":{"formattedCitation":"(Nleya,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La primera estructura de plántula que emerge de la semilla es la radícula (raíz), seguida por el coleoptilo. Para emerger, el primer entrenudo de la planta de maíz, el mesocotilo se alarga hacia la superficie del suelo y continúa hasta que el coleoptilo alcanza la luz </w:t>
      </w:r>
      <w:r>
        <w:fldChar w:fldCharType="begin"/>
      </w:r>
      <w:r>
        <w:rPr>
          <w:rStyle w:val="rynqvb"/>
          <w:rFonts w:ascii="Arial" w:hAnsi="Arial" w:cs="Arial"/>
          <w:sz w:val="24"/>
          <w:szCs w:val="24"/>
        </w:rPr>
        <w:instrText>ADDIN ZOTERO_ITEM CSL_CITATION {"citationID":"TSOn2XuD","properties":{"formattedCitation":"(Nleya,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La emergencia tiene lugar cuando el brote joven empuja a través de la superficie del suelo.</w:t>
      </w:r>
      <w:r>
        <w:rPr>
          <w:rStyle w:val="hwtze"/>
          <w:rFonts w:ascii="Arial" w:hAnsi="Arial" w:cs="Arial"/>
          <w:sz w:val="24"/>
          <w:szCs w:val="24"/>
        </w:rPr>
        <w:t xml:space="preserve"> </w:t>
      </w:r>
      <w:r>
        <w:rPr>
          <w:rStyle w:val="rynqvb"/>
          <w:rFonts w:ascii="Arial" w:hAnsi="Arial" w:cs="Arial"/>
          <w:sz w:val="24"/>
          <w:szCs w:val="24"/>
        </w:rPr>
        <w:t>Esta puede ocurrir de cuatro a cinco días posteriores a la siembra en condiciones óptimas y hasta 14 días en condiciones frescas o secas.</w:t>
      </w:r>
    </w:p>
    <w:p w14:paraId="61C0A6C6" w14:textId="77777777" w:rsidR="000630B1" w:rsidRDefault="000630B1" w:rsidP="000630B1">
      <w:pPr>
        <w:spacing w:after="0" w:line="480" w:lineRule="auto"/>
        <w:jc w:val="both"/>
        <w:rPr>
          <w:rStyle w:val="hwtze"/>
          <w:rFonts w:ascii="Arial" w:hAnsi="Arial" w:cs="Arial"/>
          <w:sz w:val="24"/>
          <w:szCs w:val="24"/>
        </w:rPr>
      </w:pPr>
      <w:r>
        <w:rPr>
          <w:rStyle w:val="rynqvb"/>
          <w:rFonts w:ascii="Arial" w:hAnsi="Arial" w:cs="Arial"/>
          <w:sz w:val="24"/>
          <w:szCs w:val="24"/>
        </w:rPr>
        <w:t>La primera hoja de la planta de maíz tiene una punta redondeada que es útil para la identificación, las siguientes son puntiagudas.</w:t>
      </w:r>
      <w:r>
        <w:rPr>
          <w:rStyle w:val="hwtze"/>
          <w:rFonts w:ascii="Arial" w:hAnsi="Arial" w:cs="Arial"/>
          <w:sz w:val="24"/>
          <w:szCs w:val="24"/>
        </w:rPr>
        <w:t xml:space="preserve"> </w:t>
      </w:r>
      <w:r>
        <w:rPr>
          <w:rStyle w:val="rynqvb"/>
          <w:rFonts w:ascii="Arial" w:hAnsi="Arial" w:cs="Arial"/>
          <w:sz w:val="24"/>
          <w:szCs w:val="24"/>
        </w:rPr>
        <w:t>Una hoja de maíz consta de tres componentes morfológicos distintos: la lámina, el cuello y la vaina.</w:t>
      </w:r>
      <w:r>
        <w:rPr>
          <w:rStyle w:val="hwtze"/>
          <w:rFonts w:ascii="Arial" w:hAnsi="Arial" w:cs="Arial"/>
          <w:sz w:val="24"/>
          <w:szCs w:val="24"/>
        </w:rPr>
        <w:t xml:space="preserve"> </w:t>
      </w:r>
      <w:r>
        <w:rPr>
          <w:rStyle w:val="rynqvb"/>
          <w:rFonts w:ascii="Arial" w:hAnsi="Arial" w:cs="Arial"/>
          <w:sz w:val="24"/>
          <w:szCs w:val="24"/>
        </w:rPr>
        <w:t>Se alcanza una nueva etapa de crecimiento por cada nueva hoja que tiene el cuello visible. V6 es una de las etapas clave para el desarrollo y, en este momento, el punto de crecimiento está por encima del suelo, se inician brotes de mazorcas y panojas.</w:t>
      </w:r>
      <w:r>
        <w:rPr>
          <w:rStyle w:val="hwtze"/>
          <w:rFonts w:ascii="Arial" w:hAnsi="Arial" w:cs="Arial"/>
          <w:sz w:val="24"/>
          <w:szCs w:val="24"/>
        </w:rPr>
        <w:t xml:space="preserve"> </w:t>
      </w:r>
      <w:r>
        <w:rPr>
          <w:rStyle w:val="rynqvb"/>
          <w:rFonts w:ascii="Arial" w:hAnsi="Arial" w:cs="Arial"/>
          <w:sz w:val="24"/>
          <w:szCs w:val="24"/>
        </w:rPr>
        <w:t xml:space="preserve">A partir de V10, se hace difícil determinar la fase porque las hojas inferiores comienzan a caerse de la planta </w:t>
      </w:r>
      <w:r>
        <w:fldChar w:fldCharType="begin"/>
      </w:r>
      <w:r>
        <w:rPr>
          <w:rStyle w:val="rynqvb"/>
          <w:rFonts w:ascii="Arial" w:hAnsi="Arial" w:cs="Arial"/>
          <w:sz w:val="24"/>
          <w:szCs w:val="24"/>
        </w:rPr>
        <w:instrText>ADDIN ZOTERO_ITEM CSL_CITATION {"citationID":"aZFFcdSO","properties":{"formattedCitation":"(Nleya,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36CAE740"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lastRenderedPageBreak/>
        <w:t xml:space="preserve">Etapa de espiga </w:t>
      </w:r>
    </w:p>
    <w:p w14:paraId="21165C9E"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La etapa vegetativa final(VT)  es la de crecimiento de la espiga que ocurre dos o tres días antes de la antesis, cuando la última rama de la espiga es completamente visible, pero aún no han emergido los estigmas en los brotes de la mazorca </w:t>
      </w:r>
      <w:r>
        <w:fldChar w:fldCharType="begin"/>
      </w:r>
      <w:r>
        <w:rPr>
          <w:rStyle w:val="rynqvb"/>
          <w:rFonts w:ascii="Arial" w:hAnsi="Arial" w:cs="Arial"/>
          <w:sz w:val="24"/>
          <w:szCs w:val="24"/>
        </w:rPr>
        <w:instrText>ADDIN ZOTERO_ITEM CSL_CITATION {"citationID":"wp5v2gns","properties":{"formattedCitation":"(Nleya,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Cuando la planta alcanza su altura máxima, comienza la liberación de polen. El tiempo entre VT y R1 puede variar entre cultivares y debido a las condiciones del ambiente.</w:t>
      </w:r>
      <w:r>
        <w:rPr>
          <w:rStyle w:val="hwtze"/>
          <w:rFonts w:ascii="Arial" w:hAnsi="Arial" w:cs="Arial"/>
          <w:sz w:val="24"/>
          <w:szCs w:val="24"/>
        </w:rPr>
        <w:t xml:space="preserve"> </w:t>
      </w:r>
    </w:p>
    <w:p w14:paraId="71EBCF1F" w14:textId="77777777" w:rsidR="000630B1" w:rsidRDefault="000630B1" w:rsidP="000630B1">
      <w:pPr>
        <w:pStyle w:val="Ttulo3"/>
        <w:rPr>
          <w:rStyle w:val="rynqvb"/>
          <w:rFonts w:cs="Arial"/>
          <w:b/>
          <w:color w:val="000000" w:themeColor="text1"/>
        </w:rPr>
      </w:pPr>
      <w:bookmarkStart w:id="8" w:name="_Toc148350397"/>
      <w:bookmarkStart w:id="9" w:name="_Toc138712727"/>
      <w:r>
        <w:rPr>
          <w:rStyle w:val="rynqvb"/>
          <w:rFonts w:cs="Arial"/>
          <w:color w:val="000000" w:themeColor="text1"/>
        </w:rPr>
        <w:t xml:space="preserve">1.6.2 Fase </w:t>
      </w:r>
      <w:r>
        <w:rPr>
          <w:rStyle w:val="rynqvb"/>
        </w:rPr>
        <w:t>reproductiva</w:t>
      </w:r>
      <w:bookmarkEnd w:id="8"/>
      <w:bookmarkEnd w:id="9"/>
      <w:r>
        <w:rPr>
          <w:rStyle w:val="rynqvb"/>
          <w:rFonts w:cs="Arial"/>
          <w:color w:val="000000" w:themeColor="text1"/>
        </w:rPr>
        <w:t xml:space="preserve"> </w:t>
      </w:r>
    </w:p>
    <w:p w14:paraId="7E75BB2A"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antesis </w:t>
      </w:r>
    </w:p>
    <w:p w14:paraId="059A3179"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En la etapa de antesis (R1), surgen los estigmas de las mazorcas, que son</w:t>
      </w:r>
      <w:r>
        <w:rPr>
          <w:rStyle w:val="hwtze"/>
          <w:rFonts w:ascii="Arial" w:hAnsi="Arial" w:cs="Arial"/>
          <w:sz w:val="24"/>
          <w:szCs w:val="24"/>
        </w:rPr>
        <w:t xml:space="preserve"> </w:t>
      </w:r>
      <w:r>
        <w:rPr>
          <w:rStyle w:val="rynqvb"/>
          <w:rFonts w:ascii="Arial" w:hAnsi="Arial" w:cs="Arial"/>
          <w:sz w:val="24"/>
          <w:szCs w:val="24"/>
        </w:rPr>
        <w:t>viables y receptivos al polen durante al menos cinco días.</w:t>
      </w:r>
      <w:r>
        <w:rPr>
          <w:rStyle w:val="hwtze"/>
          <w:rFonts w:ascii="Arial" w:hAnsi="Arial" w:cs="Arial"/>
          <w:sz w:val="24"/>
          <w:szCs w:val="24"/>
        </w:rPr>
        <w:t xml:space="preserve"> </w:t>
      </w:r>
      <w:r>
        <w:rPr>
          <w:rStyle w:val="rynqvb"/>
          <w:rFonts w:ascii="Arial" w:hAnsi="Arial" w:cs="Arial"/>
          <w:sz w:val="24"/>
          <w:szCs w:val="24"/>
        </w:rPr>
        <w:t xml:space="preserve">Los estigmas tienen el mayor contenido de agua entre todas las partes de la planta de maíz y la sequía hace que el alargamiento de los estigmas sea más lento y que la liberación de polen se acelere </w:t>
      </w:r>
      <w:r>
        <w:fldChar w:fldCharType="begin"/>
      </w:r>
      <w:r>
        <w:rPr>
          <w:rStyle w:val="rynqvb"/>
          <w:rFonts w:ascii="Arial" w:hAnsi="Arial" w:cs="Arial"/>
          <w:sz w:val="24"/>
          <w:szCs w:val="24"/>
        </w:rPr>
        <w:instrText>ADDIN ZOTERO_ITEM CSL_CITATION {"citationID":"PHl7KwgS","properties":{"formattedCitation":"(Nleya,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0768A223"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 ampolla </w:t>
      </w:r>
    </w:p>
    <w:p w14:paraId="5420CE83"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etapa R2 ocurre alrededor de 10 a 12 días después de la antesis.</w:t>
      </w:r>
      <w:r>
        <w:rPr>
          <w:rStyle w:val="hwtze"/>
          <w:rFonts w:ascii="Arial" w:hAnsi="Arial" w:cs="Arial"/>
          <w:sz w:val="24"/>
          <w:szCs w:val="24"/>
        </w:rPr>
        <w:t xml:space="preserve"> </w:t>
      </w:r>
      <w:r>
        <w:rPr>
          <w:rStyle w:val="rynqvb"/>
          <w:rFonts w:ascii="Arial" w:hAnsi="Arial" w:cs="Arial"/>
          <w:sz w:val="24"/>
          <w:szCs w:val="24"/>
        </w:rPr>
        <w:t>En este punto, el grano es visible y se parece a una ampolla y está lleno de un líquido transparente.</w:t>
      </w:r>
      <w:r>
        <w:rPr>
          <w:rStyle w:val="hwtze"/>
          <w:rFonts w:ascii="Arial" w:hAnsi="Arial" w:cs="Arial"/>
          <w:sz w:val="24"/>
          <w:szCs w:val="24"/>
        </w:rPr>
        <w:t xml:space="preserve"> </w:t>
      </w:r>
      <w:r>
        <w:rPr>
          <w:rStyle w:val="rynqvb"/>
          <w:rFonts w:ascii="Arial" w:hAnsi="Arial" w:cs="Arial"/>
          <w:sz w:val="24"/>
          <w:szCs w:val="24"/>
        </w:rPr>
        <w:t xml:space="preserve">En la etapa de ampolla, el embrión es apenas visible y contiene aproximadamente un 85 % de contenido de humedad </w:t>
      </w:r>
      <w:r>
        <w:fldChar w:fldCharType="begin"/>
      </w:r>
      <w:r>
        <w:rPr>
          <w:rStyle w:val="rynqvb"/>
          <w:rFonts w:ascii="Arial" w:hAnsi="Arial" w:cs="Arial"/>
          <w:sz w:val="24"/>
          <w:szCs w:val="24"/>
        </w:rPr>
        <w:instrText>ADDIN ZOTERO_ITEM CSL_CITATION {"citationID":"nx6lpzrR","properties":{"formattedCitation":"(Nleya,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099F6178"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lechoso </w:t>
      </w:r>
    </w:p>
    <w:p w14:paraId="426ADEF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tercera etapa reproductiva (R3) ocurre aproximadamente 18-20 días después de la antesis.</w:t>
      </w:r>
      <w:r>
        <w:rPr>
          <w:rStyle w:val="hwtze"/>
          <w:rFonts w:ascii="Arial" w:hAnsi="Arial" w:cs="Arial"/>
          <w:sz w:val="24"/>
          <w:szCs w:val="24"/>
        </w:rPr>
        <w:t xml:space="preserve"> </w:t>
      </w:r>
      <w:r>
        <w:rPr>
          <w:rStyle w:val="rynqvb"/>
          <w:rFonts w:ascii="Arial" w:hAnsi="Arial" w:cs="Arial"/>
          <w:sz w:val="24"/>
          <w:szCs w:val="24"/>
        </w:rPr>
        <w:t>El grano es de color amarillo y el interior contiene un líquido blanco "lechoso".</w:t>
      </w:r>
      <w:r>
        <w:rPr>
          <w:rStyle w:val="hwtze"/>
          <w:rFonts w:ascii="Arial" w:hAnsi="Arial" w:cs="Arial"/>
          <w:sz w:val="24"/>
          <w:szCs w:val="24"/>
        </w:rPr>
        <w:t xml:space="preserve"> </w:t>
      </w:r>
      <w:r>
        <w:rPr>
          <w:rStyle w:val="rynqvb"/>
          <w:rFonts w:ascii="Arial" w:hAnsi="Arial" w:cs="Arial"/>
          <w:sz w:val="24"/>
          <w:szCs w:val="24"/>
        </w:rPr>
        <w:t xml:space="preserve">El contenido de humedad del grano es de aproximadamente 80 % y el almidón comienza a acumularse en el grano </w:t>
      </w:r>
      <w:r>
        <w:fldChar w:fldCharType="begin"/>
      </w:r>
      <w:r>
        <w:rPr>
          <w:rStyle w:val="rynqvb"/>
          <w:rFonts w:ascii="Arial" w:hAnsi="Arial" w:cs="Arial"/>
          <w:sz w:val="24"/>
          <w:szCs w:val="24"/>
        </w:rPr>
        <w:instrText>ADDIN ZOTERO_ITEM CSL_CITATION {"citationID":"cRjWRZCL","properties":{"formattedCitation":"(Nleya,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18F836D8"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lastRenderedPageBreak/>
        <w:t xml:space="preserve">Etapa pastoso </w:t>
      </w:r>
    </w:p>
    <w:p w14:paraId="055CCE2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La etapa (R4) ocurre aproximadamente 24-26 días después de la antesis.</w:t>
      </w:r>
      <w:r>
        <w:rPr>
          <w:rStyle w:val="hwtze"/>
          <w:rFonts w:ascii="Arial" w:hAnsi="Arial" w:cs="Arial"/>
          <w:sz w:val="24"/>
          <w:szCs w:val="24"/>
        </w:rPr>
        <w:t xml:space="preserve"> </w:t>
      </w:r>
      <w:r>
        <w:rPr>
          <w:rStyle w:val="rynqvb"/>
          <w:rFonts w:ascii="Arial" w:hAnsi="Arial" w:cs="Arial"/>
          <w:sz w:val="24"/>
          <w:szCs w:val="24"/>
        </w:rPr>
        <w:t>En este punto, el interior del grano se espesa hasta convertirse en una masa o sustancia pastosa.</w:t>
      </w:r>
      <w:r>
        <w:rPr>
          <w:rStyle w:val="hwtze"/>
          <w:rFonts w:ascii="Arial" w:hAnsi="Arial" w:cs="Arial"/>
          <w:sz w:val="24"/>
          <w:szCs w:val="24"/>
        </w:rPr>
        <w:t xml:space="preserve"> E</w:t>
      </w:r>
      <w:r>
        <w:rPr>
          <w:rStyle w:val="rynqvb"/>
          <w:rFonts w:ascii="Arial" w:hAnsi="Arial" w:cs="Arial"/>
          <w:sz w:val="24"/>
          <w:szCs w:val="24"/>
        </w:rPr>
        <w:t xml:space="preserve">l contenido de humedad del grano es de aproximadamente 70 % </w:t>
      </w:r>
      <w:r>
        <w:fldChar w:fldCharType="begin"/>
      </w:r>
      <w:r>
        <w:rPr>
          <w:rStyle w:val="rynqvb"/>
          <w:rFonts w:ascii="Arial" w:hAnsi="Arial" w:cs="Arial"/>
          <w:sz w:val="24"/>
          <w:szCs w:val="24"/>
        </w:rPr>
        <w:instrText>ADDIN ZOTERO_ITEM CSL_CITATION {"citationID":"RTSAh3ob","properties":{"formattedCitation":"(Nleya,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 xml:space="preserve">El grano está abollado en la parte superior debido a la acumulación de almidón y representa aproximadamente la mitad de la masa seca. </w:t>
      </w:r>
    </w:p>
    <w:p w14:paraId="545D1477"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Etapa dentado </w:t>
      </w:r>
    </w:p>
    <w:p w14:paraId="11E70DD2"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En la etapa dentada (R5) los granos tienen un contenido de humedad del 60 % y el estrés reduce la masa del grano en este momento.</w:t>
      </w:r>
      <w:r>
        <w:rPr>
          <w:rStyle w:val="hwtze"/>
          <w:rFonts w:ascii="Arial" w:hAnsi="Arial" w:cs="Arial"/>
          <w:sz w:val="24"/>
          <w:szCs w:val="24"/>
        </w:rPr>
        <w:t xml:space="preserve"> O</w:t>
      </w:r>
      <w:r>
        <w:rPr>
          <w:rStyle w:val="rynqvb"/>
          <w:rFonts w:ascii="Arial" w:hAnsi="Arial" w:cs="Arial"/>
          <w:sz w:val="24"/>
          <w:szCs w:val="24"/>
        </w:rPr>
        <w:t>curre aproximadamente 31-33 días después de la antesis.</w:t>
      </w:r>
      <w:r>
        <w:rPr>
          <w:rStyle w:val="hwtze"/>
          <w:rFonts w:ascii="Arial" w:hAnsi="Arial" w:cs="Arial"/>
          <w:sz w:val="24"/>
          <w:szCs w:val="24"/>
        </w:rPr>
        <w:t xml:space="preserve"> </w:t>
      </w:r>
      <w:r>
        <w:rPr>
          <w:rStyle w:val="rynqvb"/>
          <w:rFonts w:ascii="Arial" w:hAnsi="Arial" w:cs="Arial"/>
          <w:sz w:val="24"/>
          <w:szCs w:val="24"/>
        </w:rPr>
        <w:t>Los granos están dentados en la parte superior con la "línea de leche" que separa las porciones líquidas y sólidas (almidón)</w:t>
      </w:r>
      <w:r>
        <w:rPr>
          <w:rStyle w:val="hwtze"/>
          <w:rFonts w:ascii="Arial" w:hAnsi="Arial" w:cs="Arial"/>
          <w:sz w:val="24"/>
          <w:szCs w:val="24"/>
        </w:rPr>
        <w:t xml:space="preserve"> </w:t>
      </w:r>
      <w:r>
        <w:fldChar w:fldCharType="begin"/>
      </w:r>
      <w:r>
        <w:rPr>
          <w:rStyle w:val="rynqvb"/>
          <w:rFonts w:ascii="Arial" w:hAnsi="Arial" w:cs="Arial"/>
          <w:sz w:val="24"/>
          <w:szCs w:val="24"/>
        </w:rPr>
        <w:instrText>ADDIN ZOTERO_ITEM CSL_CITATION {"citationID":"HUw0vdjy","properties":{"formattedCitation":"(Nleya,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 xml:space="preserve">. </w:t>
      </w:r>
    </w:p>
    <w:p w14:paraId="6809FD0A" w14:textId="77777777" w:rsidR="000630B1" w:rsidRDefault="000630B1" w:rsidP="000630B1">
      <w:pPr>
        <w:pStyle w:val="Ttulo2"/>
        <w:rPr>
          <w:rStyle w:val="rynqvb"/>
          <w:rFonts w:cs="Arial"/>
          <w:b w:val="0"/>
          <w:i/>
          <w:color w:val="000000" w:themeColor="text1"/>
          <w:szCs w:val="24"/>
        </w:rPr>
      </w:pPr>
      <w:r>
        <w:rPr>
          <w:rStyle w:val="rynqvb"/>
          <w:rFonts w:cs="Arial"/>
          <w:color w:val="000000" w:themeColor="text1"/>
          <w:szCs w:val="24"/>
        </w:rPr>
        <w:t xml:space="preserve">Madurez fisiológica </w:t>
      </w:r>
    </w:p>
    <w:p w14:paraId="623D5AF9"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En la madurez fisiológica (R6) hay una acumulación máxima de materia seca y la humedad del grano es de aproximadamente 30 % a 35 % y varía según el cultivo y el ambiente </w:t>
      </w:r>
      <w:r>
        <w:fldChar w:fldCharType="begin"/>
      </w:r>
      <w:r>
        <w:rPr>
          <w:rStyle w:val="rynqvb"/>
          <w:rFonts w:ascii="Arial" w:hAnsi="Arial" w:cs="Arial"/>
          <w:sz w:val="24"/>
          <w:szCs w:val="24"/>
        </w:rPr>
        <w:instrText>ADDIN ZOTERO_ITEM CSL_CITATION {"citationID":"1LgZBFmv","properties":{"formattedCitation":"(Nleya, 2019)","plainCitation":"(Nleya, 2019)","noteIndex":0},"citationItems":[{"id":"UJQ2oGUC/CUKrBmKR","uris":["http://zotero.org/users/local/NeejuBUy/items/JRDPYLLN"],"itemData":{"id":241,"type":"chapter","container-title":"Corn best management practices","publisher":"South Dakota State University","title":"Corn Growth and Development","author":[{"family":"Nleya","given":"T"}],"issued":{"date-parts":[["2019"]]}}}],"schema":"https://github.com/citation-style-language/schema/raw/master/csl-citation.json"}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(Nleya, 2019)</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r>
        <w:rPr>
          <w:rStyle w:val="rynqvb"/>
          <w:rFonts w:ascii="Arial" w:hAnsi="Arial" w:cs="Arial"/>
          <w:sz w:val="24"/>
          <w:szCs w:val="24"/>
        </w:rPr>
        <w:t>La “capa negra” ocurre después de la madurez fisiológica y sirve como verificación visual de que el grano está maduro.</w:t>
      </w:r>
      <w:r>
        <w:rPr>
          <w:rStyle w:val="hwtze"/>
          <w:rFonts w:ascii="Arial" w:hAnsi="Arial" w:cs="Arial"/>
          <w:sz w:val="24"/>
          <w:szCs w:val="24"/>
        </w:rPr>
        <w:t xml:space="preserve"> </w:t>
      </w:r>
      <w:r>
        <w:rPr>
          <w:rStyle w:val="rynqvb"/>
          <w:rFonts w:ascii="Arial" w:hAnsi="Arial" w:cs="Arial"/>
          <w:sz w:val="24"/>
          <w:szCs w:val="24"/>
        </w:rPr>
        <w:t xml:space="preserve">El número de días necesarios para alcanzar la madurez depende del lugar, la fecha de siembra y el clima al que se somete la planta en una temporada de crecimiento particular </w:t>
      </w:r>
      <w:r>
        <w:fldChar w:fldCharType="begin"/>
      </w:r>
      <w:r>
        <w:rPr>
          <w:rStyle w:val="rynqvb"/>
          <w:rFonts w:ascii="Arial" w:hAnsi="Arial" w:cs="Arial"/>
          <w:sz w:val="24"/>
          <w:szCs w:val="24"/>
        </w:rPr>
        <w:instrText>ADDIN ZOTERO_ITEM CSL_CITATION {"citationID":"jWaZDXXd","properties":{"formattedCitation":"(Vanderlip &amp; Fjell, 2007)","plainCitation":"(Vanderlip &amp; Fjell, 2007)","dontUpdate":true,"noteIndex":0},"citationItems":[{"id":"UJQ2oGUC/ZHKuhmNj","uris":["http://zotero.org/users/local/NeejuBUy/items/3KA2G2JZ"],"itemData":{"id":260,"type":"chapter","container-title":"Crop production handbook","publisher":"Kansas State University","title":"Corn growth and development","author":[{"family":"Vanderlip","given":"RL"},{"family":"Fjell","given":"DL"}],"issued":{"date-parts":[["2007"]]}}}],"schema":"https://github.com/citation-style-language/schema/raw/master/csl-citation.json"}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(Vanderlip y Fjell, 2007)</w:t>
      </w:r>
      <w:r>
        <w:rPr>
          <w:rStyle w:val="rynqvb"/>
          <w:rFonts w:ascii="Arial" w:hAnsi="Arial" w:cs="Arial"/>
          <w:sz w:val="24"/>
          <w:szCs w:val="24"/>
        </w:rPr>
        <w:fldChar w:fldCharType="end"/>
      </w:r>
      <w:r>
        <w:rPr>
          <w:rStyle w:val="rynqvb"/>
          <w:rFonts w:ascii="Arial" w:hAnsi="Arial" w:cs="Arial"/>
          <w:sz w:val="24"/>
          <w:szCs w:val="24"/>
        </w:rPr>
        <w:t>.</w:t>
      </w:r>
    </w:p>
    <w:p w14:paraId="66D7E356" w14:textId="77777777" w:rsidR="000630B1" w:rsidRDefault="000630B1" w:rsidP="000630B1">
      <w:pPr>
        <w:pStyle w:val="Ttulo2"/>
        <w:spacing w:before="0" w:line="480" w:lineRule="auto"/>
        <w:rPr>
          <w:rStyle w:val="rynqvb"/>
          <w:rFonts w:cs="Arial"/>
          <w:color w:val="000000" w:themeColor="text1"/>
          <w:szCs w:val="24"/>
        </w:rPr>
      </w:pPr>
      <w:bookmarkStart w:id="10" w:name="_Toc148350398"/>
      <w:bookmarkStart w:id="11" w:name="_Toc138712728"/>
      <w:r>
        <w:rPr>
          <w:rStyle w:val="rynqvb"/>
          <w:rFonts w:cs="Arial"/>
          <w:color w:val="000000" w:themeColor="text1"/>
          <w:szCs w:val="24"/>
        </w:rPr>
        <w:t>1.7 Manejo del cultivo</w:t>
      </w:r>
      <w:bookmarkEnd w:id="10"/>
      <w:bookmarkEnd w:id="11"/>
    </w:p>
    <w:p w14:paraId="03395521" w14:textId="77777777" w:rsidR="000630B1" w:rsidRDefault="000630B1" w:rsidP="000630B1">
      <w:pPr>
        <w:pStyle w:val="Ttulo3"/>
        <w:spacing w:before="0" w:line="480" w:lineRule="auto"/>
        <w:rPr>
          <w:rStyle w:val="rynqvb"/>
          <w:rFonts w:cs="Arial"/>
          <w:b/>
          <w:color w:val="000000" w:themeColor="text1"/>
        </w:rPr>
      </w:pPr>
      <w:bookmarkStart w:id="12" w:name="_Toc148350399"/>
      <w:bookmarkStart w:id="13" w:name="_Toc138712729"/>
      <w:r>
        <w:rPr>
          <w:rStyle w:val="rynqvb"/>
          <w:rFonts w:cs="Arial"/>
          <w:color w:val="000000" w:themeColor="text1"/>
        </w:rPr>
        <w:t>1.7.1 Época de siembra</w:t>
      </w:r>
      <w:bookmarkEnd w:id="12"/>
      <w:bookmarkEnd w:id="13"/>
      <w:r>
        <w:rPr>
          <w:rStyle w:val="rynqvb"/>
          <w:rFonts w:cs="Arial"/>
          <w:color w:val="000000" w:themeColor="text1"/>
        </w:rPr>
        <w:t xml:space="preserve"> </w:t>
      </w:r>
    </w:p>
    <w:p w14:paraId="4983824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Es importante tener en cuenta los objetivos de la producción, si es para grano seco o maíz tierno. Para el caso de grano seco hay que considerar que la siembra se </w:t>
      </w:r>
      <w:r>
        <w:rPr>
          <w:rStyle w:val="rynqvb"/>
          <w:rFonts w:ascii="Arial" w:hAnsi="Arial" w:cs="Arial"/>
          <w:sz w:val="24"/>
          <w:szCs w:val="24"/>
        </w:rPr>
        <w:lastRenderedPageBreak/>
        <w:t xml:space="preserve">realice en un momento que garantice la cosecha en condiciones de baja humedad ambiental. La disponibilidad de riego determina también la selección de las fechas de siembra </w:t>
      </w:r>
      <w:r>
        <w:fldChar w:fldCharType="begin"/>
      </w:r>
      <w:r>
        <w:rPr>
          <w:rStyle w:val="rynqvb"/>
          <w:rFonts w:ascii="Arial" w:hAnsi="Arial" w:cs="Arial"/>
          <w:sz w:val="24"/>
          <w:szCs w:val="24"/>
        </w:rPr>
        <w:instrText>ADDIN ZOTERO_ITEM CSL_CITATION {"citationID":"dcYKQxYC","properties":{"formattedCitation":"(IIG,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55295C25"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del cultivo del maíz puede ser durante todo el año, pero están definidas dos épocas principales, desde marzo hasta mayo (primavera) y de octubre a febrero (invierno); pero en la práctica se cubre un gran período de siembra comprendido desde el 5 de septiembre hasta el 31 de mayo </w:t>
      </w:r>
      <w:r>
        <w:fldChar w:fldCharType="begin"/>
      </w:r>
      <w:r>
        <w:rPr>
          <w:rStyle w:val="rynqvb"/>
          <w:rFonts w:ascii="Arial" w:hAnsi="Arial" w:cs="Arial"/>
          <w:sz w:val="24"/>
          <w:szCs w:val="24"/>
        </w:rPr>
        <w:instrText>ADDIN ZOTERO_ITEM CSL_CITATION {"citationID":"RwHy8fS8","properties":{"formattedCitation":"(IIG,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2EC0E86F"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El cultivo alcanza su mayor potencial de rendimiento en el invierno, debido a que las temperaturas son aproximadamente de alrededor de 20 °C, adecuadas para el desarrollo fisiológico del maíz. Esta época presenta el inconveniente de tener largos períodos secos, por lo que se necesita contar con riego. En primavera, sin embargo, las lluvias erráticas, el rigor del clima y el aumento de las poblaciones de insectos, son más complicadas para el manejo del cultivo </w:t>
      </w:r>
      <w:r>
        <w:fldChar w:fldCharType="begin"/>
      </w:r>
      <w:r>
        <w:rPr>
          <w:rStyle w:val="rynqvb"/>
          <w:rFonts w:ascii="Arial" w:hAnsi="Arial" w:cs="Arial"/>
          <w:sz w:val="24"/>
          <w:szCs w:val="24"/>
        </w:rPr>
        <w:instrText>ADDIN ZOTERO_ITEM CSL_CITATION {"citationID":"4cSOqsmT","properties":{"formattedCitation":"(IIG,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39A1C0DE"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Es importante la preparación del suelo y manejo de arvenses para un crecimiento exitoso del cultivo. Se recomiendan distancias de 75 a 90 cm entre los surcos y 20 a 30 cm entre plantas para lograr la población deseada.</w:t>
      </w:r>
      <w:r>
        <w:rPr>
          <w:rStyle w:val="hwtze"/>
          <w:rFonts w:ascii="Arial" w:hAnsi="Arial" w:cs="Arial"/>
          <w:sz w:val="24"/>
          <w:szCs w:val="24"/>
        </w:rPr>
        <w:t xml:space="preserve"> </w:t>
      </w:r>
      <w:r>
        <w:rPr>
          <w:rStyle w:val="rynqvb"/>
          <w:rFonts w:ascii="Arial" w:hAnsi="Arial" w:cs="Arial"/>
          <w:sz w:val="24"/>
          <w:szCs w:val="24"/>
        </w:rPr>
        <w:t xml:space="preserve">La profundidad de plantación es generalmente de 5 a 8 cm, pero esto puede variar según el estado de humedad del suelo </w:t>
      </w:r>
      <w:r>
        <w:fldChar w:fldCharType="begin"/>
      </w:r>
      <w:r>
        <w:rPr>
          <w:rStyle w:val="rynqvb"/>
          <w:rFonts w:ascii="Arial" w:hAnsi="Arial" w:cs="Arial"/>
          <w:sz w:val="24"/>
          <w:szCs w:val="24"/>
        </w:rPr>
        <w:instrText>ADDIN ZOTERO_ITEM CSL_CITATION {"citationID":"Rf0N5T8T","properties":{"formattedCitation":"(IIG,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0D70D6A0" w14:textId="77777777" w:rsidR="000630B1" w:rsidRDefault="000630B1" w:rsidP="000630B1">
      <w:pPr>
        <w:pStyle w:val="Ttulo3"/>
        <w:spacing w:before="0" w:line="480" w:lineRule="auto"/>
        <w:rPr>
          <w:rStyle w:val="rynqvb"/>
          <w:rFonts w:cs="Arial"/>
          <w:b/>
          <w:color w:val="000000" w:themeColor="text1"/>
        </w:rPr>
      </w:pPr>
      <w:bookmarkStart w:id="14" w:name="_Toc148350400"/>
      <w:bookmarkStart w:id="15" w:name="_Toc138712730"/>
      <w:r>
        <w:rPr>
          <w:rStyle w:val="rynqvb"/>
          <w:rFonts w:cs="Arial"/>
          <w:color w:val="000000" w:themeColor="text1"/>
        </w:rPr>
        <w:t>1.7.2 Siembra</w:t>
      </w:r>
      <w:bookmarkEnd w:id="14"/>
      <w:bookmarkEnd w:id="15"/>
      <w:r>
        <w:rPr>
          <w:rStyle w:val="rynqvb"/>
          <w:rFonts w:cs="Arial"/>
          <w:color w:val="000000" w:themeColor="text1"/>
        </w:rPr>
        <w:t xml:space="preserve"> </w:t>
      </w:r>
    </w:p>
    <w:p w14:paraId="3CE660A9"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siembra de este cultivo según instructivo técnico es a una distancia entre hileras en función del tipo de recolección que se vaya a realizar, en caso de ser mecanizada se debe utilizar la que tiene la cosechadora. Diferentes combinaciones de estas distancias son utilizadas en Cuba para lograr marcos de siembra apropiados que </w:t>
      </w:r>
      <w:r>
        <w:rPr>
          <w:rStyle w:val="rynqvb"/>
          <w:rFonts w:ascii="Arial" w:hAnsi="Arial" w:cs="Arial"/>
          <w:sz w:val="24"/>
          <w:szCs w:val="24"/>
        </w:rPr>
        <w:lastRenderedPageBreak/>
        <w:t xml:space="preserve">promedien desde 36 000 a 50 000 semillas por hectárea, en dependencia de la épocas de siembra y los objetivos trazados, de las cuales aproximadamente solo un 90 % llega a formar plantas una vez concluido el proceso de emergencia </w:t>
      </w:r>
      <w:r>
        <w:fldChar w:fldCharType="begin"/>
      </w:r>
      <w:r>
        <w:rPr>
          <w:rStyle w:val="rynqvb"/>
          <w:rFonts w:ascii="Arial" w:hAnsi="Arial" w:cs="Arial"/>
          <w:sz w:val="24"/>
          <w:szCs w:val="24"/>
        </w:rPr>
        <w:instrText>ADDIN ZOTERO_ITEM CSL_CITATION {"citationID":"FxO2pIuh","properties":{"formattedCitation":"(IIG, 2020)","plainCitation":"(IIG, 2020)","noteIndex":0},"citationItems":[{"id":"UJQ2oGUC/R6Si8pQz","uris":["http://zotero.org/users/local/NeejuBUy/items/I3VWZ53Y"],"itemData":{"id":221,"type":"book","event-place":"La Habana","publisher-place":"La Habana","title":"Guía técnica para la producción de maíz","author":[{"family":"IIG","given":""}],"issued":{"date-parts":[["2020"]]}}}],"schema":"https://github.com/citation-style-language/schema/raw/master/csl-citation.json"}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(IIG, 2020)</w:t>
      </w:r>
      <w:r>
        <w:rPr>
          <w:rStyle w:val="rynqvb"/>
          <w:rFonts w:ascii="Arial" w:hAnsi="Arial" w:cs="Arial"/>
          <w:sz w:val="24"/>
          <w:szCs w:val="24"/>
        </w:rPr>
        <w:fldChar w:fldCharType="end"/>
      </w:r>
      <w:r>
        <w:rPr>
          <w:rStyle w:val="rynqvb"/>
          <w:rFonts w:ascii="Arial" w:hAnsi="Arial" w:cs="Arial"/>
          <w:sz w:val="24"/>
          <w:szCs w:val="24"/>
        </w:rPr>
        <w:t xml:space="preserve">. </w:t>
      </w:r>
    </w:p>
    <w:p w14:paraId="6D17177F"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 xml:space="preserve">La uniformidad en la profundidad de siembra y del tamaño de la semilla son de gran importancia para lograr una emergencia uniforme y evitar atrasos en el desarrollo de las plantas.  </w:t>
      </w:r>
    </w:p>
    <w:p w14:paraId="29ED56C1" w14:textId="77777777" w:rsidR="000630B1" w:rsidRDefault="000630B1" w:rsidP="000630B1">
      <w:pPr>
        <w:pStyle w:val="Ttulo3"/>
        <w:spacing w:before="0" w:line="480" w:lineRule="auto"/>
        <w:rPr>
          <w:rStyle w:val="rynqvb"/>
          <w:rFonts w:cs="Arial"/>
          <w:b/>
          <w:color w:val="000000" w:themeColor="text1"/>
        </w:rPr>
      </w:pPr>
      <w:bookmarkStart w:id="16" w:name="_Toc148350401"/>
      <w:bookmarkStart w:id="17" w:name="_Toc138712731"/>
      <w:commentRangeStart w:id="18"/>
      <w:r>
        <w:rPr>
          <w:rStyle w:val="rynqvb"/>
          <w:rFonts w:cs="Arial"/>
          <w:color w:val="000000" w:themeColor="text1"/>
        </w:rPr>
        <w:t>1.7.3 Fertilización</w:t>
      </w:r>
      <w:bookmarkEnd w:id="16"/>
      <w:bookmarkEnd w:id="17"/>
      <w:commentRangeEnd w:id="18"/>
      <w:r>
        <w:commentReference w:id="18"/>
      </w:r>
    </w:p>
    <w:p w14:paraId="1125E815"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Con relación a la fertilización este cultivo consume aproximadamente de 100 a 150 kg ha</w:t>
      </w:r>
      <w:r>
        <w:rPr>
          <w:rFonts w:ascii="Arial" w:hAnsi="Arial" w:cs="Arial"/>
          <w:sz w:val="24"/>
          <w:szCs w:val="24"/>
          <w:vertAlign w:val="superscript"/>
        </w:rPr>
        <w:t>-1</w:t>
      </w:r>
      <w:r>
        <w:rPr>
          <w:rFonts w:ascii="Arial" w:hAnsi="Arial" w:cs="Arial"/>
          <w:sz w:val="24"/>
          <w:szCs w:val="24"/>
        </w:rPr>
        <w:t xml:space="preserve"> de N para producir unas cinco t ha</w:t>
      </w:r>
      <w:r>
        <w:rPr>
          <w:rFonts w:ascii="Arial" w:hAnsi="Arial" w:cs="Arial"/>
          <w:sz w:val="24"/>
          <w:szCs w:val="24"/>
          <w:vertAlign w:val="superscript"/>
        </w:rPr>
        <w:t>-1</w:t>
      </w:r>
      <w:r>
        <w:rPr>
          <w:rFonts w:ascii="Arial" w:hAnsi="Arial" w:cs="Arial"/>
          <w:sz w:val="24"/>
          <w:szCs w:val="24"/>
        </w:rPr>
        <w:t xml:space="preserve"> de grano. El ritmo de acumulación de N en la planta crece casi paralelo a la acumulación de materia seca. El consumo de N se incrementa particularmente en el período de mayor crecimiento de las plantas, el que se produce desde que estas emiten la décima hoja hasta después de la fecundación y formación de los granos </w:t>
      </w:r>
      <w:r>
        <w:fldChar w:fldCharType="begin"/>
      </w:r>
      <w:r>
        <w:rPr>
          <w:rFonts w:ascii="Arial" w:hAnsi="Arial" w:cs="Arial"/>
          <w:sz w:val="24"/>
          <w:szCs w:val="24"/>
        </w:rPr>
        <w:instrText>ADDIN ZOTERO_ITEM CSL_CITATION {"citationID":"qSQoaHtF","properties":{"formattedCitation":"(MINAG,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 xml:space="preserve"> </w:t>
      </w:r>
      <w:r>
        <w:rPr>
          <w:rFonts w:ascii="Arial" w:hAnsi="Arial" w:cs="Arial"/>
          <w:color w:val="FF0000"/>
          <w:sz w:val="24"/>
          <w:szCs w:val="24"/>
        </w:rPr>
        <w:t>más bibliografía</w:t>
      </w:r>
      <w:r>
        <w:rPr>
          <w:rFonts w:ascii="Arial" w:hAnsi="Arial" w:cs="Arial"/>
          <w:sz w:val="24"/>
          <w:szCs w:val="24"/>
        </w:rPr>
        <w:t xml:space="preserve">. </w:t>
      </w:r>
    </w:p>
    <w:p w14:paraId="7645296B"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El nitrógeno es el elemento más importante para este cultivo en las condiciones de Cuba, debido a las pérdidas a que se encuentra sometido este nutriente en el trópico por volatilización, lavado y fijación por los microorganismos del suelo.</w:t>
      </w:r>
    </w:p>
    <w:p w14:paraId="5652EC20" w14:textId="77777777" w:rsidR="000630B1" w:rsidRDefault="000630B1" w:rsidP="000630B1">
      <w:pPr>
        <w:spacing w:after="0" w:line="480" w:lineRule="auto"/>
        <w:jc w:val="both"/>
        <w:rPr>
          <w:rFonts w:ascii="Arial" w:hAnsi="Arial" w:cs="Arial"/>
          <w:sz w:val="24"/>
          <w:szCs w:val="24"/>
        </w:rPr>
      </w:pPr>
      <w:r>
        <w:rPr>
          <w:rFonts w:ascii="Arial" w:hAnsi="Arial" w:cs="Arial"/>
          <w:sz w:val="24"/>
          <w:szCs w:val="24"/>
        </w:rPr>
        <w:t xml:space="preserve">Todo ello determina que el nitrógeno debe aplicarse en las dosis necesitadas por este cultivo, sus aplicaciones deben ser de forma localizada y tapada inmediatamente, se debe procurar que las condiciones de humedad sean favorables. Generalmente se recomienda aplicar ⅓ del nitrógeno en siembra y ⅔ a los 25-30 días de germinado el cultivo </w:t>
      </w:r>
      <w:r>
        <w:fldChar w:fldCharType="begin"/>
      </w:r>
      <w:r>
        <w:rPr>
          <w:rFonts w:ascii="Arial" w:hAnsi="Arial" w:cs="Arial"/>
          <w:sz w:val="24"/>
          <w:szCs w:val="24"/>
        </w:rPr>
        <w:instrText>ADDIN ZOTERO_ITEM CSL_CITATION {"citationID":"9EOp4b00","properties":{"formattedCitation":"(MINAG, 2012)","plainCitation":"(MINAG, 2012)","noteIndex":0},"citationItems":[{"id":"UJQ2oGUC/KC9R8H9w","uris":["http://zotero.org/users/local/NeejuBUy/items/6L42I8T6"],"itemData":{"id":237,"type":"book","event-place":"La Habana","publisher":"Ministerio de Agricultura","publisher-place":"La Habana","title":"Guía Técnica para el cultivo del maíz","author":[{"family":"MINAG","given":""}],"issued":{"date-parts":[["2012"]]}}}],"schema":"https://github.com/citation-style-language/schema/raw/master/csl-citation.json"}</w:instrText>
      </w:r>
      <w:r>
        <w:rPr>
          <w:rFonts w:ascii="Arial" w:hAnsi="Arial" w:cs="Arial"/>
          <w:sz w:val="24"/>
          <w:szCs w:val="24"/>
        </w:rPr>
        <w:fldChar w:fldCharType="separate"/>
      </w:r>
      <w:r>
        <w:rPr>
          <w:rFonts w:ascii="Arial" w:hAnsi="Arial" w:cs="Arial"/>
          <w:sz w:val="24"/>
        </w:rPr>
        <w:t>(MINAG, 2012)</w:t>
      </w:r>
      <w:r>
        <w:rPr>
          <w:rFonts w:ascii="Arial" w:hAnsi="Arial" w:cs="Arial"/>
          <w:sz w:val="24"/>
          <w:szCs w:val="24"/>
        </w:rPr>
        <w:fldChar w:fldCharType="end"/>
      </w:r>
      <w:r>
        <w:rPr>
          <w:rFonts w:ascii="Arial" w:hAnsi="Arial" w:cs="Arial"/>
          <w:sz w:val="24"/>
          <w:szCs w:val="24"/>
        </w:rPr>
        <w:t>.</w:t>
      </w:r>
    </w:p>
    <w:p w14:paraId="46396403" w14:textId="77777777" w:rsidR="000630B1" w:rsidRDefault="000630B1" w:rsidP="000630B1">
      <w:pPr>
        <w:spacing w:after="0" w:line="480" w:lineRule="auto"/>
        <w:jc w:val="both"/>
        <w:rPr>
          <w:rFonts w:ascii="Arial" w:hAnsi="Arial" w:cs="Arial"/>
          <w:b/>
          <w:color w:val="000000" w:themeColor="text1"/>
          <w:sz w:val="24"/>
          <w:szCs w:val="24"/>
        </w:rPr>
      </w:pPr>
      <w:r>
        <w:rPr>
          <w:rStyle w:val="rynqvb"/>
          <w:rFonts w:ascii="Arial" w:hAnsi="Arial" w:cs="Arial"/>
          <w:b/>
          <w:color w:val="000000" w:themeColor="text1"/>
          <w:sz w:val="24"/>
          <w:szCs w:val="24"/>
        </w:rPr>
        <w:t xml:space="preserve">1.7.4 </w:t>
      </w:r>
      <w:r>
        <w:rPr>
          <w:rFonts w:ascii="Arial" w:hAnsi="Arial" w:cs="Arial"/>
          <w:b/>
          <w:bCs/>
          <w:color w:val="000000" w:themeColor="text1"/>
          <w:sz w:val="24"/>
          <w:szCs w:val="24"/>
        </w:rPr>
        <w:t xml:space="preserve">Riego </w:t>
      </w:r>
    </w:p>
    <w:p w14:paraId="22BE9F82" w14:textId="77777777" w:rsidR="000630B1" w:rsidRDefault="000630B1" w:rsidP="000630B1">
      <w:pPr>
        <w:pStyle w:val="Default"/>
        <w:spacing w:line="480" w:lineRule="auto"/>
        <w:jc w:val="both"/>
        <w:rPr>
          <w:color w:val="auto"/>
        </w:rPr>
      </w:pPr>
      <w:r>
        <w:rPr>
          <w:color w:val="auto"/>
        </w:rPr>
        <w:lastRenderedPageBreak/>
        <w:t xml:space="preserve">El cultivo de maíz necesita en la fase de emergencia requiere de poca humedad, en la fase de crecimiento se incrementa la necesidad de agua, por lo que se recomienda dotar de un riego 10 o 15 días antes de que inicie la etapa de floración. El periodo crítico es en la fase de floración, por lo que el buen suministro de agua al cultivo favorece la formación y llenado del grano. La necesidad de agua disminuye en la fase de engrosamiento y maduración de la mazorca, aunque no es conveniente que el cultivo pase periodos con falta de agua puesto que los estomas se cierran, se reduce la fotosíntesis y el rendimiento final es menor </w:t>
      </w:r>
      <w:r>
        <w:fldChar w:fldCharType="begin"/>
      </w:r>
      <w:r>
        <w:rPr>
          <w:color w:val="auto"/>
        </w:rPr>
        <w:instrText>ADDIN ZOTERO_ITEM CSL_CITATION {"citationID":"G0zgdHQr","properties":{"formattedCitation":"(Santiago et\\uc0\\u160{}al., 2022)","plainCitation":"(Santiago et al., 2022)","noteIndex":0},"citationItems":[{"id":"UJQ2oGUC/F5SKv1Nz","uris":["http://zotero.org/users/local/NeejuBUy/items/KQL6GXVQ"],"itemData":{"id":110,"type":"paper-conference","event-place":"Teziutlán, Puebla","event-title":"VII Congreso nacional de riego, drenaje y biosistemas","language":"es","publisher-place":"Teziutlán, Puebla","source":"Zotero","title":"Ajuste de los requerimientos hídricos de dos genotipos de maíz, apoyado con drones","author":[{"family":"Santiago","given":"Jaasiel Martínez"},{"family":"Ibarra","given":"Ernesto Sifuentes"},{"family":"Cervantes","given":"Jaime Macías"},{"family":"Pablo","given":"de Jesús Marcial"},{"family":"González","given":"José Simón Nieblas"},{"family":"Muñoz","given":"Adolfo Ignacio Ruiz"}],"issued":{"date-parts":[["2022",11,23]]}}}],"schema":"https://github.com/citation-style-language/schema/raw/master/csl-citation.json"}</w:instrText>
      </w:r>
      <w:r>
        <w:rPr>
          <w:color w:val="auto"/>
        </w:rPr>
        <w:fldChar w:fldCharType="separate"/>
      </w:r>
      <w:r>
        <w:rPr>
          <w:color w:val="auto"/>
        </w:rPr>
        <w:t xml:space="preserve">(Santiago </w:t>
      </w:r>
      <w:r>
        <w:rPr>
          <w:i/>
          <w:color w:val="auto"/>
        </w:rPr>
        <w:t>et al</w:t>
      </w:r>
      <w:r>
        <w:rPr>
          <w:color w:val="auto"/>
        </w:rPr>
        <w:t>., 2022)</w:t>
      </w:r>
      <w:r>
        <w:rPr>
          <w:color w:val="auto"/>
        </w:rPr>
        <w:fldChar w:fldCharType="end"/>
      </w:r>
      <w:r>
        <w:rPr>
          <w:color w:val="auto"/>
        </w:rPr>
        <w:t>.</w:t>
      </w:r>
    </w:p>
    <w:p w14:paraId="05F9FE98" w14:textId="77777777" w:rsidR="000630B1" w:rsidRDefault="000630B1" w:rsidP="000630B1">
      <w:pPr>
        <w:pStyle w:val="Ttulo2"/>
        <w:spacing w:before="0" w:line="480" w:lineRule="auto"/>
        <w:rPr>
          <w:rStyle w:val="rynqvb"/>
          <w:rFonts w:cs="Arial"/>
          <w:szCs w:val="24"/>
        </w:rPr>
      </w:pPr>
      <w:bookmarkStart w:id="19" w:name="_Toc148350402"/>
      <w:bookmarkStart w:id="20" w:name="_Toc138712732"/>
      <w:r>
        <w:rPr>
          <w:rStyle w:val="rynqvb"/>
          <w:rFonts w:cs="Arial"/>
          <w:szCs w:val="24"/>
        </w:rPr>
        <w:t>1.8 Factores que afectan el crecimiento del maíz</w:t>
      </w:r>
      <w:bookmarkEnd w:id="19"/>
      <w:bookmarkEnd w:id="20"/>
    </w:p>
    <w:p w14:paraId="62A8C1D1" w14:textId="77777777" w:rsidR="000630B1" w:rsidRDefault="000630B1" w:rsidP="000630B1">
      <w:pPr>
        <w:spacing w:after="0" w:line="480" w:lineRule="auto"/>
        <w:jc w:val="both"/>
        <w:rPr>
          <w:rStyle w:val="rynqvb"/>
          <w:rFonts w:ascii="Arial" w:hAnsi="Arial" w:cs="Arial"/>
          <w:sz w:val="24"/>
          <w:szCs w:val="24"/>
        </w:rPr>
      </w:pPr>
      <w:r>
        <w:rPr>
          <w:rStyle w:val="rynqvb"/>
          <w:rFonts w:ascii="Arial" w:hAnsi="Arial" w:cs="Arial"/>
          <w:sz w:val="24"/>
          <w:szCs w:val="24"/>
        </w:rPr>
        <w:t>El cultivo de maíz, es de crecimiento rápido, tiene un mayor rendimiento con temperaturas moderadas y un suministro abundante de agua.</w:t>
      </w:r>
      <w:r>
        <w:rPr>
          <w:rStyle w:val="hwtze"/>
          <w:rFonts w:ascii="Arial" w:hAnsi="Arial" w:cs="Arial"/>
          <w:sz w:val="24"/>
          <w:szCs w:val="24"/>
        </w:rPr>
        <w:t xml:space="preserve"> </w:t>
      </w:r>
      <w:r>
        <w:rPr>
          <w:rStyle w:val="rynqvb"/>
          <w:rFonts w:ascii="Arial" w:hAnsi="Arial" w:cs="Arial"/>
          <w:sz w:val="24"/>
          <w:szCs w:val="24"/>
        </w:rPr>
        <w:t>La temperatura diurna ideal para el crecimiento normal del maíz debe ser de 26 °C a 30 °C, pero se pueden tolerar temperaturas más altas con la aplicación de riego.</w:t>
      </w:r>
      <w:r>
        <w:rPr>
          <w:rStyle w:val="hwtze"/>
          <w:rFonts w:ascii="Arial" w:hAnsi="Arial" w:cs="Arial"/>
          <w:sz w:val="24"/>
          <w:szCs w:val="24"/>
        </w:rPr>
        <w:t xml:space="preserve"> </w:t>
      </w:r>
    </w:p>
    <w:p w14:paraId="7F205C64" w14:textId="77777777" w:rsidR="000630B1" w:rsidRDefault="000630B1" w:rsidP="000630B1">
      <w:pPr>
        <w:spacing w:after="0" w:line="480" w:lineRule="auto"/>
        <w:jc w:val="both"/>
        <w:rPr>
          <w:rFonts w:ascii="Arial" w:hAnsi="Arial" w:cs="Arial"/>
          <w:sz w:val="24"/>
          <w:szCs w:val="24"/>
        </w:rPr>
      </w:pPr>
      <w:r>
        <w:rPr>
          <w:rStyle w:val="rynqvb"/>
          <w:rFonts w:ascii="Arial" w:hAnsi="Arial" w:cs="Arial"/>
          <w:sz w:val="24"/>
          <w:szCs w:val="24"/>
        </w:rPr>
        <w:t xml:space="preserve">La eficiencia fotosintética de las hojas depende de la concentración de nitrógeno en las mismas. la época de siembra influye en el rendimiento debido al efecto de las condiciones ambientales en la función de producción del dosel y los procesos de desarrollo del cultivo </w:t>
      </w:r>
      <w:r>
        <w:fldChar w:fldCharType="begin"/>
      </w:r>
      <w:r>
        <w:rPr>
          <w:rStyle w:val="rynqvb"/>
          <w:rFonts w:ascii="Arial" w:hAnsi="Arial" w:cs="Arial"/>
          <w:sz w:val="24"/>
          <w:szCs w:val="24"/>
        </w:rPr>
        <w:instrText>ADDIN ZOTERO_ITEM CSL_CITATION {"citationID":"0nrKcF5p","properties":{"unsorted":true,"formattedCitation":"(Muchow &amp; Davis, 1988; Fageria, 2007)","plainCitation":"(Muchow &amp; Davis, 1988; Fageria, 2007)","dontUpdate":true,"noteIndex":0},"citationItems":[{"id":"UJQ2oGUC/y290EcqY","uris":["http://zotero.org/users/local/NeejuBUy/items/EPT8UNFE"],"itemData":{"id":142,"type":"article-journal","abstract":"Muchow, R.C. and Davis, R., 1988. Effect of nitrogen supply on the comparative productivity of maize and sorghum in a semi-aridtropical environment.II. Radiation interceptionand biomass accumulation. Field Crops Res., 18: 17-30.","container-title":"Field Crops Research","DOI":"10.1016/0378-4290(88)90056-1","ISSN":"03784290","issue":"1","journalAbbreviation":"Field Crops Research","language":"en","page":"17-30","source":"DOI.org (Crossref)","title":"Effect of nitrogen supply on the comparative productivity of maize and sorghum in a semi-arid tropical environment II. Radiation interception and biomass accumulation","volume":"18","author":[{"family":"Muchow","given":"RC"},{"family":"Davis","given":"R"}],"issued":{"date-parts":[["1988"]]}},"label":"page"},{"id":"UJQ2oGUC/x7PRB4wx","uris":["http://zotero.org/users/local/NeejuBUy/items/MHJMLRTG"],"itemData":{"id":138,"type":"article-journal","abstract":"Rice (Oryza sativa L.) is a staple food for more than 50% of the world’s population, including regions of high population density and rapid growth. Rice is produced under both upland and lowland ecosystems with about 76% of the global rice produced from irrigated lowland rice systems. The objective of this article is to discuss growth and formation of yield components in rice during crop growth cycles. The yield components of rice are the number of panicles per unit area, number of spikelets per panicle, weight of spikelet and spikelet sterility or ﬁlled spikelet. In addition, shoot dry weight, grain harvest index, and nitrogen (N) harvest index are also positively associated with grain yield. These yield components and yield associated parameters are formed during crop growth cycle. Growth cycle of the rice plant is divided into three stages. These stages are designated as vegetative, reproductive and spikelet ﬁlling or ripening. Yield potential of rice is formed or deﬁned during these growth stages. Plant height, tillering (associated with panicle number), root growth, leaf area, and morphology are the main features of vegetative growth stage. In the reproductive growth stage panicle development takes place. Booting and ﬂowering are part of the reproductive growth stage. Panicle size or spikelets per panicle are determined in the reproductive growth stage. Spikelet size or weight is determined during the spikelet ﬁlling growth stage. The reproductive growth stage is the most sensitive to biotic and abiotic stresses, followed by spikelet ﬁlling and vegetative growth stage. Recent advances in molecular linkage maps of rice and other developments of molecular biology offer new opportunities for improving rice yield components in favor of higher yield.","container-title":"Journal of Plant Nutrition","DOI":"10.1080/15226510701374831","ISSN":"0190-4167, 1532-4087","journalAbbreviation":"Journal of Plant Nutrition","language":"en","page":"843-879","source":"DOI.org (Crossref)","title":"Yield physiology of rice","volume":"30","author":[{"family":"Fageria","given":"NK"}],"issued":{"date-parts":[["2007"]]}},"label":"page"}],"schema":"https://github.com/citation-style-language/schema/raw/master/csl-citation.json"}</w:instrText>
      </w:r>
      <w:r>
        <w:rPr>
          <w:rStyle w:val="rynqvb"/>
          <w:rFonts w:ascii="Arial" w:hAnsi="Arial" w:cs="Arial"/>
          <w:sz w:val="24"/>
          <w:szCs w:val="24"/>
        </w:rPr>
        <w:fldChar w:fldCharType="separate"/>
      </w:r>
      <w:r>
        <w:rPr>
          <w:rFonts w:ascii="Arial" w:hAnsi="Arial" w:cs="Arial"/>
          <w:sz w:val="24"/>
        </w:rPr>
        <w:t>(Muchow y Davis, 1988; Fageria, 2007)</w:t>
      </w:r>
      <w:r>
        <w:rPr>
          <w:rStyle w:val="rynqvb"/>
          <w:rFonts w:ascii="Arial" w:hAnsi="Arial" w:cs="Arial"/>
          <w:sz w:val="24"/>
          <w:szCs w:val="24"/>
        </w:rPr>
        <w:fldChar w:fldCharType="end"/>
      </w:r>
      <w:r>
        <w:rPr>
          <w:rStyle w:val="rynqvb"/>
          <w:rFonts w:ascii="Arial" w:hAnsi="Arial" w:cs="Arial"/>
          <w:sz w:val="24"/>
          <w:szCs w:val="24"/>
        </w:rPr>
        <w:t>.</w:t>
      </w:r>
      <w:r>
        <w:rPr>
          <w:rStyle w:val="hwtze"/>
          <w:rFonts w:ascii="Arial" w:hAnsi="Arial" w:cs="Arial"/>
          <w:sz w:val="24"/>
          <w:szCs w:val="24"/>
        </w:rPr>
        <w:t xml:space="preserve"> </w:t>
      </w:r>
    </w:p>
    <w:p w14:paraId="178576FF" w14:textId="77777777" w:rsidR="000630B1" w:rsidRDefault="000630B1" w:rsidP="000630B1">
      <w:pPr>
        <w:pStyle w:val="Default"/>
        <w:spacing w:line="480" w:lineRule="auto"/>
        <w:jc w:val="both"/>
        <w:rPr>
          <w:color w:val="auto"/>
        </w:rPr>
      </w:pPr>
      <w:r>
        <w:rPr>
          <w:color w:val="auto"/>
        </w:rPr>
        <w:t xml:space="preserve">La sequía durante la etapa de establecimiento del cultivo puede provocar la muerte de las plantas jóvenes y reducir la densidad de población. El principal efecto de la sequía en el período vegetativo es reducir el crecimiento de las hojas, de tal modo que el cultivo intercepta menos radiación solar. Alrededor de la floración, el maíz es muy sensible al estrés hídrico y el rendimiento de grano puede ser seriamente </w:t>
      </w:r>
      <w:r>
        <w:rPr>
          <w:color w:val="auto"/>
        </w:rPr>
        <w:lastRenderedPageBreak/>
        <w:t xml:space="preserve">afectado si se produce sequía en este período. Durante el llenado de granos, el principal efecto de la sequía es reducir el tamaño de estos </w:t>
      </w:r>
      <w:r>
        <w:fldChar w:fldCharType="begin"/>
      </w:r>
      <w:r>
        <w:rPr>
          <w:color w:val="auto"/>
        </w:rPr>
        <w:instrText>ADDIN ZOTERO_ITEM CSL_CITATION {"citationID":"sI8cNqSq","properties":{"formattedCitation":"(Gim\\uc0\\u233{}nez, 2012)","plainCitation":"(Giménez, 2012)","noteIndex":0},"citationItems":[{"id":"UJQ2oGUC/RRMUGxl9","uris":["http://zotero.org/users/local/NeejuBUy/items/MF5QBTAV"],"itemData":{"id":133,"type":"article-journal","abstract":"Production of Corn with Water Stress at Different Stages of Development Corn is a crop of high potential for grain production and it is also highly sensitive to environmental deficiencies. Water availability is the main environmental limiting factor that Uruguay presents to corn development, due to low water storage capacity of the soil, high atmospheric demands and irregular rainfall. The work consisted in determining the yields of corn in situations of water wellness (T1), and quantify the decreases generated by the occurrence of water stress during: the critical period (CP) (T2), grain filling (T3), and vegetative stage and CP (T4); it was also evaluated a witness in rainfed (T5). Water stress was generated at various stages through drought simulators and water wellness by supplementary irrigation. The results showed that the yield without water deficiencies was between 13,5 and 15,3 t ha-1 approximately. Water deficiencies during CP caused losses of approximately 50% of the potential yield. Water stress at grain filling caused generated yield reductions close to 30%, and the deficiencies accumulated in the vegetative stage and CP caused a decline of 56%.","container-title":"Agrociencia","DOI":"10.31285/AGRO.17.544","ISSN":"15100839, 23011548","issue":"2","journalAbbreviation":"Agrociencia","language":"es","page":"92-102","source":"DOI.org (Crossref)","title":"Producción de maíz con estrés hídrico provocado en diferentes etapas de desarrollo","volume":"16","author":[{"family":"Giménez","given":"Luis"}],"issued":{"date-parts":[["2012"]]}}}],"schema":"https://github.com/citation-style-language/schema/raw/master/csl-citation.json"}</w:instrText>
      </w:r>
      <w:r>
        <w:rPr>
          <w:color w:val="auto"/>
        </w:rPr>
        <w:fldChar w:fldCharType="separate"/>
      </w:r>
      <w:r>
        <w:rPr>
          <w:color w:val="auto"/>
        </w:rPr>
        <w:t>(Giménez, 2012)</w:t>
      </w:r>
      <w:r>
        <w:rPr>
          <w:color w:val="auto"/>
        </w:rPr>
        <w:fldChar w:fldCharType="end"/>
      </w:r>
      <w:r>
        <w:rPr>
          <w:color w:val="auto"/>
        </w:rPr>
        <w:t>.</w:t>
      </w:r>
    </w:p>
    <w:p w14:paraId="7632C21D" w14:textId="77777777" w:rsidR="000630B1" w:rsidRDefault="000630B1" w:rsidP="000630B1">
      <w:pPr>
        <w:pStyle w:val="Default"/>
        <w:spacing w:line="480" w:lineRule="auto"/>
        <w:jc w:val="both"/>
        <w:rPr>
          <w:color w:val="auto"/>
        </w:rPr>
      </w:pPr>
      <w:r>
        <w:rPr>
          <w:color w:val="auto"/>
        </w:rPr>
        <w:t>En general, el maíz necesita por lo menos de 500 a 700 mm de precipitación bien distribuida durante el ciclo del cultivo. Sin embargo, aun esa cantidad de lluvia no es suficiente si la humedad no puede ser almacenada en el suelo a causa de la poca profundidad de éste o del escurrimiento o si la demanda evaporativa es muy grande a causa de las temperaturas elevadas y la escasa humedad relativa.</w:t>
      </w:r>
    </w:p>
    <w:p w14:paraId="144DDC8E" w14:textId="77777777" w:rsidR="000630B1" w:rsidRDefault="000630B1" w:rsidP="000630B1">
      <w:pPr>
        <w:rPr>
          <w:rFonts w:ascii="Arial" w:hAnsi="Arial" w:cs="Arial"/>
          <w:sz w:val="24"/>
        </w:rPr>
      </w:pPr>
    </w:p>
    <w:p w14:paraId="0A12FD8B" w14:textId="77777777" w:rsidR="000630B1" w:rsidRDefault="000630B1" w:rsidP="000630B1">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aplicación del biofertilizantes EcoMic® en el cultivar de maíz.</w:t>
      </w:r>
    </w:p>
    <w:p w14:paraId="15957BB1" w14:textId="77777777" w:rsidR="000630B1" w:rsidRPr="0070358D" w:rsidRDefault="000630B1" w:rsidP="000630B1">
      <w:pPr>
        <w:pStyle w:val="Default"/>
        <w:spacing w:line="480" w:lineRule="auto"/>
        <w:jc w:val="both"/>
        <w:rPr>
          <w:color w:val="auto"/>
        </w:rPr>
      </w:pPr>
      <w:r w:rsidRPr="0070358D">
        <w:rPr>
          <w:color w:val="auto"/>
        </w:rPr>
        <w:t>En la actualidad en Cuba se hace necesario la utilización de biofertilizantes basados en hongos micorrízico arbusculares (HMA), debido a la poca existencia de fertilizante químico y la necesidad de garantizar rendimientos altos y son reconocidos por incrementar la producción agrícola de modo sustentable de forma ecológica (entreun 15 y 50%). ( Ramón, Ilen)</w:t>
      </w:r>
    </w:p>
    <w:p w14:paraId="22B6DFA3" w14:textId="77777777" w:rsidR="000630B1" w:rsidRPr="0070358D" w:rsidRDefault="000630B1" w:rsidP="000630B1">
      <w:pPr>
        <w:pStyle w:val="Default"/>
        <w:spacing w:line="480" w:lineRule="auto"/>
        <w:jc w:val="both"/>
        <w:rPr>
          <w:color w:val="auto"/>
        </w:rPr>
      </w:pPr>
      <w:r w:rsidRPr="0070358D">
        <w:rPr>
          <w:color w:val="auto"/>
        </w:rPr>
        <w:t>El uso de biofertilizantes y productos bioactivos es una práctica común en la agricultura actual, entre los principales beneficios del EcoMic® se debe mencionar el aumento de la capacidad de absorción del sistema radical fundamentalmente en suelos tropicales deficientes en fósforo asimilable, permiten absorberagua a potenciales más bajos que los pelosra dicales, mejoran las propiedades físicas, aumentan la formación de agregados y aumenta la tolerancia a metales pesados y patógenos radicales. (Gertrudis, Roselys).</w:t>
      </w:r>
    </w:p>
    <w:p w14:paraId="5CAE3BBE" w14:textId="77777777" w:rsidR="000630B1" w:rsidRPr="0070358D" w:rsidRDefault="000630B1" w:rsidP="000630B1">
      <w:pPr>
        <w:pStyle w:val="Default"/>
        <w:spacing w:line="480" w:lineRule="auto"/>
        <w:jc w:val="both"/>
        <w:rPr>
          <w:color w:val="auto"/>
        </w:rPr>
      </w:pPr>
      <w:r w:rsidRPr="0070358D">
        <w:rPr>
          <w:color w:val="auto"/>
        </w:rPr>
        <w:t xml:space="preserve">Debido a la importancia del cultivo del maíz y la necesidad de hacer un uso racional de los recursos; suelo, agua, biofertilizante EcoMic® para obtener rendimientos </w:t>
      </w:r>
      <w:r w:rsidRPr="0070358D">
        <w:rPr>
          <w:color w:val="auto"/>
        </w:rPr>
        <w:lastRenderedPageBreak/>
        <w:t>altos, se requiere realizar simulaciones que estimen la mejor combinación de estos recursos.</w:t>
      </w:r>
    </w:p>
    <w:p w14:paraId="2336C576" w14:textId="77777777" w:rsidR="000630B1" w:rsidRDefault="000630B1" w:rsidP="000630B1">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Los modelos de simulación de cultivos</w:t>
      </w:r>
    </w:p>
    <w:p w14:paraId="074206C1" w14:textId="77777777" w:rsidR="000630B1" w:rsidRDefault="000630B1" w:rsidP="000630B1">
      <w:pPr>
        <w:spacing w:after="0" w:line="360" w:lineRule="auto"/>
        <w:jc w:val="both"/>
        <w:rPr>
          <w:rFonts w:ascii="Arial" w:hAnsi="Arial" w:cs="Arial"/>
          <w:color w:val="C00000"/>
          <w:sz w:val="24"/>
          <w:szCs w:val="24"/>
        </w:rPr>
      </w:pPr>
    </w:p>
    <w:p w14:paraId="0B09C726" w14:textId="77777777" w:rsidR="000630B1" w:rsidRDefault="000630B1" w:rsidP="000630B1">
      <w:pPr>
        <w:pStyle w:val="Default"/>
        <w:spacing w:line="480" w:lineRule="auto"/>
        <w:jc w:val="both"/>
        <w:rPr>
          <w:color w:val="auto"/>
        </w:rPr>
      </w:pPr>
      <w:r>
        <w:rPr>
          <w:color w:val="auto"/>
        </w:rPr>
        <w:t>Los modelos son útiles para describir, comprender y explicar mejor la realidad, cuando es difícil trabajar directamente en ella, son herramienta que utiliza la estadística para simbolizar problemas o situaciones de la vida. En la investigación se plantea que un modelo es un bosquejo que representa un conjunto real con cierto grado de precisión y en la forma más completa posible, pero sin pretender aportar una réplica de lo que existe en la realidad. Los modelos son muy útiles para describir, explicar o comprender mejor la realidad, cuando es imposible trabajar directamente en la realidad en sí</w:t>
      </w:r>
      <w:r>
        <w:fldChar w:fldCharType="begin"/>
      </w:r>
      <w:r>
        <w:rPr>
          <w:color w:val="auto"/>
        </w:rPr>
        <w:instrText>ADDIN ZOTERO_ITEM CSL_CITATION {"citationID":"fFbEifaI","properties":{"formattedCitation":"(Hern\\uc0\\u225{}ndez et\\uc0\\u160{}al., 2009)","plainCitation":"(Hernández et al., 2009)","noteIndex":0},"citationItems":[{"id":543,"uris":["http://zotero.org/users/local/1mxXpOpa/items/QXEXNBWI"],"itemData":{"id":543,"type":"article-journal","container-title":"Cultivos Tropicales","ISSN":"0258-5936","issue":"1","note":"publisher: Ediciones INCA","page":"00-00","source":"SciELO","title":"Modelos de simulación de cultivos: Características y usos","title-short":"Modelos de simulación de cultivos","volume":"30","author":[{"family":"Hernández","given":"Naivy"},{"family":"Soto","given":"F."},{"family":"Caballero","given":"A."}],"issued":{"date-parts":[["2009",3]]}}}],"schema":"https://github.com/citation-style-language/schema/raw/master/csl-citation.json"}</w:instrText>
      </w:r>
      <w:r>
        <w:rPr>
          <w:color w:val="auto"/>
        </w:rPr>
        <w:fldChar w:fldCharType="separate"/>
      </w:r>
      <w:r>
        <w:rPr>
          <w:color w:val="auto"/>
        </w:rPr>
        <w:t>(Hernández et al., 2009)</w:t>
      </w:r>
      <w:r>
        <w:rPr>
          <w:color w:val="auto"/>
        </w:rPr>
        <w:fldChar w:fldCharType="end"/>
      </w:r>
      <w:r>
        <w:rPr>
          <w:color w:val="auto"/>
        </w:rPr>
        <w:t>. Los modelos se conforman con la individualización de ecuaciones matemáticas, mediante las cuales es posible reproducir el comportamiento del sistema estudiado.</w:t>
      </w:r>
    </w:p>
    <w:p w14:paraId="1129B6A7" w14:textId="77777777" w:rsidR="000630B1" w:rsidRDefault="000630B1" w:rsidP="000630B1">
      <w:pPr>
        <w:spacing w:after="0" w:line="360" w:lineRule="auto"/>
        <w:jc w:val="both"/>
        <w:rPr>
          <w:rFonts w:ascii="Arial" w:hAnsi="Arial" w:cs="Arial"/>
          <w:color w:val="C00000"/>
          <w:sz w:val="24"/>
          <w:szCs w:val="24"/>
        </w:rPr>
      </w:pPr>
    </w:p>
    <w:p w14:paraId="0850E0D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Un modelo de cultivo representa, de manera sencilla y sintética, los procesos fisiológicos y ecológicos del crecimiento y desarrollo de las plantas utilizando ecuaciones matemáticas </w:t>
      </w:r>
      <w:r>
        <w:fldChar w:fldCharType="begin"/>
      </w:r>
      <w:r>
        <w:rPr>
          <w:rFonts w:ascii="Arial" w:hAnsi="Arial" w:cs="Arial"/>
          <w:sz w:val="24"/>
          <w:szCs w:val="24"/>
        </w:rPr>
        <w:instrText>ADDIN ZOTERO_ITEM CSL_CITATION {"citationID":"QA8e95iV","properties":{"formattedCitation":"(G\\uc0\\u225{}lvez et al., 2010a)","plainCitation":"(Gálvez et al., 2010a)","dontUpdate":true,"noteIndex":0},"citationItems":[{"id":"UJQ2oGUC/3IRiigxP","uris":["http://zotero.org/users/local/Ax6kcjol/items/ABHHU5MN"],"itemData":{"id":75,"type":"article-journal","title":"MODELACIÓN DE CULTIVOS AGRÍCOLAS. ALGUNOS EJEMPLOS","container-title":"Cultivos Tropicales","page":"60-65","volume":"31","issue":"3","source":"Zotero","abstract":"A review of some concepts related to agricultural crop modelling and the main types of models that may be used from the viewpoint of its agricultural use is presented in this paper. Some examples are given of the application of these models in agriculture for estimating crop yield, particularly in Cuba. The great potential these informatics-linked technologies have as modern tools for estimating agricultural yields is highlighted in the conclusions.","language":"es","author":[{"family":"Gálvez","given":"G"},{"family":"Sigarroa","given":"A"},{"family":"López","given":"T"},{"family":"Fernández","given":"J"}],"issued":{"date-parts":[["2010"]]}}}],"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(Gálvez </w:t>
      </w:r>
      <w:r>
        <w:rPr>
          <w:rFonts w:ascii="Arial" w:hAnsi="Arial" w:cs="Arial"/>
          <w:i/>
          <w:sz w:val="24"/>
          <w:szCs w:val="24"/>
        </w:rPr>
        <w:t>et al</w:t>
      </w:r>
      <w:r>
        <w:rPr>
          <w:rFonts w:ascii="Arial" w:hAnsi="Arial" w:cs="Arial"/>
          <w:sz w:val="24"/>
          <w:szCs w:val="24"/>
        </w:rPr>
        <w:t>., 2010)</w:t>
      </w:r>
      <w:r>
        <w:rPr>
          <w:rFonts w:ascii="Arial" w:hAnsi="Arial" w:cs="Arial"/>
          <w:sz w:val="24"/>
          <w:szCs w:val="24"/>
        </w:rPr>
        <w:fldChar w:fldCharType="end"/>
      </w:r>
      <w:r>
        <w:rPr>
          <w:rFonts w:ascii="Arial" w:hAnsi="Arial" w:cs="Arial"/>
          <w:sz w:val="24"/>
          <w:szCs w:val="24"/>
        </w:rPr>
        <w:t>.</w:t>
      </w:r>
    </w:p>
    <w:p w14:paraId="21CE461D" w14:textId="77777777" w:rsidR="000630B1" w:rsidRDefault="000630B1" w:rsidP="000630B1">
      <w:pPr>
        <w:spacing w:after="0" w:line="360" w:lineRule="auto"/>
        <w:jc w:val="both"/>
        <w:rPr>
          <w:rFonts w:ascii="Arial" w:hAnsi="Arial" w:cs="Arial"/>
          <w:sz w:val="24"/>
          <w:szCs w:val="24"/>
        </w:rPr>
      </w:pPr>
    </w:p>
    <w:p w14:paraId="01648E3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El desarrollo informático actual proporciona herramientas nuevas para apoyar el proceso de la toma de decisiones en diversas disciplinas y áreas de diseño y manejo de la industria. La modelación de cultivos y el análisis del sistema suelo-planta-atmósfera son herramientas importantes para la investigación agrícola moderna </w:t>
      </w:r>
      <w:r>
        <w:fldChar w:fldCharType="begin"/>
      </w:r>
      <w:r>
        <w:rPr>
          <w:rFonts w:ascii="Arial" w:hAnsi="Arial" w:cs="Arial"/>
          <w:sz w:val="24"/>
          <w:szCs w:val="24"/>
        </w:rPr>
        <w:instrText>ADDIN ZOTERO_ITEM CSL_CITATION {"citationID":"3jKJS0fD","properties":{"formattedCitation":"(Murthy, 2011)","plainCitation":"(Murthy, 2011)","noteIndex":0},"citationItems":[{"id":"UJQ2oGUC/6EfM8Agh","uris":["http://zotero.org/users/local/Ax6kcjol/items/LTDQP4NF"],"itemData":{"id":134,"type":"chapter","title":"Crop growth modeling and its applications in agricultural meteorology.","container-title":"Satellite Remote Sensing and GIS Applications in Agricultural Meteorology","page":"235-261","volume":"1","author":[{"family":"Murthy","given":"V. R. K."}],"issued":{"date-parts":[["2011"]]}}}],"schema":"https://github.com/citation-style-language/schema/raw/master/csl-citation.json"}</w:instrText>
      </w:r>
      <w:r>
        <w:rPr>
          <w:rFonts w:ascii="Arial" w:hAnsi="Arial" w:cs="Arial"/>
          <w:sz w:val="24"/>
          <w:szCs w:val="24"/>
        </w:rPr>
        <w:fldChar w:fldCharType="separate"/>
      </w:r>
      <w:r>
        <w:rPr>
          <w:rFonts w:ascii="Arial" w:hAnsi="Arial" w:cs="Arial"/>
          <w:sz w:val="24"/>
        </w:rPr>
        <w:t>(Murthy, 2011)</w:t>
      </w:r>
      <w:r>
        <w:rPr>
          <w:rFonts w:ascii="Arial" w:hAnsi="Arial" w:cs="Arial"/>
          <w:sz w:val="24"/>
          <w:szCs w:val="24"/>
        </w:rPr>
        <w:fldChar w:fldCharType="end"/>
      </w:r>
      <w:r>
        <w:rPr>
          <w:rFonts w:ascii="Arial" w:hAnsi="Arial" w:cs="Arial"/>
          <w:sz w:val="24"/>
          <w:szCs w:val="24"/>
        </w:rPr>
        <w:t xml:space="preserve">. Estos tienen varias aplicaciones actuales y potenciales en respuesta a temas relacionados con la investigación, el manejo de cultivos y la planificación. Estos constituyen un elemento importante para tomar decisiones en la agricultura al cuantificar, interpretar y predecir las necesidades hídricas de los cultivos, el </w:t>
      </w:r>
      <w:r>
        <w:rPr>
          <w:rFonts w:ascii="Arial" w:hAnsi="Arial" w:cs="Arial"/>
          <w:sz w:val="24"/>
          <w:szCs w:val="24"/>
        </w:rPr>
        <w:lastRenderedPageBreak/>
        <w:t xml:space="preserve">desarrollo de estos y sus rendimientos; durante tres décadas esos modelos se han aplicado, fundamentalmente, en países de clima templado por los beneficios que aportan. </w:t>
      </w:r>
    </w:p>
    <w:p w14:paraId="09B1B3D9" w14:textId="77777777" w:rsidR="000630B1" w:rsidRDefault="000630B1" w:rsidP="000630B1">
      <w:pPr>
        <w:spacing w:after="0" w:line="360" w:lineRule="auto"/>
        <w:jc w:val="both"/>
        <w:rPr>
          <w:color w:val="C00000"/>
          <w:sz w:val="23"/>
          <w:szCs w:val="23"/>
        </w:rPr>
      </w:pPr>
    </w:p>
    <w:p w14:paraId="014D3EB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aparición de los modelos de simulación ocurre a partir de la década del cincuenta con modelos descriptivos y matemáticos de los procesos involucrados; luego, a mediados de los sesenta aparece el concepto de sistemas dinámicos, que incluyen la variable tiempo y que representan el flujo de esos procesos y sus interacciones. En esta etapa se desarrollaron modelos como herramienta para explicaciones científicas, ejemplo de esto lo constituye, la comprensión de procesos tales como la intercepción de radiación y fotosíntesis. En la década del setenta se formaliza el concepto de dinámica de sistemas y en los ochenta se refinan, mediante técnicas de computación, la verificación, validación y evaluación de esos modelos. </w:t>
      </w:r>
    </w:p>
    <w:p w14:paraId="0B6B97E9" w14:textId="77777777" w:rsidR="000630B1" w:rsidRDefault="000630B1" w:rsidP="000630B1">
      <w:pPr>
        <w:spacing w:after="0" w:line="360" w:lineRule="auto"/>
        <w:jc w:val="both"/>
        <w:rPr>
          <w:rFonts w:ascii="Arial" w:hAnsi="Arial" w:cs="Arial"/>
          <w:color w:val="C00000"/>
          <w:sz w:val="24"/>
          <w:szCs w:val="24"/>
        </w:rPr>
      </w:pPr>
    </w:p>
    <w:p w14:paraId="39AF81E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simulación de sistemas agrícolas empezó entonces a ser una herramienta para la integración de los diferentes componentes productivos dentro de los sistemas agrícolas. Los avances en el conocimiento de las interacciones dentro del ecosistema, influenciado por el ambiente y por las prácticas de manejo, expandió la potencialidad de uso de esta herramienta como ayuda para la toma de decisiones </w:t>
      </w:r>
      <w:r>
        <w:fldChar w:fldCharType="begin"/>
      </w:r>
      <w:r>
        <w:rPr>
          <w:rFonts w:ascii="Arial" w:hAnsi="Arial" w:cs="Arial"/>
          <w:sz w:val="24"/>
          <w:szCs w:val="24"/>
        </w:rPr>
        <w:instrText>ADDIN ZOTERO_ITEM CSL_CITATION {"citationID":"ieZNFZKT","properties":{"formattedCitation":"(Barrett and Nearing, 1998)","plainCitation":"(Barrett and Nearing, 1998)","dontUpdate":true,"noteIndex":0},"citationItems":[{"id":"UJQ2oGUC/25XIyynP","uris":["http://zotero.org/users/local/Ax6kcjol/items/8FFIXLUM"],"itemData":{"id":64,"type":"article-journal","title":"Humanization of decision support using information from simulations","container-title":"Agricultural systems modeling and simulation","page":"1-17","author":[{"family":"Barrett","given":"John R."},{"family":"Nearing","given":"Mark A."}],"issued":{"date-parts":[["1998"]]}}}],"schema":"https://github.com/citation-style-language/schema/raw/master/csl-citation.json"}</w:instrText>
      </w:r>
      <w:r>
        <w:rPr>
          <w:rFonts w:ascii="Arial" w:hAnsi="Arial" w:cs="Arial"/>
          <w:sz w:val="24"/>
          <w:szCs w:val="24"/>
        </w:rPr>
        <w:fldChar w:fldCharType="separate"/>
      </w:r>
      <w:r>
        <w:rPr>
          <w:rFonts w:ascii="Arial" w:hAnsi="Arial" w:cs="Arial"/>
          <w:sz w:val="24"/>
        </w:rPr>
        <w:t>(Barrett y Nearing, 1998)</w:t>
      </w:r>
      <w:r>
        <w:rPr>
          <w:rFonts w:ascii="Arial" w:hAnsi="Arial" w:cs="Arial"/>
          <w:sz w:val="24"/>
          <w:szCs w:val="24"/>
        </w:rPr>
        <w:fldChar w:fldCharType="end"/>
      </w:r>
      <w:r>
        <w:rPr>
          <w:rFonts w:ascii="Arial" w:hAnsi="Arial" w:cs="Arial"/>
          <w:sz w:val="24"/>
          <w:szCs w:val="24"/>
        </w:rPr>
        <w:t xml:space="preserve">. </w:t>
      </w:r>
    </w:p>
    <w:p w14:paraId="1D18383E"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aparición de la tecnología informática a mediados de los noventa permitió una mayor utilización de estos modelos para el estudio y resolución de problemas específicos, como son el desarrollo y crecimiento de los cultivos, la evaluación de respuesta a la fertilización, las estrategias de riego, las situaciones de estrés, la predicción de pérdidas por erosión, la lixiviación de pesticidas, la contaminación del ambiente, el calentamiento global de la atmósfera, entre otros </w:t>
      </w:r>
      <w:r>
        <w:fldChar w:fldCharType="begin"/>
      </w:r>
      <w:r>
        <w:rPr>
          <w:rFonts w:ascii="Arial" w:hAnsi="Arial" w:cs="Arial"/>
          <w:sz w:val="24"/>
          <w:szCs w:val="24"/>
        </w:rPr>
        <w:instrText>ADDIN ZOTERO_ITEM CSL_CITATION {"citationID":"dd0hvetw","properties":{"formattedCitation":"(Guevara, 2007)","plainCitation":"(Guevara, 2007)","noteIndex":0},"citationItems":[{"id":"UJQ2oGUC/xi6GeCxJ","uris":["http://zotero.org/users/local/Ax6kcjol/items/HA6TBDAR"],"itemData":{"id":66,"type":"article-journal","title":"La simulación del desarrollo, crecimiento y rendimiento en maíz","page":"37","source":"Zotero","language":"es","author":[{"family":"Guevara","given":"Edgardo"}],"issued":{"date-parts":[["2007"]]}}}],"schema":"https://github.com/citation-style-language/schema/raw/master/csl-citation.json"}</w:instrText>
      </w:r>
      <w:r>
        <w:rPr>
          <w:rFonts w:ascii="Arial" w:hAnsi="Arial" w:cs="Arial"/>
          <w:sz w:val="24"/>
          <w:szCs w:val="24"/>
        </w:rPr>
        <w:fldChar w:fldCharType="separate"/>
      </w:r>
      <w:r>
        <w:rPr>
          <w:rFonts w:ascii="Arial" w:hAnsi="Arial" w:cs="Arial"/>
          <w:sz w:val="24"/>
        </w:rPr>
        <w:t>(Guevara, 2007)</w:t>
      </w:r>
      <w:r>
        <w:rPr>
          <w:rFonts w:ascii="Arial" w:hAnsi="Arial" w:cs="Arial"/>
          <w:sz w:val="24"/>
          <w:szCs w:val="24"/>
        </w:rPr>
        <w:fldChar w:fldCharType="end"/>
      </w:r>
      <w:r>
        <w:rPr>
          <w:rFonts w:ascii="Arial" w:hAnsi="Arial" w:cs="Arial"/>
          <w:sz w:val="24"/>
          <w:szCs w:val="24"/>
        </w:rPr>
        <w:t>.</w:t>
      </w:r>
    </w:p>
    <w:p w14:paraId="45325F84" w14:textId="77777777" w:rsidR="000630B1" w:rsidRDefault="000630B1" w:rsidP="000630B1">
      <w:pPr>
        <w:spacing w:after="0" w:line="360" w:lineRule="auto"/>
        <w:jc w:val="both"/>
        <w:rPr>
          <w:rFonts w:ascii="Arial" w:hAnsi="Arial" w:cs="Arial"/>
          <w:color w:val="C00000"/>
          <w:sz w:val="24"/>
          <w:szCs w:val="24"/>
        </w:rPr>
      </w:pPr>
    </w:p>
    <w:p w14:paraId="38871F40"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modelos de simulación constituyen un elemento importante para tomar decisiones en la agricultura al cuantificar, interpretar y predecir las necesidades hídricas de los cultivos, el desarrollo de estos y sus rendimientos. Estos pueden </w:t>
      </w:r>
      <w:r>
        <w:rPr>
          <w:rFonts w:ascii="Arial" w:hAnsi="Arial" w:cs="Arial"/>
          <w:sz w:val="24"/>
          <w:szCs w:val="24"/>
        </w:rPr>
        <w:lastRenderedPageBreak/>
        <w:t xml:space="preserve">ayudar a la comprensión de interacciones genéticas-fisiológicas-ambientales con una integración interdisciplinaria. </w:t>
      </w:r>
    </w:p>
    <w:p w14:paraId="32C69AF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Estos modelos permiten definir estrategias de producción en la etapa de la planificación de un cultivo futuro o ayudar a tomar decisiones tácticas durante el ciclo del cultivo, como son las prácticas culturales, la fertilización, el riego y el uso de plaguicidas </w:t>
      </w:r>
      <w:r>
        <w:fldChar w:fldCharType="begin"/>
      </w:r>
      <w:r>
        <w:rPr>
          <w:rFonts w:ascii="Arial" w:hAnsi="Arial" w:cs="Arial"/>
          <w:sz w:val="24"/>
          <w:szCs w:val="24"/>
        </w:rPr>
        <w:instrText>ADDIN ZOTERO_ITEM CSL_CITATION {"citationID":"KFqfzfwW","properties":{"formattedCitation":"(Meira and Guevara, 2000)","plainCitation":"(Meira and Guevara, 2000)","dontUpdate":true,"noteIndex":0},"citationItems":[{"id":"UJQ2oGUC/GAYPY4bz","uris":["http://zotero.org/users/local/Ax6kcjol/items/AIH2IVI3"],"itemData":{"id":82,"type":"article-journal","title":"Uso de modelos de simulación de cultivos como herramienta para la toma de decisiones en el cultivo de soja","container-title":"Potash &amp; Phosphate Institute, http://www. ppi-ppic. org","author":[{"family":"Meira","given":"Santiago"},{"family":"Guevara","given":"Edgardo"}],"issued":{"date-parts":[["2000"]]}}}],"schema":"https://github.com/citation-style-language/schema/raw/master/csl-citation.json"}</w:instrText>
      </w:r>
      <w:r>
        <w:rPr>
          <w:rFonts w:ascii="Arial" w:hAnsi="Arial" w:cs="Arial"/>
          <w:sz w:val="24"/>
          <w:szCs w:val="24"/>
        </w:rPr>
        <w:fldChar w:fldCharType="separate"/>
      </w:r>
      <w:r>
        <w:rPr>
          <w:rFonts w:ascii="Arial" w:hAnsi="Arial" w:cs="Arial"/>
          <w:sz w:val="24"/>
        </w:rPr>
        <w:t>(Meira y Guevara, 2000;</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{"citationID":"ijyVHW96","properties":{"formattedCitation":"(Mart\\uc0\\u237{}n et al., 2014)","plainCitation":"(Martín et al., 2014)","dontUpdate":true,"noteIndex":0},"citationItems":[{"id":"UJQ2oGUC/8v0UB6an","uris":["http://zotero.org/users/local/Ax6kcjol/items/MLI89CQH"],"itemData":{"id":153,"type":"article-journal","title":"A genotype, environment and management (GxExM) analysis of adaptation in winter wheat to climate change in Denmark","container-title":"Agricultural and Forest Meteorology","page":"1-13","volume":"187","source":"Crossref","abstract":"Wheat yields in Europe have shown stagnating trends during the last two decades, partly attributed to climate change. Such developments challenge the needs for increased production, in particular at higher latitudes, to meet increasing global demands and expected productivity reductions at lower latitudes. Climate change projections from three General Circulation Models or GCMs (UKMO-HadGEM1, INM-GM3.0 and CSIRO-Mk3.1) for the A1FI SRES emission scenario for 2000 to 2100 were downscaled at a northern latitude location (Foulum, Denmark) using LARS-WG5.3. The scenarios accounted for changes in temperature, precipitation and atmospheric CO2 concentration. In addition, three temperature-variability scenarios were included assuming different levels of decreased temperature variability in winter and increased in summer. Crop yield was simulated for the different climate change scenarios by a calibrated version of AFRCWHEAT2 to model several combinations of genotypes (varying in crop growth, development and tolerance to water and nitrogen scarcity) and management (sowing dates and nitrogen fertilization rate). The simulations showed a slight improvement of grain yields (0.3–1.2 Mg ha−1) in the medium-term (2030–2050), but not enough to cope with expected increases in demand for food and feed. Optimum management added up to 1.8 Mg ha−1. Genetic modiﬁcations regarding winter wheat crop development exhibit the greatest sensitivity to climate and larger potential for improvement (+3.8 Mg ha−1). The results consistently points towards need for cultivars with a longer reproductive phases (2.9–7.5% per 1 ◦C) and lower photoperiod sensitivities. Due to the positive synergies between several genotypic characteristics, multiple-target breeding programmes would be necessary, possibly assisted by model-based assessments of optimal phenotypic characteristics.","DOI":"10.1016/j.agrformet.2013.11.009","ISSN":"01681923","language":"en","author":[{"family":"Martín","given":"Manuel Montesino-San"},{"family":"Olesen","given":"Jørgen E."},{"family":"Porter","given":"John R."}],"issued":{"date-parts":[["2014",4]]}}}],"schema":"https://github.com/citation-style-language/schema/raw/master/csl-citation.json"}</w:instrText>
      </w:r>
      <w:r>
        <w:rPr>
          <w:rFonts w:ascii="Arial" w:hAnsi="Arial" w:cs="Arial"/>
          <w:sz w:val="24"/>
          <w:szCs w:val="24"/>
        </w:rPr>
        <w:fldChar w:fldCharType="separate"/>
      </w:r>
      <w:r>
        <w:rPr>
          <w:rFonts w:ascii="Arial" w:hAnsi="Arial" w:cs="Arial"/>
          <w:sz w:val="24"/>
          <w:szCs w:val="24"/>
        </w:rPr>
        <w:t xml:space="preserve">Martín </w:t>
      </w:r>
      <w:r>
        <w:rPr>
          <w:rFonts w:ascii="Arial" w:hAnsi="Arial" w:cs="Arial"/>
          <w:i/>
          <w:sz w:val="24"/>
          <w:szCs w:val="24"/>
        </w:rPr>
        <w:t>et al</w:t>
      </w:r>
      <w:r>
        <w:rPr>
          <w:rFonts w:ascii="Arial" w:hAnsi="Arial" w:cs="Arial"/>
          <w:sz w:val="24"/>
          <w:szCs w:val="24"/>
        </w:rPr>
        <w:t>., 2014</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{"citationID":"wf9xibdV","properties":{"formattedCitation":"(Anwar et al., 2015)","plainCitation":"(Anwar et al., 2015)","dontUpdate":true,"noteIndex":0},"citationItems":[{"id":"UJQ2oGUC/KyXYvn6q","uris":["http://zotero.org/users/local/Ax6kcjol/items/ZZDMW4P6"],"itemData":{"id":146,"type":"article-journal","title":"Climate change impacts on phenology and yields of five broadacre crops at four climatologically distinct locations in Australia","container-title":"Agricultural Systems","page":"133-144","volume":"132","source":"Crossref","abstract":"Shifts in rainfall and rising temperatures due to climate change pose a formidable challenge to the sustainability of broadacre crop yields in Western and South-Eastern Australia. Output from18 Global Climate Models (GCMs) for the Special Report on Emission Scenarios (SRES) A2 scenario was statistically downscaled to four contrasting locations. For the ﬁrst time in these regions, bias corrected statistically downscaled climate data were employed to drive the Agricultural Production Systems Simulator (APSIM) crop model that integrates the effects of soil, crop phenotype, and management options for a quantitative comparison of crop yields and phenology under an historical and a plausible projected climate. The dynamic APSIM simulation model explore the implications of climate change across multiple locations and multiple time periods (1961–2010, 2030, 2060 and 2090) for multiple key crops (wheat, barley, lupin, canola, ﬁeld pea) grown in three different types of soil. On average, the ensemble of downscaled GCM projections show a decrease in rainfall in the future at the four locations considered, with increased variability at two locations. At all locations and for ﬁve crops, future changes in both crop biomass and grain yield are strongly associated with changes in rainfall (P = 0.05 to P = 0.001). The overall rainfall amount is critical in determining yields but, equally, higher future temperatures can contribute to reducing crop productivity primarily due to advanced crop phenology. For example, for wheat cropping at Hamilton (a higher rainfall site), there is a signiﬁcant advancement in median ﬂowering date for 2030, 2060, and 2090 of 10, 18, and 29 days respectively with a signiﬁcant 0.50% grain yield changes for each percentage change in rainfall compared to signiﬁcant 0.90% grain yield changes in Cunderdin (a lower rainfall site). At all sites except Hamilton, the change in crop grain yield is signiﬁcantly correlated (P = 0.001) with the percentage change in the future rainfall and the impact increased progressively from higher rainfall to lower rainfall sites. However, the magnitude of the change in crop phenology and yield were not signiﬁcantly different between soil types. These results help to deﬁne regions of concern and their relative importance in the coming years. In this future climate the negative consequences for crop yields and advancement of phenology relative to baseline are not uniform across crops and locations. Of the crops studied – wheat, barley, lupin, canola and ﬁeld pea – ﬁeld pea is the most sensitive to the projected future climate changes, and the ensemble median changes in ﬁeld pea yield range from a decrease of 12% to a decrease of 45%, depending on location. These results highlight the importance of research and policy to support strategies for adapting to climate change, such as advances in agronomy, soil moisture conservation, seasonal climate forecasting and breeding new crop varieties.","DOI":"10.1016/j.agsy.2014.09.010","ISSN":"0308521X","language":"en","author":[{"family":"Anwar","given":"Muhuddin Rajin"},{"family":"Liu","given":"De Li"},{"family":"Farquharson","given":"Robert"},{"family":"Macadam","given":"Ian"},{"family":"Abadi","given":"Amir"},{"family":"Finlayson","given":"John"},{"family":"Wang","given":"Bin"},{"family":"Ramilan","given":"Thiagarajah"}],"issued":{"date-parts":[["2015",1]]}}}],"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Anwar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{"citationID":"8pzEniK6","properties":{"formattedCitation":"(S. Asseng et al., 2015)","plainCitation":"(S. Asseng et al., 2015)","dontUpdate":true,"noteIndex":0},"citationItems":[{"id":"UJQ2oGUC/lXmlsn4P","uris":["http://zotero.org/users/local/Ax6kcjol/items/8J4P2GCK"],"itemData":{"id":147,"type":"article-journal","title":"Rising temperatures reduce global wheat production","container-title":"Nature Climate Change","page":"143","volume":"5","journalAbbreviation":"Nature Climate Change","author":[{"family":"Asseng","given":"S."},{"family":"Ewert","given":"F."},{"family":"Martre","given":"P."},{"family":"Rötter","given":"R. P."},{"family":"Lobell","given":"D. B."},{"family":"Cammarano","given":"D."},{"family":"Kimball","given":"B. A."},{"family":"Ottman","given":"M. J."},{"family":"Wall","given":"G. W."},{"family":"White","given":"J. W."},{"family":"Reynolds","given":"M. P."},{"family":"Alderman","given":"P. D."},{"family":"Prasad","given":"P. V. V."},{"family":"Aggarwal","given":"P. K."},{"family":"Anothai","given":"J."},{"family":"Basso","given":"B."},{"family":"Biernath","given":"C."},{"family":"Challinor","given":"A. J."},{"family":"De Sanctis","given":"G."},{"family":"Doltra","given":"J."},{"family":"Fereres","given":"E."},{"family":"Garcia-Vila","given":"M."},{"family":"Gayler","given":"S."},{"family":"Hoogenboom","given":"G."},{"family":"Hunt","given":"L. A."},{"family":"Izaurralde","given":"R. C."},{"family":"Jabloun","given":"M."},{"family":"Jones","given":"C. D."},{"family":"Kersebaum","given":"K. C."},{"family":"Koehler","given":"A-K."},{"family":"Müller","given":"C."},{"family":"Naresh Kumar","given":"S."},{"family":"Nendel","given":"C."},{"family":"O’Leary","given":"G."},{"family":"Olesen","given":"J. E."},{"family":"Palosuo","given":"T."},{"family":"Priesack","given":"E."},{"family":"Eyshi Rezaei","given":"E."},{"family":"Ruane","given":"A. C."},{"family":"Semenov","given":"M. A."},{"family":"Shcherbak","given":"I."},{"family":"Stöckle","given":"C."},{"family":"Stratonovitch","given":"P."},{"family":"Streck","given":"T."},{"family":"Supit","given":"I."},{"family":"Tao","given":"F."},{"family":"Thorburn","given":"P. J."},{"family":"Waha","given":"K."},{"family":"Wang","given":"E."},{"family":"Wallach","given":"D."},{"family":"Wolf","given":"J."},{"family":"Zhao","given":"Z."},{"family":"Zhu","given":"Y."}],"issued":{"date-parts":[["2015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w:t>
      </w:r>
      <w:r>
        <w:rPr>
          <w:rFonts w:ascii="Arial" w:hAnsi="Arial" w:cs="Arial"/>
          <w:sz w:val="24"/>
          <w:szCs w:val="24"/>
        </w:rPr>
        <w:fldChar w:fldCharType="end"/>
      </w:r>
      <w:r w:rsidRPr="001E5715">
        <w:rPr>
          <w:rFonts w:ascii="Arial" w:hAnsi="Arial" w:cs="Arial"/>
          <w:sz w:val="24"/>
          <w:szCs w:val="24"/>
          <w:lang w:val="en-US"/>
        </w:rPr>
        <w:t xml:space="preserve">a; </w:t>
      </w:r>
      <w:r>
        <w:fldChar w:fldCharType="begin"/>
      </w:r>
      <w:r w:rsidRPr="001E5715">
        <w:rPr>
          <w:rFonts w:ascii="Arial" w:hAnsi="Arial" w:cs="Arial"/>
          <w:sz w:val="24"/>
          <w:szCs w:val="24"/>
          <w:lang w:val="en-US"/>
        </w:rPr>
        <w:instrText>ADDIN ZOTERO_ITEM CSL_CITATION {"citationID":"pzP1a77e","properties":{"formattedCitation":"(Asseng et al., 2015)","plainCitation":"(Asseng et al., 2015)","dontUpdate":true,"noteIndex":0},"citationItems":[{"id":"UJQ2oGUC/h8OreHhG","uris":["http://zotero.org/users/local/Ax6kcjol/items/6X9PGDP3"],"itemData":{"id":149,"type":"chapter","title":"Crop modeling for climate change impact and adaptation","container-title":"Crop Physiology","publisher":"Elsevier","page":"505-546","source":"Crossref","URL":"https://linkinghub.elsevier.com/retrieve/pii/B9780124171046000200","ISBN":"978-0-12-417104-6","note":"DOI: 10.1016/B978-0-12-417104-6.00020-0","language":"en","author":[{"family":"Asseng","given":"Senthold"},{"family":"Zhu","given":"Yan"},{"family":"Wang","given":"Enli"},{"family":"Zhang","given":"Weijian"}],"issued":{"date-parts":[["2015"]]},"accessed":{"date-parts":[["2019",1,15]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Asseng </w:t>
      </w:r>
      <w:r w:rsidRPr="001E5715">
        <w:rPr>
          <w:rFonts w:ascii="Arial" w:hAnsi="Arial" w:cs="Arial"/>
          <w:i/>
          <w:sz w:val="24"/>
          <w:lang w:val="en-US"/>
        </w:rPr>
        <w:t>et al</w:t>
      </w:r>
      <w:r w:rsidRPr="001E5715">
        <w:rPr>
          <w:rFonts w:ascii="Arial" w:hAnsi="Arial" w:cs="Arial"/>
          <w:sz w:val="24"/>
          <w:lang w:val="en-US"/>
        </w:rPr>
        <w:t>., 2015b</w:t>
      </w:r>
      <w:r>
        <w:rPr>
          <w:rFonts w:ascii="Arial" w:hAnsi="Arial" w:cs="Arial"/>
          <w:sz w:val="24"/>
          <w:szCs w:val="24"/>
        </w:rPr>
        <w:fldChar w:fldCharType="end"/>
      </w:r>
      <w:r w:rsidRPr="001E5715">
        <w:rPr>
          <w:rFonts w:ascii="Arial" w:hAnsi="Arial" w:cs="Arial"/>
          <w:sz w:val="24"/>
          <w:szCs w:val="24"/>
          <w:lang w:val="en-US"/>
        </w:rPr>
        <w:t xml:space="preserve">; </w:t>
      </w:r>
      <w:r>
        <w:fldChar w:fldCharType="begin"/>
      </w:r>
      <w:r w:rsidRPr="001E5715">
        <w:rPr>
          <w:rFonts w:ascii="Arial" w:hAnsi="Arial" w:cs="Arial"/>
          <w:sz w:val="24"/>
          <w:szCs w:val="24"/>
          <w:lang w:val="en-US"/>
        </w:rPr>
        <w:instrText>ADDIN ZOTERO_ITEM CSL_CITATION {"citationID":"CJRNhM9n","properties":{"formattedCitation":"(Mohanty et al., 2012)","plainCitation":"(Mohanty et al., 2012)","dontUpdate":true,"noteIndex":0},"citationItems":[{"id":"UJQ2oGUC/4hRbz0KE","uris":["http://zotero.org/users/local/Ax6kcjol/items/MLYBCQEG"],"itemData":{"id":151,"type":"article-journal","title":"Simulating soybean–wheat cropping system: APSIM model parameterization and validation","container-title":"Agriculture, Ecosystems &amp; Environment","page":"68-78","volume":"152","source":"Crossref","abstract":"In recent years, nutrient management of soybean–wheat systems in central India has become a cause for concern because of stagnation of grain yields of soybean and wheat. The reduction in grain yield was mainly attributed to a suboptimal supply of nutrients to both the crops, use of poor quality farmyard manures and erratic distribution of rainfall during soybean’s growing season and unavailability of irrigation water during wheat season. In this connection, the crop growth simulation models are handy in identifying the constraints to yield and recommending appropriate management practices to optimize the productivity of soybean–wheat system. To achieve this, the APSIM model was parameterized and validated for soybean and wheat crop of subtropical central India.","DOI":"10.1016/j.agee.2012.02.013","ISSN":"01678809","shortTitle":"Simulating soybean–wheat cropping system","language":"en","author":[{"family":"Mohanty","given":"M."},{"family":"Probert","given":"M.E."},{"family":"Reddy","given":"K. Sammi"},{"family":"Dalal","given":"R.C."},{"family":"Mishra","given":"A.K."},{"family":"Subba Rao","given":"A."},{"family":"Singh","given":"M."},{"family":"Menzies","given":"N.W."}],"issued":{"date-parts":[["2012",5]]}}}],"schema":"https://github.com/citation-style-language/schema/raw/master/csl-citation.json"}</w:instrText>
      </w:r>
      <w:r>
        <w:rPr>
          <w:rFonts w:ascii="Arial" w:hAnsi="Arial" w:cs="Arial"/>
          <w:sz w:val="24"/>
          <w:szCs w:val="24"/>
        </w:rPr>
        <w:fldChar w:fldCharType="separate"/>
      </w:r>
      <w:r w:rsidRPr="001E5715">
        <w:rPr>
          <w:rFonts w:ascii="Arial" w:hAnsi="Arial" w:cs="Arial"/>
          <w:sz w:val="24"/>
          <w:lang w:val="en-US"/>
        </w:rPr>
        <w:t xml:space="preserve">Mohanty </w:t>
      </w:r>
      <w:r w:rsidRPr="001E5715">
        <w:rPr>
          <w:rFonts w:ascii="Arial" w:hAnsi="Arial" w:cs="Arial"/>
          <w:i/>
          <w:sz w:val="24"/>
          <w:lang w:val="en-US"/>
        </w:rPr>
        <w:t>et al</w:t>
      </w:r>
      <w:r w:rsidRPr="001E5715">
        <w:rPr>
          <w:rFonts w:ascii="Arial" w:hAnsi="Arial" w:cs="Arial"/>
          <w:sz w:val="24"/>
          <w:lang w:val="en-US"/>
        </w:rPr>
        <w:t>., 2012)</w:t>
      </w:r>
      <w:r>
        <w:rPr>
          <w:rFonts w:ascii="Arial" w:hAnsi="Arial" w:cs="Arial"/>
          <w:sz w:val="24"/>
          <w:szCs w:val="24"/>
        </w:rPr>
        <w:fldChar w:fldCharType="end"/>
      </w:r>
      <w:r w:rsidRPr="001E5715">
        <w:rPr>
          <w:rFonts w:ascii="Arial" w:hAnsi="Arial" w:cs="Arial"/>
          <w:sz w:val="24"/>
          <w:szCs w:val="24"/>
          <w:lang w:val="en-US"/>
        </w:rPr>
        <w:t xml:space="preserve">. </w:t>
      </w:r>
      <w:r>
        <w:rPr>
          <w:rFonts w:ascii="Arial" w:hAnsi="Arial" w:cs="Arial"/>
          <w:sz w:val="24"/>
          <w:szCs w:val="24"/>
        </w:rPr>
        <w:t>Modificando la escala de espacio y tiempo, los modelos permiten, además, abordar fenómenos climáticos analizando en forma interactiva el impacto de la variabilidad climática y las decisiones de manejo sobre la productividad de los cultivos; resultado difícil de obtener a partir de análisis estadísticos clásicos o experimentos agronómicos tradicionales.</w:t>
      </w:r>
    </w:p>
    <w:p w14:paraId="0834B35B" w14:textId="77777777" w:rsidR="000630B1" w:rsidRDefault="000630B1" w:rsidP="000630B1">
      <w:pPr>
        <w:spacing w:after="0" w:line="360" w:lineRule="auto"/>
        <w:jc w:val="both"/>
        <w:rPr>
          <w:rFonts w:ascii="Arial" w:hAnsi="Arial" w:cs="Arial"/>
          <w:color w:val="C00000"/>
          <w:sz w:val="24"/>
          <w:szCs w:val="24"/>
        </w:rPr>
      </w:pPr>
    </w:p>
    <w:p w14:paraId="68D15C8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Además, resultan un medio importante para aumentar la eficiencia de la investigación, ya que estos pueden auxiliar a los investigadores en la asimilación del conocimiento adquirido mediante la experimentación y proporcionan un marco de referencia para aportaciones de carácter multidisciplinario; asimismo, promueven el método de sistemas para la solución de problemas y facilitan una organización sistemática del conocimiento existente sobre cultivos y recursos naturales.</w:t>
      </w:r>
    </w:p>
    <w:p w14:paraId="42D8C41F" w14:textId="77777777" w:rsidR="000630B1" w:rsidRDefault="000630B1" w:rsidP="000630B1">
      <w:pPr>
        <w:spacing w:after="0" w:line="360" w:lineRule="auto"/>
        <w:jc w:val="both"/>
        <w:rPr>
          <w:rFonts w:ascii="Arial" w:hAnsi="Arial" w:cs="Arial"/>
          <w:sz w:val="24"/>
          <w:szCs w:val="24"/>
        </w:rPr>
      </w:pPr>
    </w:p>
    <w:p w14:paraId="10E8C1D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general, son aceptables los puntos de vista de los que aseveran que el uso de los modelos de simulación para las ciencias agrícolas y biológicas y sus usos prácticos está en un momento de gran importancia; se convierten en una poderosa herramienta para incrementar el entendimiento de la fisiología y ecología de los cultivos </w:t>
      </w:r>
      <w:r>
        <w:fldChar w:fldCharType="begin"/>
      </w:r>
      <w:r>
        <w:rPr>
          <w:rFonts w:ascii="Arial" w:hAnsi="Arial" w:cs="Arial"/>
          <w:sz w:val="24"/>
          <w:szCs w:val="24"/>
        </w:rPr>
        <w:instrText>ADDIN ZOTERO_ITEM CSL_CITATION {"citationID":"E2yohgNp","properties":{"formattedCitation":"(G\\uc0\\u225{}lvez, 2008)","plainCitation":"(Gálvez, 2008)","dontUpdate":true,"noteIndex":0},"citationItems":[{"id":"UJQ2oGUC/j5FKoq7h","uris":["http://zotero.org/users/local/Ax6kcjol/items/9WY2AF7H"],"itemData":{"id":67,"type":"article-journal","title":"Modelación del crecimiento de las plantas. Modelación de cultivos agrícolas","container-title":"Seminario de modelación de cultivos.(1: 2008 mar. 13-14)","author":[{"family":"Gálvez","given":"G."}],"issued":{"date-parts":[["2008"]]}}}],"schema":"https://github.com/citation-style-language/schema/raw/master/csl-citation.json"}</w:instrText>
      </w:r>
      <w:r>
        <w:rPr>
          <w:rFonts w:ascii="Arial" w:hAnsi="Arial" w:cs="Arial"/>
          <w:sz w:val="24"/>
          <w:szCs w:val="24"/>
        </w:rPr>
        <w:fldChar w:fldCharType="separate"/>
      </w:r>
      <w:r>
        <w:rPr>
          <w:rFonts w:ascii="Arial" w:hAnsi="Arial" w:cs="Arial"/>
          <w:sz w:val="24"/>
          <w:szCs w:val="24"/>
        </w:rPr>
        <w:t>(Gálvez, 2008</w:t>
      </w:r>
      <w:r>
        <w:rPr>
          <w:rFonts w:ascii="Arial" w:hAnsi="Arial" w:cs="Arial"/>
          <w:sz w:val="24"/>
          <w:szCs w:val="24"/>
        </w:rPr>
        <w:fldChar w:fldCharType="end"/>
      </w:r>
      <w:r>
        <w:fldChar w:fldCharType="begin"/>
      </w:r>
      <w:r>
        <w:rPr>
          <w:rFonts w:ascii="Arial" w:hAnsi="Arial" w:cs="Arial"/>
          <w:sz w:val="24"/>
          <w:szCs w:val="24"/>
        </w:rPr>
        <w:instrText>ADDIN ZOTERO_ITEM CSL_CITATION {"citationID":"Hs920A6g","properties":{"formattedCitation":"(Dong et al., 2014)","plainCitation":"(Dong et al., 2014)","dontUpdate":true,"noteIndex":0},"citationItems":[{"id":"UJQ2oGUC/C7ldGbKh","uris":["http://zotero.org/users/local/Ax6kcjol/items/59I353GH"],"itemData":{"id":155,"type":"article-journal","title":"Analysis and optimization of the effect of light and nutrient solution on wheat growth and development using an inverse system model strategy","container-title":"Computers and Electronics in Agriculture","page":"221-231","volume":"109","source":"Crossref","abstract":"Wheat (Triticum aestivum L.) has been selected as one of the core crops in Bioregenerative Life Support Systems (BLSS) for future long-term space mission, and its cultivation is affected by several environmental factors. Both light system and nutrient solution are most efﬁcient for plant growth. The objective of this study was to investigate the inﬂuences of different spectra combinations and ionic concentration (NH4+, K+, Mg2+, Ca2+, NO3À, H2POÀ4 , SO24À) on wheat growth, photosynthetic rate, transpiration rate, antioxidant capacity and biomass yield. The results showed that red–white light (RW) and white light (W) are more conducive to wheat growth and development. There are obvious advantages: photosynthetic rate, harvest index, thousand kernel weight, edible and inedible biomass. In order to conduct wheat cultivation for good quality, high yield and efﬁciency in the artiﬁcial environment, a valid state-space model of wheat growth process (WGP) was developed by experimental data and system identiﬁcation, and then the inverse system model of WGP was derived accordingly to theoretically optimize the planting regime including light intensity and mineral ions concentrations based on prescribed output responses of WGP and computer simulation. Analysis of the most efﬁcient nutrient mixtures showed that depending on the light (intensity and quality) and the plant age the different absorption of mineral elements from nutrient solution was observed. Therefore, it is important to develop a balanced nutrient mixture and light, which would provide the optimum uptake by plants of each element for the growing season.","DOI":"10.1016/j.compag.2014.10.013","ISSN":"01681699","language":"en","author":[{"family":"Dong","given":"Chen"},{"family":"Hu","given":"Dawei"},{"family":"Fu","given":"Yuming"},{"family":"Wang","given":"Minjuan"},{"family":"Liu","given":"Hong"}],"issued":{"date-parts":[["2014",11]]}}}],"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 Dong </w:t>
      </w:r>
      <w:r>
        <w:rPr>
          <w:rFonts w:ascii="Arial" w:hAnsi="Arial" w:cs="Arial"/>
          <w:i/>
          <w:sz w:val="24"/>
        </w:rPr>
        <w:t>et al</w:t>
      </w:r>
      <w:r>
        <w:rPr>
          <w:rFonts w:ascii="Arial" w:hAnsi="Arial" w:cs="Arial"/>
          <w:sz w:val="24"/>
        </w:rPr>
        <w:t>., 2014)</w:t>
      </w:r>
      <w:r>
        <w:rPr>
          <w:rFonts w:ascii="Arial" w:hAnsi="Arial" w:cs="Arial"/>
          <w:sz w:val="24"/>
          <w:szCs w:val="24"/>
        </w:rPr>
        <w:fldChar w:fldCharType="end"/>
      </w:r>
      <w:r>
        <w:rPr>
          <w:rFonts w:ascii="Arial" w:hAnsi="Arial" w:cs="Arial"/>
          <w:sz w:val="24"/>
          <w:szCs w:val="24"/>
        </w:rPr>
        <w:t>.</w:t>
      </w:r>
    </w:p>
    <w:p w14:paraId="4C6204A4" w14:textId="77777777" w:rsidR="000630B1" w:rsidRDefault="000630B1" w:rsidP="000630B1">
      <w:pPr>
        <w:spacing w:after="0" w:line="360" w:lineRule="auto"/>
        <w:jc w:val="both"/>
        <w:rPr>
          <w:rFonts w:ascii="Arial" w:hAnsi="Arial" w:cs="Arial"/>
          <w:b/>
          <w:bCs/>
          <w:color w:val="C00000"/>
          <w:sz w:val="24"/>
          <w:szCs w:val="24"/>
        </w:rPr>
      </w:pPr>
    </w:p>
    <w:p w14:paraId="6758DAB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modelos se desarrollan con diferentes niveles de complejidad, teniendo en cuenta la cantidad de datos y el conocimiento que está disponible. Se han realizado diferentes clasificaciones de los modelos, pero no se pueden realizar delimitaciones definidas, ya que los modelos generalmente poseen características de más de un </w:t>
      </w:r>
      <w:r>
        <w:rPr>
          <w:rFonts w:ascii="Arial" w:hAnsi="Arial" w:cs="Arial"/>
          <w:sz w:val="24"/>
          <w:szCs w:val="24"/>
        </w:rPr>
        <w:lastRenderedPageBreak/>
        <w:t xml:space="preserve">grupo </w:t>
      </w:r>
      <w:r>
        <w:fldChar w:fldCharType="begin"/>
      </w:r>
      <w:r>
        <w:rPr>
          <w:rFonts w:ascii="Arial" w:hAnsi="Arial" w:cs="Arial"/>
          <w:sz w:val="24"/>
          <w:szCs w:val="24"/>
        </w:rPr>
        <w:instrText>ADDIN ZOTERO_ITEM CSL_CITATION {"citationID":"M2w3gt6S","properties":{"formattedCitation":"(Duran-Peralta et\\uc0\\u160{}al., 2022)","plainCitation":"(Duran-Peralta et al., 2022)","noteIndex":0},"citationItems":[{"id":545,"uris":["http://zotero.org/users/local/1mxXpOpa/items/67QR2BG3"],"itemData":{"id":545,"type":"article-journal","container-title":"Revista mexicana de ciencias agrícolas","DOI":"10.29312/remexca.v13i6.2922","ISSN":"2007-0934","issue":"6","language":"es","note":"publisher: Instituto Nacional de Investigaciones Forestales, Agrícolas y Pecuarias","page":"1129-1140","source":"SciELO","title":"La modelación y simulación matemáticas: una herramienta para la protección de cultivos","title-short":"La modelación y simulación matemáticas","volume":"13","author":[{"family":"Duran-Peralta","given":"Elisa"},{"family":"Acuayte-Valdes","given":"Erik"},{"family":"Acuayte-Valdes","given":"María del Consuelo"},{"family":"Hernández-López","given":"Juan Carlos"},{"family":"López-Cruz","given":"Irineo Lorenzo"},{"family":"Duran-Peralta","given":"Elisa"},{"family":"Acuayte-Valdes","given":"Erik"},{"family":"Acuayte-Valdes","given":"María del Consuelo"},{"family":"Hernández-López","given":"Juan Carlos"},{"family":"López-Cruz","given":"Irineo Lorenzo"}],"issued":{"date-parts":[["2022",9]]}}}],"schema":"https://github.com/citation-style-language/schema/raw/master/csl-citation.json"}</w:instrText>
      </w:r>
      <w:r>
        <w:rPr>
          <w:rFonts w:ascii="Arial" w:hAnsi="Arial" w:cs="Arial"/>
          <w:sz w:val="24"/>
          <w:szCs w:val="24"/>
        </w:rPr>
        <w:fldChar w:fldCharType="separate"/>
      </w:r>
      <w:r>
        <w:rPr>
          <w:rFonts w:ascii="Arial" w:hAnsi="Arial" w:cs="Arial"/>
          <w:sz w:val="24"/>
          <w:szCs w:val="24"/>
        </w:rPr>
        <w:t>(Duran-Peralta et al., 2022)</w:t>
      </w:r>
      <w:r>
        <w:rPr>
          <w:rFonts w:ascii="Arial" w:hAnsi="Arial" w:cs="Arial"/>
          <w:sz w:val="24"/>
          <w:szCs w:val="24"/>
        </w:rPr>
        <w:fldChar w:fldCharType="end"/>
      </w:r>
      <w:r>
        <w:rPr>
          <w:rFonts w:ascii="Arial" w:hAnsi="Arial" w:cs="Arial"/>
          <w:sz w:val="24"/>
          <w:szCs w:val="24"/>
        </w:rPr>
        <w:t xml:space="preserve">. Los modelos de simulación se clasifican en dos grandes grupos: empíricos y mecanicistas. </w:t>
      </w:r>
    </w:p>
    <w:p w14:paraId="56CCC30D" w14:textId="77777777" w:rsidR="000630B1" w:rsidRDefault="000630B1" w:rsidP="000630B1">
      <w:pPr>
        <w:spacing w:after="0" w:line="360" w:lineRule="auto"/>
        <w:jc w:val="both"/>
        <w:rPr>
          <w:rFonts w:ascii="Arial" w:hAnsi="Arial" w:cs="Arial"/>
          <w:color w:val="C00000"/>
          <w:sz w:val="24"/>
          <w:szCs w:val="24"/>
        </w:rPr>
      </w:pPr>
    </w:p>
    <w:p w14:paraId="0863B89F" w14:textId="77777777" w:rsidR="000630B1" w:rsidRDefault="000630B1" w:rsidP="000630B1">
      <w:pPr>
        <w:spacing w:after="0" w:line="360" w:lineRule="auto"/>
        <w:jc w:val="both"/>
        <w:rPr>
          <w:rFonts w:ascii="TimesNewRoman" w:eastAsia="TimesNewRoman" w:hAnsi="TimesNewRoman" w:cs="TimesNewRoman"/>
          <w:sz w:val="24"/>
          <w:szCs w:val="24"/>
        </w:rPr>
      </w:pPr>
      <w:r>
        <w:rPr>
          <w:rFonts w:ascii="Arial" w:hAnsi="Arial" w:cs="Arial"/>
          <w:sz w:val="24"/>
          <w:szCs w:val="24"/>
        </w:rPr>
        <w:t xml:space="preserve">Los primeros son descriptivos, son descripciones directas de datos y se relacionan describen que ocurre sin preguntarse cómo. Se derivan de datos observados sin involucrar procesos fisiológicos y tienen escasa capacidad explicativa, lo que resulta en un acercamiento de caja negra </w:t>
      </w:r>
      <w:r>
        <w:fldChar w:fldCharType="begin"/>
      </w:r>
      <w:r>
        <w:rPr>
          <w:rFonts w:ascii="Arial" w:hAnsi="Arial" w:cs="Arial"/>
          <w:sz w:val="24"/>
          <w:szCs w:val="24"/>
        </w:rPr>
        <w:instrText>ADDIN ZOTERO_ITEM CSL_CITATION {"citationID":"6IQmWPoq","properties":{"formattedCitation":"(Villegas et\\uc0\\u160{}al., 2004)","plainCitation":"(Villegas et al., 2004)","noteIndex":0},"citationItems":[{"id":"UJQ2oGUC/KXW9tYcY","uris":["http://zotero.org/users/local/Ax6kcjol/items/SX67CNVS"],"itemData":{"id":71,"type":"article-journal","title":"MODELOS EMPÍRICOS DEL CRECIMIENTO Y RENDIMIENTO DE TOMATE PODADO A TRES RACIMOS","container-title":"Revista Fitotecnia Mexicana","page":"63-67","volume":"27","issue":"1","source":"Zotero","abstract":"In order to obtain simple empirical models for simulating tomato biomass accumulation and fruit yield in plants pruned to three clusters and grown under green house conditions, different plant densities (1.7, 3.8, 6.8, 15.4 y 66.6 plants/m2) were evaluated. The growth analysis technique was used to measure biomass of leaves, fruits and aerial part (total) during the growing season. The Gauss equation with its parameters replaced by functions considering plant density, produced models that fitted best (R2 0.96) to simulate plant behaviour in the three variables for any density from 1.7 to 15.4 plants/m2.","ISSN":"0187-7380","language":"es","author":[{"family":"Villegas","given":"José Refugio"},{"family":"González","given":"Víctor Arturo"},{"family":"Salazar","given":"José Alfredo Carrillo"}],"issued":{"date-parts":[["2004"]]}}}],"schema":"https://github.com/citation-style-language/schema/raw/master/csl-citation.json"}</w:instrText>
      </w:r>
      <w:r>
        <w:rPr>
          <w:rFonts w:ascii="Arial" w:hAnsi="Arial" w:cs="Arial"/>
          <w:sz w:val="24"/>
          <w:szCs w:val="24"/>
        </w:rPr>
        <w:fldChar w:fldCharType="separate"/>
      </w:r>
      <w:r>
        <w:rPr>
          <w:rFonts w:ascii="Arial" w:hAnsi="Arial" w:cs="Arial"/>
          <w:sz w:val="24"/>
          <w:szCs w:val="24"/>
        </w:rPr>
        <w:t>(Villegas et al., 2004)</w:t>
      </w:r>
      <w:r>
        <w:rPr>
          <w:rFonts w:ascii="Arial" w:hAnsi="Arial" w:cs="Arial"/>
          <w:sz w:val="24"/>
          <w:szCs w:val="24"/>
        </w:rPr>
        <w:fldChar w:fldCharType="end"/>
      </w:r>
      <w:r>
        <w:rPr>
          <w:rFonts w:ascii="Arial" w:hAnsi="Arial" w:cs="Arial"/>
          <w:sz w:val="24"/>
          <w:szCs w:val="24"/>
        </w:rPr>
        <w:t xml:space="preserve">. </w:t>
      </w:r>
      <w:r>
        <w:rPr>
          <w:rFonts w:ascii="Arial" w:eastAsia="TimesNewRoman" w:hAnsi="Arial" w:cs="Arial"/>
          <w:sz w:val="24"/>
          <w:szCs w:val="24"/>
        </w:rPr>
        <w:t>Mediante este acercamiento se identifican términos significantes desde el punto de vista físico del problema y se realiza un proceso estadístico-matemático hasta encontrar relaciones que representen adecuadamente una característica del cultivo con los parámetros escogidos. El inconveniente de este acercamiento es que el modelo ignora la mecánica del funcionamiento biológico y no explica los procesos mediante los cuales la planta responde ante los estímulos externos.</w:t>
      </w:r>
      <w:r>
        <w:rPr>
          <w:rFonts w:ascii="TimesNewRoman" w:eastAsia="TimesNewRoman" w:hAnsi="TimesNewRoman" w:cs="TimesNewRoman"/>
          <w:sz w:val="24"/>
          <w:szCs w:val="24"/>
        </w:rPr>
        <w:t xml:space="preserve"> </w:t>
      </w:r>
    </w:p>
    <w:p w14:paraId="74AE58A4"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modelos empíricos son descripciones directas de datos y proporcionan relaciones observables entre las variables de un sistema o fenómeno. Se derivan de datos observados sin involucrar procesos fisiológicos y tienen escasa capacidad explicativa</w:t>
      </w:r>
      <w:r>
        <w:fldChar w:fldCharType="begin"/>
      </w:r>
      <w:r>
        <w:rPr>
          <w:rFonts w:ascii="Arial" w:hAnsi="Arial" w:cs="Arial"/>
          <w:sz w:val="24"/>
          <w:szCs w:val="24"/>
        </w:rPr>
        <w:instrText>ADDIN ZOTERO_ITEM CSL_CITATION {"citationID":"3QAE2rUU","properties":{"formattedCitation":"(I.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Estos modelos son un poderoso medio para describir y resumir datos.</w:t>
      </w:r>
    </w:p>
    <w:p w14:paraId="5F8B8436" w14:textId="77777777" w:rsidR="000630B1" w:rsidRDefault="000630B1" w:rsidP="000630B1">
      <w:pPr>
        <w:spacing w:after="0" w:line="360" w:lineRule="auto"/>
        <w:jc w:val="both"/>
        <w:rPr>
          <w:rFonts w:ascii="Arial" w:hAnsi="Arial" w:cs="Arial"/>
          <w:sz w:val="24"/>
          <w:szCs w:val="24"/>
        </w:rPr>
      </w:pPr>
    </w:p>
    <w:p w14:paraId="065BF68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Un modelo mecanicista es el conjunto o sistema de ecuaciones</w:t>
      </w:r>
    </w:p>
    <w:p w14:paraId="110DEDB1"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diferenciales ordinarias no-lineales, las cuales describen los modelos matemáticos de las variables de estado del sistema, es más complejo e intenta describir los posibles mecanismos de los procesos internos y sus interacciones en la vía más fundamental. Este tipo de modelos suministran información de los procesos a través de los cuales son gobernados los fenómenos bajo estudio</w:t>
      </w:r>
      <w:r>
        <w:fldChar w:fldCharType="begin"/>
      </w:r>
      <w:r>
        <w:rPr>
          <w:rFonts w:ascii="Arial" w:hAnsi="Arial" w:cs="Arial"/>
          <w:sz w:val="24"/>
          <w:szCs w:val="24"/>
        </w:rPr>
        <w:instrText>ADDIN ZOTERO_ITEM CSL_CITATION {"citationID":"TOPaMbxj","properties":{"formattedCitation":"(I. L. L\\uc0\\u243{}pez-Cruz et\\uc0\\u160{}al., 2005)","plainCitation":"(I. L. López-Cruz et al., 2005)","noteIndex":0},"citationItems":[{"id":546,"uris":["http://zotero.org/users/local/1mxXpOpa/items/HJHPPETH"],"itemData":{"id":546,"type":"article-magazine","container-title":"REVISTA CHAPINGO SERIE HORTICULTURA,","ISSN":"1027-152X","issue":"2","page":"257-267","title":"Modelos matemáticos de hortalizas en invernadero: trascendiendo la contemplación de la dinámica de cultivos","volume":"11","author":[{"literal":"I. L. López-Cruz"},{"literal":"A Ramírez-Arias"},{"family":"Rojano-Aguilar","given":"A."}],"issued":{"date-parts":[["2005",12]]}}}],"schema":"https://github.com/citation-style-language/schema/raw/master/csl-citation.json"}</w:instrText>
      </w:r>
      <w:r>
        <w:rPr>
          <w:rFonts w:ascii="Arial" w:hAnsi="Arial" w:cs="Arial"/>
          <w:sz w:val="24"/>
          <w:szCs w:val="24"/>
        </w:rPr>
        <w:fldChar w:fldCharType="separate"/>
      </w:r>
      <w:r>
        <w:rPr>
          <w:rFonts w:ascii="Arial" w:hAnsi="Arial" w:cs="Arial"/>
          <w:sz w:val="24"/>
          <w:szCs w:val="24"/>
        </w:rPr>
        <w:t>(I. L. López-Cruz et al., 2005)</w:t>
      </w:r>
      <w:r>
        <w:rPr>
          <w:rFonts w:ascii="Arial" w:hAnsi="Arial" w:cs="Arial"/>
          <w:sz w:val="24"/>
          <w:szCs w:val="24"/>
        </w:rPr>
        <w:fldChar w:fldCharType="end"/>
      </w:r>
      <w:r>
        <w:rPr>
          <w:rFonts w:ascii="Arial" w:hAnsi="Arial" w:cs="Arial"/>
          <w:sz w:val="24"/>
          <w:szCs w:val="24"/>
        </w:rPr>
        <w:t xml:space="preserve">. </w:t>
      </w:r>
    </w:p>
    <w:p w14:paraId="5E6465C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los modelos mecanísticos, los procesos que ocurren en el sistema forman la base del modelo. El crecimiento del cultivo expresado en este sentido entonces está construido sobre la base del conocimiento de los procesos fisiológicos, físicos y químicos inherentes y el efecto de los factores ambientales sobre estos. La mayor ventaja de los modelos mecanísticos es que ellos pueden ser transferidos a otro </w:t>
      </w:r>
      <w:r>
        <w:rPr>
          <w:rFonts w:ascii="Arial" w:hAnsi="Arial" w:cs="Arial"/>
          <w:sz w:val="24"/>
          <w:szCs w:val="24"/>
        </w:rPr>
        <w:lastRenderedPageBreak/>
        <w:t xml:space="preserve">conjunto de condiciones y, por lo tanto, ofrecen más posibilidades para manipular y mejorar el sistema, lo que lo hace ideal para construir diversos escenarios </w:t>
      </w:r>
      <w:r>
        <w:fldChar w:fldCharType="begin"/>
      </w:r>
      <w:r>
        <w:rPr>
          <w:rFonts w:ascii="Arial" w:hAnsi="Arial" w:cs="Arial"/>
          <w:sz w:val="24"/>
          <w:szCs w:val="24"/>
        </w:rPr>
        <w:instrText>ADDIN ZOTERO_ITEM CSL_CITATION {"citationID":"6ha519ai","properties":{"formattedCitation":"(De Wit, 1986)","plainCitation":"(De Wit, 1986)","dontUpdate":true,"noteIndex":0},"citationItems":[{"id":"UJQ2oGUC/PVfYTBbi","uris":["http://zotero.org/users/local/Ax6kcjol/items/657CAXUC"],"itemData":{"id":191,"type":"article-journal","title":"Modelling Agricultural Production","container-title":"Acta Horticulturae","page":"59-70","volume":"184","author":[{"family":"De Wit","given":"C.T."}],"issued":{"date-parts":[["1986"]]}}}],"schema":"https://github.com/citation-style-language/schema/raw/master/csl-citation.json"}</w:instrText>
      </w:r>
      <w:r>
        <w:rPr>
          <w:rFonts w:ascii="Arial" w:hAnsi="Arial" w:cs="Arial"/>
          <w:sz w:val="24"/>
          <w:szCs w:val="24"/>
        </w:rPr>
        <w:fldChar w:fldCharType="separate"/>
      </w:r>
      <w:r>
        <w:rPr>
          <w:rFonts w:ascii="Arial" w:hAnsi="Arial" w:cs="Arial"/>
          <w:sz w:val="24"/>
          <w:szCs w:val="24"/>
        </w:rPr>
        <w:t>(De Wit, 1986</w:t>
      </w:r>
      <w:r>
        <w:rPr>
          <w:rFonts w:ascii="Arial" w:hAnsi="Arial" w:cs="Arial"/>
          <w:sz w:val="24"/>
          <w:szCs w:val="24"/>
        </w:rPr>
        <w:fldChar w:fldCharType="end"/>
      </w:r>
      <w:r>
        <w:rPr>
          <w:rFonts w:ascii="Arial" w:hAnsi="Arial" w:cs="Arial"/>
          <w:sz w:val="24"/>
          <w:szCs w:val="24"/>
        </w:rPr>
        <w:t xml:space="preserve">; </w:t>
      </w:r>
      <w:r>
        <w:fldChar w:fldCharType="begin"/>
      </w:r>
      <w:r>
        <w:rPr>
          <w:rFonts w:ascii="Arial" w:hAnsi="Arial" w:cs="Arial"/>
          <w:sz w:val="24"/>
          <w:szCs w:val="24"/>
        </w:rPr>
        <w:instrText>ADDIN ZOTERO_ITEM CSL_CITATION {"citationID":"YJB5XrGx","properties":{"formattedCitation":"(Link, 2005)","plainCitation":"(Link, 2005)","dontUpdate":true,"noteIndex":0},"citationItems":[{"id":"UJQ2oGUC/m2OHlK8P","uris":["http://zotero.org/users/local/Ax6kcjol/items/4RX5BKW4"],"itemData":{"id":192,"type":"thesis","title":"Investigation and modeling of the optimization potential of adapted nitrogen fertilization strategies in corn cropping system with regard to minimize nitrogen losses","publisher":"Institut fur  Pflanzenbau und Grunland. Universitat  Hohenheim","number-of-pages":"174","genre":"Tesis Doctoral","author":[{"family":"Link","given":"E.J."}],"issued":{"date-parts":[["2005"]]}}}],"schema":"https://github.com/citation-style-language/schema/raw/master/csl-citation.json"}</w:instrText>
      </w:r>
      <w:r>
        <w:rPr>
          <w:rFonts w:ascii="Arial" w:hAnsi="Arial" w:cs="Arial"/>
          <w:sz w:val="24"/>
          <w:szCs w:val="24"/>
        </w:rPr>
        <w:fldChar w:fldCharType="separate"/>
      </w:r>
      <w:r>
        <w:rPr>
          <w:rFonts w:ascii="Arial" w:hAnsi="Arial" w:cs="Arial"/>
          <w:sz w:val="24"/>
          <w:szCs w:val="24"/>
        </w:rPr>
        <w:t>Link, 2005)</w:t>
      </w:r>
      <w:r>
        <w:rPr>
          <w:rFonts w:ascii="Arial" w:hAnsi="Arial" w:cs="Arial"/>
          <w:sz w:val="24"/>
          <w:szCs w:val="24"/>
        </w:rPr>
        <w:fldChar w:fldCharType="end"/>
      </w:r>
      <w:r>
        <w:rPr>
          <w:rFonts w:ascii="Arial" w:hAnsi="Arial" w:cs="Arial"/>
          <w:sz w:val="24"/>
          <w:szCs w:val="24"/>
        </w:rPr>
        <w:t xml:space="preserve">. </w:t>
      </w:r>
    </w:p>
    <w:p w14:paraId="4CA28D1E" w14:textId="77777777" w:rsidR="000630B1" w:rsidRDefault="000630B1" w:rsidP="000630B1">
      <w:pPr>
        <w:spacing w:after="0" w:line="360" w:lineRule="auto"/>
        <w:jc w:val="both"/>
        <w:rPr>
          <w:rFonts w:ascii="Arial" w:hAnsi="Arial" w:cs="Arial"/>
          <w:sz w:val="24"/>
          <w:szCs w:val="24"/>
        </w:rPr>
      </w:pPr>
    </w:p>
    <w:p w14:paraId="130C865A"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modelos de cultivos necesitan ser calibrados y validados para poder realizar simulaciones de la respuesta del cultivo a determinados factores.</w:t>
      </w:r>
    </w:p>
    <w:p w14:paraId="628AE4FD" w14:textId="77777777" w:rsidR="000630B1" w:rsidRDefault="000630B1" w:rsidP="000630B1">
      <w:pPr>
        <w:spacing w:after="0" w:line="360" w:lineRule="auto"/>
        <w:jc w:val="both"/>
        <w:rPr>
          <w:rFonts w:ascii="Arial" w:hAnsi="Arial" w:cs="Arial"/>
          <w:color w:val="C00000"/>
          <w:sz w:val="24"/>
          <w:szCs w:val="24"/>
        </w:rPr>
      </w:pPr>
    </w:p>
    <w:p w14:paraId="057FA3E4"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Calibración</w:t>
      </w:r>
    </w:p>
    <w:p w14:paraId="0CBF1D79" w14:textId="77777777" w:rsidR="000630B1" w:rsidRDefault="000630B1" w:rsidP="000630B1">
      <w:pPr>
        <w:spacing w:after="0" w:line="360" w:lineRule="auto"/>
        <w:jc w:val="both"/>
        <w:rPr>
          <w:rStyle w:val="tlid-translation"/>
        </w:rPr>
      </w:pPr>
      <w:r>
        <w:rPr>
          <w:rStyle w:val="tlid-translation"/>
          <w:rFonts w:ascii="Arial" w:hAnsi="Arial" w:cs="Arial"/>
          <w:sz w:val="24"/>
          <w:szCs w:val="24"/>
        </w:rPr>
        <w:t xml:space="preserve">Todo modelo para su uso debe ser calibrado para ajustar los parámetros con el objetivo de realizar simulaciones más precisas con valores similares a los observados  </w:t>
      </w:r>
      <w:r>
        <w:fldChar w:fldCharType="begin"/>
      </w:r>
      <w:r>
        <w:rPr>
          <w:rStyle w:val="tlid-translation"/>
          <w:rFonts w:ascii="Arial" w:hAnsi="Arial" w:cs="Arial"/>
          <w:sz w:val="24"/>
          <w:szCs w:val="24"/>
        </w:rPr>
        <w:instrText>ADDIN ZOTERO_ITEM CSL_CITATION {"citationID":"9xywRA0H","properties":{"formattedCitation":"(Trombetta et\\uc0\\u160{}al., 2016)","plainCitation":"(Trombetta et al., 2016)","noteIndex":0},"citationItems":[{"id":53,"uris":["http://zotero.org/users/local/1mxXpOpa/items/HGHWBUFF"],"itemData":{"id":53,"type":"article-journal","abstract":"In semi-arid environments vegetation density and distribution is of considerable importance for the hydrological water balance. A number of hydrological models exploit Leaf Area Index (LAI) maps retrieved by remote sensing as a measure of the vegetation cover, in order to enhance the evaluation of evapotranspiration and interception losses.","container-title":"Agricultural Water Management","DOI":"10.1016/j.agwat.2015.10.013","ISSN":"03783774","journalAbbreviation":"Agricultural Water Management","language":"en","page":"304-316","source":"DOI.org (Crossref)","title":"Calibration of the AquaCrop model for winter wheat using MODIS LAI images","volume":"164","author":[{"family":"Trombetta","given":"Andrea"},{"family":"Iacobellis","given":"Vito"},{"family":"Tarantino","given":"Eufemia"},{"family":"Gentile","given":"Francesco"}],"issued":{"date-parts":[["2016",1]]}}}],"schema":"https://github.com/citation-style-language/schema/raw/master/csl-citation.json"}</w:instrText>
      </w:r>
      <w:r>
        <w:rPr>
          <w:rStyle w:val="tlid-translation"/>
          <w:rFonts w:ascii="Arial" w:hAnsi="Arial" w:cs="Arial"/>
          <w:sz w:val="24"/>
          <w:szCs w:val="24"/>
        </w:rPr>
        <w:fldChar w:fldCharType="separate"/>
      </w:r>
      <w:r>
        <w:rPr>
          <w:rFonts w:ascii="Arial" w:hAnsi="Arial" w:cs="Arial"/>
          <w:sz w:val="24"/>
          <w:szCs w:val="24"/>
        </w:rPr>
        <w:t>(Trombetta et al., 2016)</w:t>
      </w:r>
      <w:r>
        <w:rPr>
          <w:rStyle w:val="tlid-translation"/>
          <w:rFonts w:ascii="Arial" w:hAnsi="Arial" w:cs="Arial"/>
          <w:sz w:val="24"/>
          <w:szCs w:val="24"/>
        </w:rPr>
        <w:fldChar w:fldCharType="end"/>
      </w:r>
      <w:r>
        <w:rPr>
          <w:rStyle w:val="tlid-translation"/>
          <w:rFonts w:ascii="Arial" w:hAnsi="Arial" w:cs="Arial"/>
          <w:sz w:val="24"/>
          <w:szCs w:val="24"/>
        </w:rPr>
        <w:t>.</w:t>
      </w:r>
    </w:p>
    <w:p w14:paraId="1ADA74EA" w14:textId="77777777" w:rsidR="000630B1" w:rsidRDefault="000630B1" w:rsidP="000630B1">
      <w:pPr>
        <w:spacing w:after="0" w:line="360" w:lineRule="auto"/>
        <w:jc w:val="both"/>
        <w:rPr>
          <w:rStyle w:val="tlid-translation"/>
          <w:rFonts w:ascii="Arial" w:hAnsi="Arial" w:cs="Arial"/>
          <w:sz w:val="24"/>
          <w:szCs w:val="24"/>
        </w:rPr>
      </w:pPr>
    </w:p>
    <w:p w14:paraId="49C3F333" w14:textId="77777777" w:rsidR="000630B1" w:rsidRDefault="000630B1" w:rsidP="000630B1">
      <w:pPr>
        <w:spacing w:after="0" w:line="360" w:lineRule="auto"/>
        <w:jc w:val="both"/>
        <w:rPr>
          <w:rFonts w:eastAsia="Times New Roman"/>
          <w:color w:val="C00000"/>
          <w:lang w:eastAsia="es-ES"/>
        </w:rPr>
      </w:pPr>
      <w:r>
        <w:rPr>
          <w:rStyle w:val="tlid-translation"/>
          <w:rFonts w:ascii="Arial" w:hAnsi="Arial" w:cs="Arial"/>
          <w:sz w:val="24"/>
          <w:szCs w:val="24"/>
        </w:rPr>
        <w:t xml:space="preserve">El propósito de calibrar un modelo es obtener resultados de simulaciones precisas y de alta calidad que muestren un buen acuerdo con los datos medidos. Para esta tarea se utilizan varios estadígrafos, como </w:t>
      </w:r>
      <w:r>
        <w:rPr>
          <w:rFonts w:ascii="Arial" w:hAnsi="Arial" w:cs="Arial"/>
          <w:sz w:val="24"/>
          <w:szCs w:val="24"/>
        </w:rPr>
        <w:t xml:space="preserve">la raíz cuadrada del cuadrado medio del error (RMSE), </w:t>
      </w:r>
      <w:r>
        <w:rPr>
          <w:rFonts w:ascii="Arial" w:eastAsiaTheme="minorEastAsia" w:hAnsi="Arial" w:cs="Arial"/>
          <w:sz w:val="24"/>
          <w:szCs w:val="24"/>
        </w:rPr>
        <w:t>el RMSE normalizado (RMSEn) y el índice de Willmott (d).</w:t>
      </w:r>
      <w:r>
        <w:rPr>
          <w:rStyle w:val="tlid-translation"/>
          <w:rFonts w:ascii="Arial" w:hAnsi="Arial" w:cs="Arial"/>
          <w:sz w:val="24"/>
          <w:szCs w:val="24"/>
        </w:rPr>
        <w:t xml:space="preserve"> Un modelo de simulación puede ser calibrado hasta que cumpla con todos estos criterios.</w:t>
      </w:r>
    </w:p>
    <w:p w14:paraId="7D55BC39" w14:textId="77777777" w:rsidR="000630B1" w:rsidRDefault="000630B1" w:rsidP="000630B1">
      <w:pPr>
        <w:spacing w:after="0" w:line="360" w:lineRule="auto"/>
        <w:rPr>
          <w:rFonts w:ascii="Arial" w:hAnsi="Arial" w:cs="Arial"/>
          <w:color w:val="C00000"/>
          <w:sz w:val="24"/>
          <w:szCs w:val="24"/>
        </w:rPr>
      </w:pPr>
    </w:p>
    <w:p w14:paraId="5D22C899"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Validación</w:t>
      </w:r>
    </w:p>
    <w:p w14:paraId="1A767305"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La validación es una de las principales etapas de un estudio de simulación </w:t>
      </w:r>
      <w:r>
        <w:fldChar w:fldCharType="begin"/>
      </w:r>
      <w:r>
        <w:rPr>
          <w:rFonts w:ascii="Arial" w:hAnsi="Arial" w:cs="Arial"/>
          <w:sz w:val="24"/>
          <w:szCs w:val="24"/>
        </w:rPr>
        <w:instrText>ADDIN ZOTERO_ITEM CSL_CITATION {"citationID":"J048y0P8","properties":{"formattedCitation":"(Ahmed et\\uc0\\u160{}al., 2016)","plainCitation":"(Ahmed et al., 2016)","noteIndex":0},"citationItems":[{"id":39,"uris":["http://zotero.org/users/local/1mxXpOpa/items/4B5HAAGL"],"itemData":{"id":39,"type":"article-journal","abstract":"Crop growth in process based crop models is controlled by different parameters. Model calibration is necessary for application to new cultivars and environment. We applied a manual method to calibrate APSIM-Wheat and CERES-Wheat for the ﬂowering day, maturity day, leaf area index, biomass and grain yield of ﬁve spring wheat cultivars under rainfed conditions in Pakistan. Five wheat cultivars of diverse origin namely Tatara, NARC-2009, Sehar-2006, SKD-1 and F-Sarhad were planted on 19th November, at Islamabad during the years 2007–2011. The experiments were laid out in Randomized Complete Block Design (RCBD) replicated four times with individual plot size of 5 m Â 3 m. APSIM-Wheat and CERESWheat were calibrated for all ﬁve wheat cultivars using genetic coefﬁcients estimated based upon measured data during 2008–09 cropping year and validated with independent data sets (experimental data of 2009–10 and 2010–11 cropping seasons) which were not used for models calibration. Both models were able to accurately simulate anthesis and maturity days, maximum leaf area index, biomass and grain yield, with normalized root mean square error (RMSE) less than 10%, D-index greater than 0.80 and model efﬁciency above 80% in most cases. The temporal changes in maximum LAI accumulation for all cultivars indicate that both measured and simulated values match each other. Evaluation with the measured data showed that performance of both models was realistic as indicated by the accurate simulation of crop phenology, LAI, biomass and grain yield against measured data. Climate variability results depicted that an increase in temperature from 0 °C to 5 °C resulted in a 60% average decline in the yield of wheat cultivars while increased CO2 increased yield similar to the combined effect of increased temperature and CO2. We concluded that to bring accuracy in the simulation outcomes of models, new cultivars should be calibrated to minimize uncertainty to allow judicious recommendations in response to climate variability.","container-title":"Computers and Electronics in Agriculture","DOI":"10.1016/j.compag.2016.03.015","ISSN":"01681699","journalAbbreviation":"Computers and Electronics in Agriculture","language":"en","page":"384-401","source":"DOI.org (Crossref)","title":"Calibration and validation of APSIM-Wheat and CERES-Wheat for spring wheat under rainfed conditions: Models evaluation and application","title-short":"Calibration and validation of APSIM-Wheat and CERES-Wheat for spring wheat under rainfed conditions","volume":"123","author":[{"family":"Ahmed","given":"Mukhtar"},{"family":"Akram","given":"Mustazhar Nasib"},{"family":"Asim","given":"Muhammad"},{"family":"Aslam","given":"Muhammad"},{"family":"Hassan","given":"Fayyaz-ul"},{"family":"Higgins","given":"Stewart"},{"family":"Stöckle","given":"Claudio O."},{"family":"Hoogenboom","given":"Gerrit"}],"issued":{"date-parts":[["2016",4]]}}}],"schema":"https://github.com/citation-style-language/schema/raw/master/csl-citation.json"}</w:instrText>
      </w:r>
      <w:r>
        <w:rPr>
          <w:rFonts w:ascii="Arial" w:hAnsi="Arial" w:cs="Arial"/>
          <w:sz w:val="24"/>
          <w:szCs w:val="24"/>
        </w:rPr>
        <w:fldChar w:fldCharType="separate"/>
      </w:r>
      <w:r>
        <w:rPr>
          <w:rFonts w:ascii="Arial" w:hAnsi="Arial" w:cs="Arial"/>
          <w:sz w:val="24"/>
          <w:szCs w:val="24"/>
        </w:rPr>
        <w:t>(Ahmed et al., 2016)</w:t>
      </w:r>
      <w:r>
        <w:rPr>
          <w:rFonts w:ascii="Arial" w:hAnsi="Arial" w:cs="Arial"/>
          <w:sz w:val="24"/>
          <w:szCs w:val="24"/>
        </w:rPr>
        <w:fldChar w:fldCharType="end"/>
      </w:r>
      <w:r>
        <w:rPr>
          <w:rFonts w:ascii="Arial" w:hAnsi="Arial" w:cs="Arial"/>
          <w:sz w:val="24"/>
          <w:szCs w:val="24"/>
        </w:rPr>
        <w:t>, ya que permite determinar deficiencias en la calibración del modelo.</w:t>
      </w:r>
    </w:p>
    <w:p w14:paraId="4D274DB3" w14:textId="77777777" w:rsidR="000630B1" w:rsidRDefault="000630B1" w:rsidP="000630B1">
      <w:pPr>
        <w:spacing w:after="0" w:line="360" w:lineRule="auto"/>
        <w:rPr>
          <w:rFonts w:ascii="Times New Roman PSMT" w:hAnsi="Times New Roman PSMT" w:cs="Times New Roman PSMT"/>
        </w:rPr>
      </w:pPr>
    </w:p>
    <w:p w14:paraId="77DC9F6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Una forma muy común de validar los modelos es observando la exactitud con que este predice datos históricos utilizando los estadígrafos descritos anteriormente. </w:t>
      </w:r>
    </w:p>
    <w:p w14:paraId="65DCD271" w14:textId="77777777" w:rsidR="000630B1" w:rsidRDefault="000630B1" w:rsidP="000630B1">
      <w:pPr>
        <w:spacing w:after="0" w:line="360" w:lineRule="auto"/>
        <w:jc w:val="both"/>
        <w:rPr>
          <w:rFonts w:ascii="Arial" w:hAnsi="Arial" w:cs="Arial"/>
          <w:color w:val="C00000"/>
          <w:sz w:val="24"/>
          <w:szCs w:val="24"/>
        </w:rPr>
      </w:pPr>
    </w:p>
    <w:p w14:paraId="63821B94" w14:textId="77777777" w:rsidR="000630B1" w:rsidRDefault="000630B1" w:rsidP="000630B1">
      <w:pPr>
        <w:spacing w:after="0" w:line="360" w:lineRule="auto"/>
        <w:jc w:val="both"/>
        <w:rPr>
          <w:rFonts w:ascii="Arial" w:hAnsi="Arial" w:cs="Arial"/>
          <w:b/>
          <w:sz w:val="24"/>
          <w:szCs w:val="24"/>
        </w:rPr>
      </w:pPr>
      <w:r>
        <w:rPr>
          <w:rFonts w:ascii="Arial" w:hAnsi="Arial" w:cs="Arial"/>
          <w:b/>
          <w:sz w:val="24"/>
          <w:szCs w:val="24"/>
        </w:rPr>
        <w:t>Simulación</w:t>
      </w:r>
    </w:p>
    <w:p w14:paraId="1168F780"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Torres 2002, define  la simulación como una técnica numérica para la realización de experimentos con determinados tipos de modelos matemáticos, los cuales describen el comportamiento de un sistema complejo dinámico, mediante el empleo de la computación </w:t>
      </w:r>
      <w:r>
        <w:fldChar w:fldCharType="begin"/>
      </w:r>
      <w:r>
        <w:rPr>
          <w:rFonts w:ascii="Arial" w:hAnsi="Arial" w:cs="Arial"/>
          <w:sz w:val="24"/>
          <w:szCs w:val="24"/>
        </w:rPr>
        <w:instrText>ADDIN ZOTERO_ITEM CSL_CITATION {"citationID":"R8BrY2gV","properties":{"formattedCitation":"(Torres et\\uc0\\u160{}al., 2002)","plainCitation":"(Torres et al., 2002)","noteIndex":0},"citationItems":[{"id":"UJQ2oGUC/4nxqsAQ2","uris":["http://zotero.org/users/local/Ax6kcjol/items/ZAB7PSST"],"itemData":{"id":81,"type":"article-journal","title":"SIMULACIÓN DEL BALANCE ANUAL EN SISTEMAS DE PASTOREO BOVINO","container-title":"Revista Ingeniería Industrial","page":"27-32","volume":"1","issue":"1","ISSN":"0717-9103","author":[{"family":"Torres","given":"Verena"},{"family":"Ortíz","given":"J"},{"family":"Crespo","given":"G"},{"family":"Rodríguez","given":"Idalmis"},{"family":"Medero","given":"R"}],"issued":{"date-parts":[["2002"]]}}}],"schema":"https://github.com/citation-style-language/schema/raw/master/csl-citation.json"}</w:instrText>
      </w:r>
      <w:r>
        <w:rPr>
          <w:rFonts w:ascii="Arial" w:hAnsi="Arial" w:cs="Arial"/>
          <w:sz w:val="24"/>
          <w:szCs w:val="24"/>
        </w:rPr>
        <w:fldChar w:fldCharType="separate"/>
      </w:r>
      <w:r>
        <w:rPr>
          <w:rFonts w:ascii="Arial" w:hAnsi="Arial" w:cs="Arial"/>
          <w:sz w:val="24"/>
          <w:szCs w:val="24"/>
        </w:rPr>
        <w:t>(Torres et al., 2002)</w:t>
      </w:r>
      <w:r>
        <w:rPr>
          <w:rFonts w:ascii="Arial" w:hAnsi="Arial" w:cs="Arial"/>
          <w:sz w:val="24"/>
          <w:szCs w:val="24"/>
        </w:rPr>
        <w:fldChar w:fldCharType="end"/>
      </w:r>
      <w:r>
        <w:rPr>
          <w:rFonts w:ascii="Arial" w:hAnsi="Arial" w:cs="Arial"/>
          <w:sz w:val="24"/>
          <w:szCs w:val="24"/>
        </w:rPr>
        <w:t xml:space="preserve">. </w:t>
      </w:r>
    </w:p>
    <w:p w14:paraId="02EBB136" w14:textId="77777777" w:rsidR="000630B1" w:rsidRDefault="000630B1" w:rsidP="000630B1">
      <w:pPr>
        <w:spacing w:after="0" w:line="360" w:lineRule="auto"/>
        <w:jc w:val="both"/>
        <w:rPr>
          <w:rFonts w:ascii="Arial" w:hAnsi="Arial" w:cs="Arial"/>
          <w:color w:val="C00000"/>
          <w:sz w:val="24"/>
          <w:szCs w:val="24"/>
        </w:rPr>
      </w:pPr>
    </w:p>
    <w:p w14:paraId="26FA1193"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 xml:space="preserve">La simulación una técnica utilizada para imitar el funcionamiento de sistemas o procesos reales mediante programas de ordenador. Para estudiar el sistema suele ser necesario hacer algunas suposiciones sobre su forma de operar. </w:t>
      </w:r>
    </w:p>
    <w:p w14:paraId="62810DA4" w14:textId="77777777" w:rsidR="000630B1" w:rsidRDefault="000630B1" w:rsidP="000630B1">
      <w:pPr>
        <w:spacing w:after="0" w:line="360" w:lineRule="auto"/>
        <w:jc w:val="both"/>
        <w:rPr>
          <w:rFonts w:ascii="Arial" w:hAnsi="Arial" w:cs="Arial"/>
          <w:color w:val="C00000"/>
          <w:sz w:val="24"/>
          <w:szCs w:val="24"/>
        </w:rPr>
      </w:pPr>
    </w:p>
    <w:p w14:paraId="0BF54A3D"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La simulación permite reducir tiempos, esfuerzos y recursos necesarios en la gestión agrícola. Los modelos de simulación de cultivos reproducen su comportamiento y permiten seleccionar distintos ambientes de simulación y analizar la respuesta ante estas variaciones dando respuesta a la pregunta que pasaría si cambiamos fertilización, riego, densidad de siembra, ubicación, fecha de siembra, entre otras.</w:t>
      </w:r>
    </w:p>
    <w:p w14:paraId="5C2DAAB9" w14:textId="77777777" w:rsidR="000630B1" w:rsidRDefault="000630B1" w:rsidP="000630B1">
      <w:pPr>
        <w:spacing w:after="0" w:line="360" w:lineRule="auto"/>
        <w:jc w:val="both"/>
        <w:rPr>
          <w:rFonts w:ascii="Arial" w:hAnsi="Arial" w:cs="Arial"/>
          <w:color w:val="C00000"/>
          <w:sz w:val="24"/>
          <w:szCs w:val="24"/>
        </w:rPr>
      </w:pPr>
    </w:p>
    <w:p w14:paraId="5EFB6D9F"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Por otra parte, los modelos de simulación de cultivos son herramientas que utilizan información obtenida a través de experiencias anteriores y permiten proyectar los resultados físicos y económicos, teniendo en cuenta todos los factores que interactúan en un determinado ambiente. </w:t>
      </w:r>
    </w:p>
    <w:p w14:paraId="6EA9549C" w14:textId="77777777" w:rsidR="000630B1" w:rsidRDefault="000630B1" w:rsidP="000630B1">
      <w:pPr>
        <w:spacing w:after="0" w:line="360" w:lineRule="auto"/>
        <w:jc w:val="both"/>
        <w:rPr>
          <w:color w:val="C00000"/>
        </w:rPr>
      </w:pPr>
    </w:p>
    <w:p w14:paraId="711FDB6E" w14:textId="77777777" w:rsidR="000630B1" w:rsidRDefault="000630B1" w:rsidP="000630B1">
      <w:pPr>
        <w:spacing w:after="0" w:line="360" w:lineRule="auto"/>
        <w:jc w:val="both"/>
        <w:rPr>
          <w:rFonts w:ascii="Arial" w:eastAsia="TimesNewRoman" w:hAnsi="Arial" w:cs="Arial"/>
          <w:sz w:val="24"/>
          <w:szCs w:val="24"/>
        </w:rPr>
      </w:pPr>
      <w:r>
        <w:rPr>
          <w:rFonts w:ascii="Arial" w:eastAsia="TimesNewRoman" w:hAnsi="Arial" w:cs="Arial"/>
          <w:sz w:val="24"/>
          <w:szCs w:val="24"/>
        </w:rPr>
        <w:t xml:space="preserve">En la literatura existe un gran número de modelos de cultivo reportados; en la actualidad no existe un modelo de cultivo universal que se pueda adaptar a los diferentes sistemas, objetivos, procesos y condiciones ambientales. Existen modelos de simulación de cultivos específicos para un cultivo, por ejemplo, los modelos CERES-Wheat </w:t>
      </w:r>
      <w:r>
        <w:fldChar w:fldCharType="begin"/>
      </w:r>
      <w:r>
        <w:rPr>
          <w:rFonts w:ascii="Arial" w:eastAsia="TimesNewRoman" w:hAnsi="Arial" w:cs="Arial"/>
          <w:sz w:val="24"/>
          <w:szCs w:val="24"/>
        </w:rPr>
        <w:instrText>ADDIN ZOTERO_ITEM CSL_CITATION {"citationID":"ChqZnWCQ","properties":{"formattedCitation":"(Hodges and Ritchie, 1991)","plainCitation":"(Hodges and Ritchie, 1991)","dontUpdate":true,"noteIndex":0},"citationItems":[{"id":"UJQ2oGUC/ptCjglzq","uris":["http://zotero.org/users/local/4iXk4cSJ/items/FPSHWFW7"],"itemData":{"id":200,"type":"article-journal","title":"The CERES-Wheat phenology model","container-title":"Predicting crop phenology","page":"133-141","author":[{"family":"Hodges","given":"Tom"},{"family":"Ritchie","given":"J. T."}],"issued":{"date-parts":[["1991"]]}}}],"schema":"https://github.com/citation-style-language/schema/raw/master/csl-citation.json"}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(Hodges y Ritchie, 1991)</w:t>
      </w:r>
      <w:r>
        <w:rPr>
          <w:rFonts w:ascii="Arial" w:eastAsia="TimesNewRoman" w:hAnsi="Arial" w:cs="Arial"/>
          <w:sz w:val="24"/>
          <w:szCs w:val="24"/>
        </w:rPr>
        <w:fldChar w:fldCharType="end"/>
      </w:r>
      <w:r>
        <w:rPr>
          <w:rFonts w:ascii="Arial" w:eastAsia="TimesNewRoman" w:hAnsi="Arial" w:cs="Arial"/>
          <w:sz w:val="24"/>
          <w:szCs w:val="24"/>
        </w:rPr>
        <w:t xml:space="preserve"> y CERES-Maize </w:t>
      </w:r>
      <w:r>
        <w:fldChar w:fldCharType="begin"/>
      </w:r>
      <w:r>
        <w:rPr>
          <w:rFonts w:ascii="Arial" w:eastAsia="TimesNewRoman" w:hAnsi="Arial" w:cs="Arial"/>
          <w:sz w:val="24"/>
          <w:szCs w:val="24"/>
        </w:rPr>
        <w:instrText>ADDIN ZOTERO_ITEM CSL_CITATION {"citationID":"LV2SkcZR","properties":{"formattedCitation":"(Ritchie et\\uc0\\u160{}al., 1989)","plainCitation":"(Ritchie et al., 1989)","noteIndex":0},"citationItems":[{"id":"UJQ2oGUC/7w0LKo7A","uris":["http://zotero.org/users/local/4iXk4cSJ/items/UUB64AH8"],"itemData":{"id":199,"type":"article-journal","title":"A user’s guide to CERES-Maize V2. 10","container-title":"International Fertilizer Development Center, Muscle Shoals, AL","author":[{"family":"Ritchie","given":"J. T."},{"family":"Singh","given":"U."},{"family":"Godwin","given":"D."},{"family":"Hunt","given":"L."}],"issued":{"date-parts":[["1989"]]}}}],"schema":"https://github.com/citation-style-language/schema/raw/master/csl-citation.json"}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(Ritchie et al., 1989)</w:t>
      </w:r>
      <w:r>
        <w:rPr>
          <w:rFonts w:ascii="Arial" w:eastAsia="TimesNewRoman" w:hAnsi="Arial" w:cs="Arial"/>
          <w:sz w:val="24"/>
          <w:szCs w:val="24"/>
        </w:rPr>
        <w:fldChar w:fldCharType="end"/>
      </w:r>
      <w:r>
        <w:rPr>
          <w:rFonts w:ascii="Arial" w:eastAsia="TimesNewRoman" w:hAnsi="Arial" w:cs="Arial"/>
          <w:sz w:val="24"/>
          <w:szCs w:val="24"/>
        </w:rPr>
        <w:t xml:space="preserve">, para trigo y maíz, respectivamente. Para el caso del arroz existen CERES-Rice </w:t>
      </w:r>
      <w:r>
        <w:fldChar w:fldCharType="begin"/>
      </w:r>
      <w:r>
        <w:rPr>
          <w:rFonts w:ascii="Arial" w:eastAsia="TimesNewRoman" w:hAnsi="Arial" w:cs="Arial"/>
          <w:sz w:val="24"/>
          <w:szCs w:val="24"/>
        </w:rPr>
        <w:instrText>ADDIN ZOTERO_ITEM CSL_CITATION {"citationID":"W9uIaKA6","properties":{"formattedCitation":"(Singh et\\uc0\\u160{}al., 1993)","plainCitation":"(Singh et al., 1993)","noteIndex":0},"citationItems":[{"id":"UJQ2oGUC/SZt06LE3","uris":["http://zotero.org/users/local/4iXk4cSJ/items/A85SXYGC"],"itemData":{"id":198,"type":"book","title":"A User's Guide to CERES Rice, V2. 10","publisher":"International Fertilizer Development Center Muscle Schoals","author":[{"family":"Singh","given":"Upendra"},{"family":"Ritchie","given":"Joe T."},{"family":"Godwin","given":"D. C."}],"issued":{"date-parts":[["1993"]]}}}],"schema":"https://github.com/citation-style-language/schema/raw/master/csl-citation.json"}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(Singh et al., 1993)</w:t>
      </w:r>
      <w:r>
        <w:rPr>
          <w:rFonts w:ascii="Arial" w:eastAsia="TimesNewRoman" w:hAnsi="Arial" w:cs="Arial"/>
          <w:sz w:val="24"/>
          <w:szCs w:val="24"/>
        </w:rPr>
        <w:fldChar w:fldCharType="end"/>
      </w:r>
      <w:r>
        <w:rPr>
          <w:rFonts w:ascii="Arial" w:eastAsia="TimesNewRoman" w:hAnsi="Arial" w:cs="Arial"/>
          <w:sz w:val="24"/>
          <w:szCs w:val="24"/>
        </w:rPr>
        <w:t xml:space="preserve"> y Oryza2000 </w:t>
      </w:r>
      <w:r>
        <w:fldChar w:fldCharType="begin"/>
      </w:r>
      <w:r>
        <w:rPr>
          <w:rFonts w:ascii="Arial" w:eastAsia="TimesNewRoman" w:hAnsi="Arial" w:cs="Arial"/>
          <w:sz w:val="24"/>
          <w:szCs w:val="24"/>
        </w:rPr>
        <w:instrText>ADDIN ZOTERO_ITEM CSL_CITATION {"citationID":"u7Q1d6Xu","properties":{"formattedCitation":"(Bouman, 2001)","plainCitation":"(Bouman, 2001)","noteIndex":0},"citationItems":[{"id":"UJQ2oGUC/mjCWLPps","uris":["http://zotero.org/users/local/4iXk4cSJ/items/A6J6K6HU"],"itemData":{"id":201,"type":"book","title":"ORYZA2000: modeling lowland rice","publisher":"IRRI","ISBN":"971-22-0171-6","author":[{"family":"Bouman","given":"B. A. M."}],"issued":{"date-parts":[["2001"]]}}}],"schema":"https://github.com/citation-style-language/schema/raw/master/csl-citation.json"}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(Bouman, 2001)</w:t>
      </w:r>
      <w:r>
        <w:rPr>
          <w:rFonts w:ascii="Arial" w:eastAsia="TimesNewRoman" w:hAnsi="Arial" w:cs="Arial"/>
          <w:sz w:val="24"/>
          <w:szCs w:val="24"/>
        </w:rPr>
        <w:fldChar w:fldCharType="end"/>
      </w:r>
      <w:r>
        <w:rPr>
          <w:rFonts w:ascii="Arial" w:eastAsia="TimesNewRoman" w:hAnsi="Arial" w:cs="Arial"/>
          <w:sz w:val="24"/>
          <w:szCs w:val="24"/>
        </w:rPr>
        <w:t xml:space="preserve">, entre otros. </w:t>
      </w:r>
    </w:p>
    <w:p w14:paraId="6E32076A" w14:textId="77777777" w:rsidR="000630B1" w:rsidRDefault="000630B1" w:rsidP="000630B1">
      <w:pPr>
        <w:spacing w:after="0" w:line="360" w:lineRule="auto"/>
        <w:jc w:val="both"/>
        <w:rPr>
          <w:rFonts w:ascii="Arial" w:eastAsia="TimesNewRoman" w:hAnsi="Arial" w:cs="Arial"/>
          <w:color w:val="C00000"/>
          <w:sz w:val="24"/>
          <w:szCs w:val="24"/>
        </w:rPr>
      </w:pPr>
    </w:p>
    <w:p w14:paraId="10536279" w14:textId="77777777" w:rsidR="000630B1" w:rsidRDefault="000630B1" w:rsidP="000630B1">
      <w:pPr>
        <w:spacing w:after="0" w:line="360" w:lineRule="auto"/>
        <w:jc w:val="both"/>
        <w:rPr>
          <w:rFonts w:ascii="Arial" w:hAnsi="Arial" w:cs="Arial"/>
          <w:color w:val="C00000"/>
          <w:sz w:val="24"/>
          <w:szCs w:val="24"/>
        </w:rPr>
      </w:pPr>
      <w:r>
        <w:rPr>
          <w:rFonts w:ascii="Arial" w:eastAsia="TimesNewRoman" w:hAnsi="Arial" w:cs="Arial"/>
          <w:sz w:val="24"/>
          <w:szCs w:val="24"/>
        </w:rPr>
        <w:t xml:space="preserve">Por otro lado, pueden ser modelos genéricos. Los genéricos pueden ser aplicados a varias especies mediante la utilización de parámetros específicos para cada cultivo. Algunos de estos modelos son DSSAT </w:t>
      </w:r>
      <w:r>
        <w:fldChar w:fldCharType="begin"/>
      </w:r>
      <w:r>
        <w:rPr>
          <w:rFonts w:ascii="Arial" w:eastAsia="TimesNewRoman" w:hAnsi="Arial" w:cs="Arial"/>
          <w:sz w:val="24"/>
          <w:szCs w:val="24"/>
        </w:rPr>
        <w:instrText>ADDIN ZOTERO_ITEM CSL_CITATION {"citationID":"gys3eIic","properties":{"formattedCitation":"(Jones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eastAsia="TimesNewRoman" w:hAnsi="Arial" w:cs="Arial"/>
          <w:sz w:val="24"/>
          <w:szCs w:val="24"/>
        </w:rPr>
        <w:fldChar w:fldCharType="end"/>
      </w:r>
      <w:r>
        <w:rPr>
          <w:rFonts w:ascii="Arial" w:eastAsia="TimesNewRoman" w:hAnsi="Arial" w:cs="Arial"/>
          <w:sz w:val="24"/>
          <w:szCs w:val="24"/>
        </w:rPr>
        <w:t xml:space="preserve">, EPIC </w:t>
      </w:r>
      <w:r>
        <w:fldChar w:fldCharType="begin"/>
      </w:r>
      <w:r>
        <w:rPr>
          <w:rFonts w:ascii="Arial" w:eastAsia="TimesNewRoman" w:hAnsi="Arial" w:cs="Arial"/>
          <w:sz w:val="24"/>
          <w:szCs w:val="24"/>
        </w:rPr>
        <w:instrText>ADDIN ZOTERO_ITEM CSL_CITATION {"citationID":"SVcDlxys","properties":{"formattedCitation":"(C. A. Jones et\\uc0\\u160{}al., 1991)","plainCitation":"(C. A. Jones et al., 1991)","noteIndex":0},"citationItems":[{"id":"UJQ2oGUC/KgwP5F8Y","uris":["http://zotero.org/users/local/4iXk4cSJ/items/HZQ75V8L"],"itemData":{"id":241,"type":"article-journal","title":"EPIC: An operational model for evaluation of agricultural sustainability","container-title":"Agricultural Systems","page":"341-350","volume":"37","issue":"4","source":"Crossref","DOI":"10.1016/0308-521X(91)90057-H","ISSN":"0308521X","shortTitle":"EPIC","language":"en","author":[{"family":"Jones","given":"C.A."},{"family":"Dyke","given":"P.T."},{"family":"Williams","given":"J.R."},{"family":"Kiniry","given":"J.R."},{"family":"Benson","given":"V.W."},{"family":"Griggs","given":"R.H."}],"issued":{"date-parts":[["1991",1]]}}}],"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(C. A. Jones et al., 1991)</w:t>
      </w:r>
      <w:r>
        <w:rPr>
          <w:rFonts w:ascii="Arial" w:eastAsia="TimesNewRoman" w:hAnsi="Arial" w:cs="Arial"/>
          <w:sz w:val="24"/>
          <w:szCs w:val="24"/>
        </w:rPr>
        <w:fldChar w:fldCharType="end"/>
      </w:r>
      <w:r>
        <w:rPr>
          <w:rFonts w:ascii="Arial" w:eastAsia="TimesNewRoman" w:hAnsi="Arial" w:cs="Arial"/>
          <w:sz w:val="24"/>
          <w:szCs w:val="24"/>
        </w:rPr>
        <w:t xml:space="preserve">, CROPSYST </w:t>
      </w:r>
      <w:r>
        <w:fldChar w:fldCharType="begin"/>
      </w:r>
      <w:r>
        <w:rPr>
          <w:rFonts w:ascii="Arial" w:eastAsia="TimesNewRoman" w:hAnsi="Arial" w:cs="Arial"/>
          <w:sz w:val="24"/>
          <w:szCs w:val="24"/>
        </w:rPr>
        <w:instrText>ADDIN ZOTERO_ITEM CSL_CITATION {"citationID":"sfO822Xy","properties":{"formattedCitation":"(St\\uc0\\u246{}ckle et\\uc0\\u160{}al., 2003)","plainCitation":"(Stöckle et al., 2003)","noteIndex":0},"citationItems":[{"id":"UJQ2oGUC/Tytu83z3","uris":["http://zotero.org/users/local/4iXk4cSJ/items/JSJUWKXF"],"itemData":{"id":222,"type":"article-journal","title":"CropSyst, a cropping systems simulation model","container-title":"European Journal of Agronomy","page":"289-307","volume":"18","issue":"3","source":"Crossref","abstract":"CropSyst is a multi-year, multi-crop, daily time step cropping systems simulation model developed to serve as an analytical tool to study the effect of climate, soils, and management on cropping systems productivity and the environment. CropSyst simulates the soil water and nitrogen budgets, crop growth and development, crop yield, residue production and decomposition, soil erosion by water, and salinity. The development of CropSyst started in the early 1990s, evolving to a suite of programs including a cropping systems simulator (CropSyst), a weather generator (ClimGen), GIS-CropSyst cooperator program (ArcCS), a watershed model (CropSyst Watershed), and several miscellaneous utility programs. CropSyst and associated programs can be downloaded free of charge over the Internet. One key feature of CropSyst is the implementation of a generic crop simulator that enables the simulation of both yearly and multi-year crops and crop rotations via a single set of parameters. Simulations can last a fraction of a year to hundreds of years. The model has been evaluated in many world locations by comparing model estimates to data collected in field experiments. CropSyst has been applied to perform risk and economic analyses of scenarios involving different cropping systems, management options, and soil and climatic conditions. An extensive list of references related to model development, evaluation, and application is provided.","DOI":"10.1016/S1161-0301(02)00109-0","ISSN":"11610301","language":"en","author":[{"family":"Stöckle","given":"Claudio O."},{"family":"Donatelli","given":"Marcello"},{"family":"Nelson","given":"Roger"}],"issued":{"date-parts":[["2003"]]}}}],"schema":"https://github.com/citation-style-language/schema/raw/master/csl-citation.json"}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szCs w:val="24"/>
        </w:rPr>
        <w:t>(Stöckle et al., 2003)</w:t>
      </w:r>
      <w:r>
        <w:rPr>
          <w:rFonts w:ascii="Arial" w:eastAsia="TimesNewRoman" w:hAnsi="Arial" w:cs="Arial"/>
          <w:sz w:val="24"/>
          <w:szCs w:val="24"/>
        </w:rPr>
        <w:fldChar w:fldCharType="end"/>
      </w:r>
      <w:r>
        <w:rPr>
          <w:rFonts w:ascii="Arial" w:eastAsia="TimesNewRoman" w:hAnsi="Arial" w:cs="Arial"/>
          <w:sz w:val="24"/>
          <w:szCs w:val="24"/>
        </w:rPr>
        <w:t xml:space="preserve">, APSIM </w:t>
      </w:r>
      <w:r>
        <w:fldChar w:fldCharType="begin"/>
      </w:r>
      <w:r w:rsidRPr="001E5715">
        <w:rPr>
          <w:rFonts w:ascii="Arial" w:eastAsia="TimesNewRoman" w:hAnsi="Arial" w:cs="Arial"/>
          <w:sz w:val="24"/>
          <w:szCs w:val="24"/>
        </w:rPr>
        <w:instrText>ADDIN ZOTERO_ITEM CSL_CITATION {"citationID":"Sg6cHo69","properties":{"formattedCitation":"(Keating et\\uc0\\u160{}al., 2003)","plainCitation":"(Keating et al., 2003)","noteIndex":0},"citationItems":[{"id":"UJQ2oGUC/FpVH88z8","uris":["http://zotero.org/users/local/4iXk4cSJ/items/SVZ64XCB"],"itemData":{"id":224,"type":"article-journal","title":"An overview of APSIM, a model designed for farming systems simulation","container-title":"European Journal of Agronomy","page":"267-288","volume":"18","issue":"3-4","source":"Crossref","abstract":"The Agricultural Production Systems Simulator (APSIM) is a modular modelling framework that has been developed by the Agricultural Production Systems Research Unit in Australia. APSIM was developed to simulate biophysical process in farming systems, in particular where there is interest in the economic and ecological outcomes of management practice in the face of climatic risk. The paper outlines APSIM’s structure and provides details of the concepts behind the different plant, soil and management modules. These modules include a diverse range of crops, pastures and trees, soil processes including water balance, N and P transformations, soil pH, erosion and a full range of management controls. Reports of APSIM testing in a diverse range of systems and environments are summarised. An example of model performance in a long-term cropping systems trial is provided. APSIM has been used in a broad range of applications, including support for on-farm decision making, farming systems design for production or resource management objectives, assessment of the value of seasonal climate forecasting, analysis of supply chain issues in agribusiness activities, development of waste management guidelines, risk assessment for government policy making and as a guide to research and education activity. An extensive citation list for these model testing and application studies is provided.","DOI":"10.1016/S1161-0301(02)00108-9","ISSN":"11610301","language":"en","author":[{"family":"Keating","given":"B.A"},{"family":"Carberry","given":"P.S"},{"family":"Hammer","given":"G.L"},{"family":"Probert","given":"M.E"},{"family":"Robertson","given":"M.J"},{"family":"Holzworth","given":"D"},{"family":"Huth","given":"N.I"},{"family":"Hargreaves","given":"J.N.G"},{"family":"Meinke","given":"H"},{"family":"Hochman","given":"Z"},{"family":"McLean","given":"G"},{"family":"Verburg","given":"K"},{"family":"Snow","given":"V"},{"family":"Dimes","given":"J.P"},{"family":"Silburn","given":"M"},{"family":"Wang","given":"E"},{"family":"Brown","given":"S"},{"family":"Bristow","given":"K.L"},{"family":"Asseng","given":"S"},{"family":"Chapman","given":"S"},{"family":"McCown","given":"R.L"},{"family":"Freebairn","given":"D.M"},{"family":"Smith","given":"C.J"}],"issued":{"date-parts":[["2003"]]}}}],"schema":"https://github.com/citation-style-language/schema/raw/master/csl-citation.json"}</w:instrText>
      </w:r>
      <w:r>
        <w:rPr>
          <w:rFonts w:ascii="Arial" w:eastAsia="TimesNewRoman" w:hAnsi="Arial" w:cs="Arial"/>
          <w:sz w:val="24"/>
          <w:szCs w:val="24"/>
          <w:lang w:val="en-US"/>
        </w:rPr>
        <w:fldChar w:fldCharType="separate"/>
      </w:r>
      <w:r>
        <w:rPr>
          <w:rFonts w:ascii="Arial" w:hAnsi="Arial" w:cs="Arial"/>
          <w:sz w:val="24"/>
          <w:szCs w:val="24"/>
        </w:rPr>
        <w:t>(Keating et al., 2003)</w:t>
      </w:r>
      <w:r>
        <w:rPr>
          <w:rFonts w:ascii="Arial" w:eastAsia="TimesNewRoman" w:hAnsi="Arial" w:cs="Arial"/>
          <w:sz w:val="24"/>
          <w:szCs w:val="24"/>
          <w:lang w:val="en-US"/>
        </w:rPr>
        <w:fldChar w:fldCharType="end"/>
      </w:r>
      <w:r>
        <w:rPr>
          <w:rFonts w:ascii="Arial" w:eastAsia="TimesNewRoman" w:hAnsi="Arial" w:cs="Arial"/>
          <w:sz w:val="24"/>
          <w:szCs w:val="24"/>
        </w:rPr>
        <w:t xml:space="preserve"> y STICS </w:t>
      </w:r>
      <w:r>
        <w:fldChar w:fldCharType="begin"/>
      </w:r>
      <w:r>
        <w:rPr>
          <w:rFonts w:ascii="Arial" w:eastAsia="TimesNewRoman" w:hAnsi="Arial" w:cs="Arial"/>
          <w:sz w:val="24"/>
          <w:szCs w:val="24"/>
        </w:rPr>
        <w:instrText>ADDIN ZOTERO_ITEM CSL_CITATION {"citationID":"liYRqCOJ","properties":{"formattedCitation":"(Brisson et al., 1998)","plainCitation":"(Brisson et al., 1998)","dontUpdate":true,"noteIndex":0},"citationItems":[{"id":"UJQ2oGUC/AYTEawLD","uris":["http://zotero.org/users/local/Ax6kcjol/items/VF9BYFKV"],"itemData":{"id":190,"type":"article-journal","title":"STICS: a generic model for the simulation of crops and their water and nitrogen balances. I. Theory and parameterization applied to wheat and corn","container-title":"Agronomie","page":"311-346","volume":"18","issue":"5-6","source":"Crossref","DOI":"10.1051/agro:19980501","ISSN":"0249-5627","shortTitle":"STICS","language":"en","author":[{"family":"Brisson","given":"Nadine"},{"family":"Mary","given":"Bruno"},{"family":"Ripoche","given":"Dominique"},{"family":"Jeuffroy","given":"Marie Hélène"},{"family":"Ruget","given":"Françoise"},{"family":"Nicoullaud","given":"Bernard"},{"family":"Gate","given":"Philippe"},{"family":"Devienne-Barret","given":"Florence"},{"family":"Antonioletti","given":"Rodrigo"},{"family":"Durr","given":"Carolyne"},{"family":"Richard","given":"Guy"},{"family":"Beaudoin","given":"Nicolas"},{"family":"Recous","given":"Sylvie"},{"family":"Tayot","given":"Xavier"},{"family":"Plenet","given":"Daniel"},{"family":"Cellier","given":"Pierre"},{"family":"Machet","given":"Jean-Marie"},{"family":"Meynard","given":"Jean Marc"},{"family":"Delécolle","given":"Richard"}],"issued":{"date-parts":[["1998"]]}}}],"schema":"https://github.com/citation-style-language/schema/raw/master/csl-citation.json"}</w:instrText>
      </w:r>
      <w:r>
        <w:rPr>
          <w:rFonts w:ascii="Arial" w:eastAsia="TimesNewRoman" w:hAnsi="Arial" w:cs="Arial"/>
          <w:sz w:val="24"/>
          <w:szCs w:val="24"/>
        </w:rPr>
        <w:fldChar w:fldCharType="separate"/>
      </w:r>
      <w:r>
        <w:rPr>
          <w:rFonts w:ascii="Arial" w:hAnsi="Arial" w:cs="Arial"/>
          <w:sz w:val="24"/>
        </w:rPr>
        <w:t xml:space="preserve">(Brisson </w:t>
      </w:r>
      <w:r>
        <w:rPr>
          <w:rFonts w:ascii="Arial" w:hAnsi="Arial" w:cs="Arial"/>
          <w:i/>
          <w:sz w:val="24"/>
        </w:rPr>
        <w:t>et al</w:t>
      </w:r>
      <w:r>
        <w:rPr>
          <w:rFonts w:ascii="Arial" w:hAnsi="Arial" w:cs="Arial"/>
          <w:sz w:val="24"/>
        </w:rPr>
        <w:t>., 1998</w:t>
      </w:r>
      <w:r>
        <w:rPr>
          <w:rFonts w:ascii="Arial" w:eastAsia="TimesNewRoman" w:hAnsi="Arial" w:cs="Arial"/>
          <w:sz w:val="24"/>
          <w:szCs w:val="24"/>
        </w:rPr>
        <w:fldChar w:fldCharType="end"/>
      </w:r>
      <w:r>
        <w:rPr>
          <w:rFonts w:ascii="Arial" w:eastAsia="TimesNewRoman" w:hAnsi="Arial" w:cs="Arial"/>
          <w:sz w:val="24"/>
          <w:szCs w:val="24"/>
        </w:rPr>
        <w:t>), inclusive muchos de estos modelos son de libres acceso y utilización</w:t>
      </w:r>
      <w:r>
        <w:rPr>
          <w:rFonts w:ascii="Arial" w:eastAsia="TimesNewRoman" w:hAnsi="Arial" w:cs="Arial"/>
          <w:color w:val="C00000"/>
          <w:sz w:val="24"/>
          <w:szCs w:val="24"/>
        </w:rPr>
        <w:t>.</w:t>
      </w:r>
    </w:p>
    <w:p w14:paraId="69F58443" w14:textId="77777777" w:rsidR="000630B1" w:rsidRDefault="000630B1" w:rsidP="000630B1">
      <w:pPr>
        <w:spacing w:after="0" w:line="360" w:lineRule="auto"/>
        <w:rPr>
          <w:rFonts w:ascii="Arial" w:hAnsi="Arial" w:cs="Arial"/>
          <w:color w:val="C00000"/>
          <w:sz w:val="24"/>
          <w:szCs w:val="24"/>
        </w:rPr>
      </w:pPr>
    </w:p>
    <w:p w14:paraId="0ADFE30C" w14:textId="77777777" w:rsidR="000630B1" w:rsidRDefault="000630B1" w:rsidP="000630B1">
      <w:pPr>
        <w:pStyle w:val="Ttulo3"/>
        <w:spacing w:before="0" w:line="360" w:lineRule="auto"/>
        <w:jc w:val="both"/>
        <w:rPr>
          <w:rFonts w:cs="Arial"/>
        </w:rPr>
      </w:pPr>
      <w:bookmarkStart w:id="21" w:name="_Toc4070412"/>
      <w:r>
        <w:rPr>
          <w:rFonts w:cs="Arial"/>
        </w:rPr>
        <w:lastRenderedPageBreak/>
        <w:t>1.2.1. Modelo DSSAT</w:t>
      </w:r>
      <w:bookmarkEnd w:id="21"/>
    </w:p>
    <w:p w14:paraId="4A15FBA1"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Desde 1983, un grupo internacional de científicos cooperantes han desarrollado modelos de simulación de cultivos, enfocados a proporcionar estimaciones realistas del comportamiento de los cultivos bajo diferentes estrategias de manejo y condiciones ambientales. Estos modelos se han combinado en un paquete, como parte de un programa de enlaces (</w:t>
      </w:r>
      <w:r>
        <w:rPr>
          <w:rFonts w:ascii="Arial" w:hAnsi="Arial" w:cs="Arial"/>
          <w:i/>
          <w:iCs/>
          <w:sz w:val="24"/>
          <w:szCs w:val="24"/>
        </w:rPr>
        <w:t>software shell</w:t>
      </w:r>
      <w:r>
        <w:rPr>
          <w:rFonts w:ascii="Arial" w:hAnsi="Arial" w:cs="Arial"/>
          <w:sz w:val="24"/>
          <w:szCs w:val="24"/>
        </w:rPr>
        <w:t>) conocido como DSSAT.</w:t>
      </w:r>
    </w:p>
    <w:p w14:paraId="48633923" w14:textId="77777777" w:rsidR="000630B1" w:rsidRDefault="000630B1" w:rsidP="000630B1">
      <w:pPr>
        <w:spacing w:after="0" w:line="360" w:lineRule="auto"/>
        <w:jc w:val="both"/>
        <w:rPr>
          <w:rFonts w:ascii="Arial" w:hAnsi="Arial" w:cs="Arial"/>
          <w:sz w:val="24"/>
          <w:szCs w:val="24"/>
        </w:rPr>
      </w:pPr>
    </w:p>
    <w:p w14:paraId="2193D1E7" w14:textId="77777777" w:rsidR="000630B1" w:rsidRDefault="000630B1" w:rsidP="000630B1">
      <w:pPr>
        <w:spacing w:after="0" w:line="360" w:lineRule="auto"/>
        <w:jc w:val="both"/>
        <w:rPr>
          <w:rFonts w:ascii="Arial" w:eastAsia="TimesNewRoman" w:hAnsi="Arial" w:cs="Arial"/>
          <w:sz w:val="24"/>
          <w:szCs w:val="24"/>
        </w:rPr>
      </w:pPr>
      <w:r>
        <w:rPr>
          <w:rFonts w:ascii="Arial" w:hAnsi="Arial" w:cs="Arial"/>
          <w:sz w:val="24"/>
          <w:szCs w:val="24"/>
        </w:rPr>
        <w:t xml:space="preserve">El modelo de crecimiento de cultivos DSSAT </w:t>
      </w:r>
      <w:r>
        <w:fldChar w:fldCharType="begin"/>
      </w:r>
      <w:r>
        <w:rPr>
          <w:rFonts w:ascii="Arial" w:hAnsi="Arial" w:cs="Arial"/>
          <w:sz w:val="24"/>
          <w:szCs w:val="24"/>
        </w:rPr>
        <w:instrText>ADDIN ZOTERO_ITEM CSL_CITATION {"citationID":"7BCVHyWn","properties":{"formattedCitation":"(Jones et al., 2003a)","plainCitation":"(Jones et al., 2003a)","dontUpdate":true,"noteIndex":0},"citationItems":[{"id":"UJQ2oGUC/16A1nqbS","uris":["http://zotero.org/users/local/Ax6kcjol/items/TGEM94JY"],"itemData":{"id":57,"type":"article-journal","title":"The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r>
        <w:rPr>
          <w:rFonts w:ascii="Arial" w:hAnsi="Arial" w:cs="Arial"/>
          <w:sz w:val="24"/>
          <w:szCs w:val="24"/>
        </w:rPr>
        <w:t xml:space="preserve"> es un </w:t>
      </w:r>
      <w:r>
        <w:rPr>
          <w:rFonts w:ascii="Arial" w:eastAsia="TimesNewRoman" w:hAnsi="Arial" w:cs="Arial"/>
          <w:sz w:val="24"/>
          <w:szCs w:val="24"/>
        </w:rPr>
        <w:t>modelo comercial,</w:t>
      </w:r>
      <w:r>
        <w:rPr>
          <w:rFonts w:ascii="Arial" w:hAnsi="Arial" w:cs="Arial"/>
          <w:sz w:val="24"/>
          <w:szCs w:val="24"/>
        </w:rPr>
        <w:t xml:space="preserve"> basado en Windows, </w:t>
      </w:r>
      <w:r>
        <w:rPr>
          <w:rFonts w:ascii="Arial" w:eastAsia="TimesNewRoman" w:hAnsi="Arial" w:cs="Arial"/>
          <w:sz w:val="24"/>
          <w:szCs w:val="24"/>
        </w:rPr>
        <w:t xml:space="preserve">en el cual se integran, en una misma plataforma, modelos específicos desarrollados independientemente para cada uno de los cultivos disponibles. Además, </w:t>
      </w:r>
      <w:r>
        <w:rPr>
          <w:rFonts w:ascii="Arial" w:hAnsi="Arial" w:cs="Arial"/>
          <w:sz w:val="24"/>
          <w:szCs w:val="24"/>
        </w:rPr>
        <w:t xml:space="preserve">incluye herramientas y programas de utilidad para el manejo de suelos, recursos hídricos, clima, coeficientes genéticos, datos de cultivos y plagas. </w:t>
      </w:r>
      <w:r>
        <w:rPr>
          <w:rFonts w:ascii="Arial" w:eastAsia="TimesNewRoman" w:hAnsi="Arial" w:cs="Arial"/>
          <w:sz w:val="24"/>
          <w:szCs w:val="24"/>
        </w:rPr>
        <w:t xml:space="preserve">Es posible abordar el análisis de monocultivos en los cuales se pueden simular condiciones de rotación, interacciones con factores bióticos y abióticos, entre otros. </w:t>
      </w:r>
    </w:p>
    <w:p w14:paraId="3EE84AC2" w14:textId="77777777" w:rsidR="000630B1" w:rsidRDefault="000630B1" w:rsidP="000630B1">
      <w:pPr>
        <w:spacing w:after="0" w:line="360" w:lineRule="auto"/>
        <w:jc w:val="both"/>
        <w:rPr>
          <w:rFonts w:ascii="Arial" w:eastAsia="TimesNewRoman" w:hAnsi="Arial" w:cs="Arial"/>
          <w:sz w:val="24"/>
          <w:szCs w:val="24"/>
        </w:rPr>
      </w:pPr>
    </w:p>
    <w:p w14:paraId="7088C506" w14:textId="77777777" w:rsidR="000630B1" w:rsidRDefault="000630B1" w:rsidP="000630B1">
      <w:pPr>
        <w:spacing w:after="0" w:line="360" w:lineRule="auto"/>
        <w:jc w:val="both"/>
        <w:rPr>
          <w:rFonts w:ascii="Arial" w:hAnsi="Arial" w:cs="Arial"/>
          <w:sz w:val="24"/>
          <w:szCs w:val="24"/>
        </w:rPr>
      </w:pPr>
      <w:r>
        <w:rPr>
          <w:rFonts w:ascii="Arial" w:eastAsia="TimesNewRoman" w:hAnsi="Arial" w:cs="Arial"/>
          <w:sz w:val="24"/>
          <w:szCs w:val="24"/>
        </w:rPr>
        <w:t xml:space="preserve">El programa está compuesto por cinco módulos, cuyo centro son los </w:t>
      </w:r>
      <w:r>
        <w:rPr>
          <w:rFonts w:ascii="Arial" w:eastAsia="TimesNewRoman,Bold" w:hAnsi="Arial" w:cs="Arial"/>
          <w:bCs/>
          <w:sz w:val="24"/>
          <w:szCs w:val="24"/>
        </w:rPr>
        <w:t xml:space="preserve">modelos de cultivo </w:t>
      </w:r>
      <w:r>
        <w:rPr>
          <w:rFonts w:ascii="Arial" w:eastAsia="TimesNewRoman" w:hAnsi="Arial" w:cs="Arial"/>
          <w:sz w:val="24"/>
          <w:szCs w:val="24"/>
        </w:rPr>
        <w:t xml:space="preserve">y se relacionan con las </w:t>
      </w:r>
      <w:r>
        <w:rPr>
          <w:rFonts w:ascii="Arial" w:eastAsia="TimesNewRoman,Bold" w:hAnsi="Arial" w:cs="Arial"/>
          <w:bCs/>
          <w:sz w:val="24"/>
          <w:szCs w:val="24"/>
        </w:rPr>
        <w:t xml:space="preserve">bases de datos </w:t>
      </w:r>
      <w:r>
        <w:rPr>
          <w:rFonts w:ascii="Arial" w:eastAsia="TimesNewRoman" w:hAnsi="Arial" w:cs="Arial"/>
          <w:sz w:val="24"/>
          <w:szCs w:val="24"/>
        </w:rPr>
        <w:t xml:space="preserve">de clima, suelo, genética, entre otras; </w:t>
      </w:r>
      <w:r>
        <w:rPr>
          <w:rFonts w:ascii="Arial" w:eastAsia="TimesNewRoman,Bold" w:hAnsi="Arial" w:cs="Arial"/>
          <w:bCs/>
          <w:sz w:val="24"/>
          <w:szCs w:val="24"/>
        </w:rPr>
        <w:t>el software de soporte</w:t>
      </w:r>
      <w:r>
        <w:rPr>
          <w:rFonts w:ascii="Arial" w:eastAsia="TimesNewRoman" w:hAnsi="Arial" w:cs="Arial"/>
          <w:sz w:val="24"/>
          <w:szCs w:val="24"/>
        </w:rPr>
        <w:t xml:space="preserve">; </w:t>
      </w:r>
      <w:r>
        <w:rPr>
          <w:rFonts w:ascii="Arial" w:eastAsia="TimesNewRoman,Bold" w:hAnsi="Arial" w:cs="Arial"/>
          <w:bCs/>
          <w:sz w:val="24"/>
          <w:szCs w:val="24"/>
        </w:rPr>
        <w:t xml:space="preserve">aplicaciones </w:t>
      </w:r>
      <w:r>
        <w:rPr>
          <w:rFonts w:ascii="Arial" w:eastAsia="TimesNewRoman" w:hAnsi="Arial" w:cs="Arial"/>
          <w:sz w:val="24"/>
          <w:szCs w:val="24"/>
        </w:rPr>
        <w:t xml:space="preserve">que incluyen relación con SIG y análisis estadísticos y, finalmente, la </w:t>
      </w:r>
      <w:r>
        <w:rPr>
          <w:rFonts w:ascii="Arial" w:eastAsia="TimesNewRoman,Bold" w:hAnsi="Arial" w:cs="Arial"/>
          <w:bCs/>
          <w:sz w:val="24"/>
          <w:szCs w:val="24"/>
        </w:rPr>
        <w:t>interface con el usuario</w:t>
      </w:r>
      <w:r>
        <w:rPr>
          <w:rFonts w:ascii="Arial" w:hAnsi="Arial" w:cs="Arial"/>
          <w:sz w:val="24"/>
          <w:szCs w:val="24"/>
        </w:rPr>
        <w:t xml:space="preserve">. DSSAT se puede utilizar como una herramienta de apoyo a la decisión para pruebas de rendimiento en múltiples ubicaciones que optimizan el manejo de fertilizantes con nitrógeno para un rendimiento específico del cultivo, minimizan las pérdidas de nutrientes y seleccionan ventanas de siembra óptimas. </w:t>
      </w:r>
    </w:p>
    <w:p w14:paraId="49FB5B22" w14:textId="77777777" w:rsidR="000630B1" w:rsidRDefault="000630B1" w:rsidP="000630B1">
      <w:pPr>
        <w:spacing w:after="0" w:line="360" w:lineRule="auto"/>
        <w:jc w:val="both"/>
        <w:rPr>
          <w:rFonts w:ascii="Arial" w:hAnsi="Arial" w:cs="Arial"/>
          <w:sz w:val="24"/>
          <w:szCs w:val="24"/>
        </w:rPr>
      </w:pPr>
    </w:p>
    <w:p w14:paraId="4AE40D2E" w14:textId="77777777" w:rsidR="000630B1" w:rsidRDefault="000630B1" w:rsidP="000630B1">
      <w:pPr>
        <w:spacing w:after="0" w:line="360" w:lineRule="auto"/>
        <w:jc w:val="both"/>
        <w:rPr>
          <w:rFonts w:ascii="Arial" w:hAnsi="Arial" w:cs="Arial"/>
          <w:sz w:val="24"/>
          <w:szCs w:val="24"/>
        </w:rPr>
      </w:pPr>
      <w:r>
        <w:rPr>
          <w:rStyle w:val="tlid-translation"/>
          <w:rFonts w:ascii="Arial" w:hAnsi="Arial" w:cs="Arial"/>
          <w:sz w:val="24"/>
          <w:szCs w:val="24"/>
        </w:rPr>
        <w:t xml:space="preserve">DSSAT se ha utilizado cada vez más como una herramienta para comparar el rendimiento de diferentes sistemas de cultivo y </w:t>
      </w:r>
      <w:r>
        <w:rPr>
          <w:rFonts w:ascii="Arial" w:hAnsi="Arial" w:cs="Arial"/>
          <w:sz w:val="24"/>
          <w:szCs w:val="24"/>
        </w:rPr>
        <w:t xml:space="preserve">para estudiar la agricultura de precisión en el marco de un sistema de apoyo a la decisión que automatiza las simulaciones utilizando diferentes estrategias de manejo de cultivos </w:t>
      </w:r>
      <w:r>
        <w:fldChar w:fldCharType="begin"/>
      </w:r>
      <w:r>
        <w:rPr>
          <w:rFonts w:ascii="Arial" w:hAnsi="Arial" w:cs="Arial"/>
          <w:sz w:val="24"/>
          <w:szCs w:val="24"/>
        </w:rPr>
        <w:instrText>ADDIN ZOTERO_ITEM CSL_CITATION {"citationID":"guYlmEOz","properties":{"formattedCitation":"(Corbeels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(Corbeels et al., 2016)</w:t>
      </w:r>
      <w:r>
        <w:rPr>
          <w:rFonts w:ascii="Arial" w:hAnsi="Arial" w:cs="Arial"/>
          <w:sz w:val="24"/>
          <w:szCs w:val="24"/>
        </w:rPr>
        <w:fldChar w:fldCharType="end"/>
      </w:r>
      <w:r>
        <w:rPr>
          <w:rFonts w:ascii="Arial" w:hAnsi="Arial" w:cs="Arial"/>
          <w:sz w:val="24"/>
          <w:szCs w:val="24"/>
        </w:rPr>
        <w:t xml:space="preserve">. Es necesario comprender que el comportamiento de crecimiento y el rendimiento de los principales cultivares de arroz dependen, principalmente, de los </w:t>
      </w:r>
      <w:r>
        <w:rPr>
          <w:rFonts w:ascii="Arial" w:hAnsi="Arial" w:cs="Arial"/>
          <w:sz w:val="24"/>
          <w:szCs w:val="24"/>
        </w:rPr>
        <w:lastRenderedPageBreak/>
        <w:t xml:space="preserve">coeficientes genéticos de una variedad particular. Para este propósito, existe la necesidad de calibrar y validar el modelo DSSAT para su aplicación posterior en los estudios de evaluación de impacto del cambio climático, evaluación de riesgos y determinar estrategias de manejo debido a su capacidad para predecir el crecimiento y el rendimiento de los cultivos </w:t>
      </w:r>
      <w:r>
        <w:fldChar w:fldCharType="begin"/>
      </w:r>
      <w:r>
        <w:rPr>
          <w:rFonts w:ascii="Arial" w:hAnsi="Arial" w:cs="Arial"/>
          <w:sz w:val="24"/>
          <w:szCs w:val="24"/>
        </w:rPr>
        <w:instrText>ADDIN ZOTERO_ITEM CSL_CITATION {"citationID":"UnE6Ws7G","properties":{"formattedCitation":"(Rodr\\uc0\\u237{}guez Gonz\\uc0\\u225{}lez et\\uc0\\u160{}al., 2021)","plainCitation":"(Rodríguez González et al., 2021)","noteIndex":0},"citationItems":[{"id":547,"uris":["http://zotero.org/users/local/1mxXpOpa/items/P8FPU5FC"],"itemData":{"id":547,"type":"article-journal","abstract":"AbstractCrop simulation models based on physiological processes are valuable tools for simulating crop production, estimating agronomic efficiency, and developing optimal management practices for sustainable agriculture. The objectives of this study were to calibrate the DSSAT model for the P-7928 corn cultivar and explore management strategies to improve crop production, which included sowing density, fertilization levels and edaphoclimatic conditions. The DSSAT model showed excellent performance. The simulated yields were related to those observed, and showed a Willmott index of 0.96. The square root of the mean square of the normalized error behaved with an acceptable value of 28% and R2 of 0.985, which shows the good fit of model and shows that it can be used to simulate the crop yield and its physiological components under Cuba conditions. The simulations performed show higher yield, when combining the sowing of 7 plants m-2 and a nitrogen fertilization of 150 kg ha-1. The comparative study of the yields in different edaphoclimatic conditions shows the influence of the latter on the crop response.Key words: calibration; crop simulation models; yield; corn","container-title":"Cuban Journal of Agricultural Science","ISSN":"2079-3480","issue":"2","note":"publisher: Instituto de Ciencia Animal","source":"SciELO","title":"Simulación de estrategias de manejo a partir del modelo DSSAT para incrementar los rendimientos de un cultivar de maíz","URL":"http://scielo.sld.cu/scielo.php?script=sci_abstract&amp;pid=S2079-34802021000200008&amp;lng=es&amp;nrm=iso&amp;tlng=en","volume":"55","author":[{"family":"Rodríguez González","given":"O."},{"family":"Florido Bacallao","given":"R."},{"family":"Hernández Córdova","given":"Naivy"},{"family":"Soto Carreño","given":"F."},{"family":"Jeréz Mompié","given":"E. I."},{"family":"González Viera","given":"Deborah"},{"family":"Vázquez Montenegro","given":"R. J."},{"family":"Rodríguez González","given":"O."},{"family":"Florido Bacallao","given":"R."},{"family":"Hernández Córdova","given":"Naivy"},{"family":"Soto Carreño","given":"F."},{"family":"Jeréz Mompié","given":"E. I."},{"family":"González Viera","given":"Deborah"},{"family":"Vázquez Montenegro","given":"R. J."}],"accessed":{"date-parts":[["2024",11,19]]},"issued":{"date-parts":[["2021",6]]}}}],"schema":"https://github.com/citation-style-language/schema/raw/master/csl-citation.json"}</w:instrText>
      </w:r>
      <w:r>
        <w:rPr>
          <w:rFonts w:ascii="Arial" w:hAnsi="Arial" w:cs="Arial"/>
          <w:sz w:val="24"/>
          <w:szCs w:val="24"/>
        </w:rPr>
        <w:fldChar w:fldCharType="separate"/>
      </w:r>
      <w:r>
        <w:rPr>
          <w:rFonts w:ascii="Arial" w:hAnsi="Arial" w:cs="Arial"/>
          <w:sz w:val="24"/>
          <w:szCs w:val="24"/>
        </w:rPr>
        <w:t>(Rodríguez González et al., 2021)</w:t>
      </w:r>
      <w:r>
        <w:rPr>
          <w:rFonts w:ascii="Arial" w:hAnsi="Arial" w:cs="Arial"/>
          <w:sz w:val="24"/>
          <w:szCs w:val="24"/>
        </w:rPr>
        <w:fldChar w:fldCharType="end"/>
      </w:r>
      <w:r>
        <w:rPr>
          <w:rFonts w:ascii="Arial" w:hAnsi="Arial" w:cs="Arial"/>
          <w:sz w:val="24"/>
          <w:szCs w:val="24"/>
        </w:rPr>
        <w:t>.</w:t>
      </w:r>
    </w:p>
    <w:p w14:paraId="29DA71C8" w14:textId="77777777" w:rsidR="000630B1" w:rsidRDefault="000630B1" w:rsidP="000630B1">
      <w:pPr>
        <w:spacing w:after="0" w:line="360" w:lineRule="auto"/>
        <w:jc w:val="both"/>
        <w:rPr>
          <w:rFonts w:ascii="Arial" w:hAnsi="Arial" w:cs="Arial"/>
          <w:sz w:val="24"/>
          <w:szCs w:val="24"/>
        </w:rPr>
      </w:pPr>
    </w:p>
    <w:p w14:paraId="3C4BD7DA"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El modelo ha sido probado en una amplia gama de entornos por la Red Internacional de Sitios de Referencia para la Transferencia de Tecnología Agrícola (IBSNAT) </w:t>
      </w:r>
      <w:r>
        <w:fldChar w:fldCharType="begin"/>
      </w:r>
      <w:r>
        <w:rPr>
          <w:rFonts w:ascii="Arial" w:hAnsi="Arial" w:cs="Arial"/>
          <w:sz w:val="24"/>
          <w:szCs w:val="24"/>
        </w:rPr>
        <w:instrText>ADDIN ZOTERO_ITEM CSL_CITATION {"citationID":"SNnhzijp","properties":{"formattedCitation":"(Singh et\\uc0\\u160{}al., 1988)","plainCitation":"(Singh et al., 1988)","noteIndex":0},"citationItems":[{"id":"UJQ2oGUC/lrtSXWLS","uris":["http://zotero.org/users/local/Ax6kcjol/items/3YS7EJZB"],"itemData":{"id":194,"type":"article-journal","title":"Modeling growth and Development of rice under upland lowland conditions","container-title":"Agronomy Abs","page":"27","volume":"80","author":[{"family":"Singh","given":"U."},{"family":"Godwin","given":"D. C."},{"family":"Ritchie","given":"J. T."}],"issued":{"date-parts":[["1988"]]}}}],"schema":"https://github.com/citation-style-language/schema/raw/master/csl-citation.json"}</w:instrText>
      </w:r>
      <w:r>
        <w:rPr>
          <w:rFonts w:ascii="Arial" w:hAnsi="Arial" w:cs="Arial"/>
          <w:sz w:val="24"/>
          <w:szCs w:val="24"/>
        </w:rPr>
        <w:fldChar w:fldCharType="separate"/>
      </w:r>
      <w:r>
        <w:rPr>
          <w:rFonts w:ascii="Arial" w:hAnsi="Arial" w:cs="Arial"/>
          <w:sz w:val="24"/>
          <w:szCs w:val="24"/>
        </w:rPr>
        <w:t>(Singh et al., 1988)</w:t>
      </w:r>
      <w:r>
        <w:rPr>
          <w:rFonts w:ascii="Arial" w:hAnsi="Arial" w:cs="Arial"/>
          <w:sz w:val="24"/>
          <w:szCs w:val="24"/>
        </w:rPr>
        <w:fldChar w:fldCharType="end"/>
      </w:r>
      <w:r>
        <w:rPr>
          <w:rFonts w:ascii="Arial" w:hAnsi="Arial" w:cs="Arial"/>
          <w:sz w:val="24"/>
          <w:szCs w:val="24"/>
        </w:rPr>
        <w:t xml:space="preserve">. Incorpora coeficientes que explican las variaciones genotípicas en términos de fenología, fisiología y atributos genéticos </w:t>
      </w:r>
      <w:r>
        <w:fldChar w:fldCharType="begin"/>
      </w:r>
      <w:r>
        <w:rPr>
          <w:rFonts w:ascii="Arial" w:hAnsi="Arial" w:cs="Arial"/>
          <w:sz w:val="24"/>
          <w:szCs w:val="24"/>
        </w:rPr>
        <w:instrText>ADDIN ZOTERO_ITEM CSL_CITATION {"citationID":"ugtrs269","properties":{"formattedCitation":"(Hunt et\\uc0\\u160{}al., 1989)","plainCitation":"(Hunt et al., 1989)","noteIndex":0},"citationItems":[{"id":"UJQ2oGUC/2Ca1sqF3","uris":["http://zotero.org/users/local/Ax6kcjol/items/PAT5WL68"],"itemData":{"id":195,"type":"paper-conference","title":"Genetic coefficients for the IBSNAT crop models","container-title":"Proceedings of IBSNAT Symposium, 81st Ann. Meeting of Amer. Soc. Agronomy, Las Vegas","page":"15-30","author":[{"family":"Hunt","given":"L. A."},{"family":"Jones","given":"J. W."},{"family":"Ritchie","given":"J. T."},{"family":"Teng","given":"P. S."}],"issued":{"date-parts":[["1989"]]}}}],"schema":"https://github.com/citation-style-language/schema/raw/master/csl-citation.json"}</w:instrText>
      </w:r>
      <w:r>
        <w:rPr>
          <w:rFonts w:ascii="Arial" w:hAnsi="Arial" w:cs="Arial"/>
          <w:sz w:val="24"/>
          <w:szCs w:val="24"/>
        </w:rPr>
        <w:fldChar w:fldCharType="separate"/>
      </w:r>
      <w:r>
        <w:rPr>
          <w:rFonts w:ascii="Arial" w:hAnsi="Arial" w:cs="Arial"/>
          <w:sz w:val="24"/>
          <w:szCs w:val="24"/>
        </w:rPr>
        <w:t>(Hunt et al., 1989)</w:t>
      </w:r>
      <w:r>
        <w:rPr>
          <w:rFonts w:ascii="Arial" w:hAnsi="Arial" w:cs="Arial"/>
          <w:sz w:val="24"/>
          <w:szCs w:val="24"/>
        </w:rPr>
        <w:fldChar w:fldCharType="end"/>
      </w:r>
      <w:r>
        <w:rPr>
          <w:rFonts w:ascii="Arial" w:hAnsi="Arial" w:cs="Arial"/>
          <w:sz w:val="24"/>
          <w:szCs w:val="24"/>
        </w:rPr>
        <w:t xml:space="preserve">. Estos coeficientes genéticos se requieren como entradas del modelo y varían ampliamente entre las diferentes variedades </w:t>
      </w:r>
      <w:r>
        <w:fldChar w:fldCharType="begin"/>
      </w:r>
      <w:r>
        <w:rPr>
          <w:rFonts w:ascii="Arial" w:hAnsi="Arial" w:cs="Arial"/>
          <w:sz w:val="24"/>
          <w:szCs w:val="24"/>
        </w:rPr>
        <w:instrText>ADDIN ZOTERO_ITEM CSL_CITATION {"citationID":"IyC7qwkk","properties":{"formattedCitation":"(Abou El-Enin et\\uc0\\u160{}al., 2016)","plainCitation":"(Abou El-Enin et al., 2016)","noteIndex":0},"citationItems":[{"id":"UJQ2oGUC/KsRfu4JJ","uris":["http://zotero.org/users/local/Ax6kcjol/items/SJPGU4YP"],"itemData":{"id":87,"type":"article-journal","title":"Application and Evaluation of DSSAT V.4.6.1 Program for Simulation of Wheat and Soybean yields in Egypt","container-title":"Journal of Basic and Environmental Sciences","page":"85-97","volume":"3","source":"Crossref","abstract":"Adoption of conservation agriculture (CA) is increasingly being promoted as a way of adapting agricultural systems to increasing climate variability, especially for areas such as Africa where rainfall is projected to decrease. The DSSAT (Decision Support System for Agro Technology) crop simulation models can be a valuable tool in evaluating the effects of CA, which are viable both economically and environmentally. Our objectives were to evaluate the ability of DSSAT to predict the combined effect of tillage system and fertilizer rates through wheat/soybean rotation on crop yield. DSSAT v.4.6.1 (CERES-wheat and CROPGRO-soybean) was utilized for the study to simulate crop yield. Observed field data revealed that, the effect of tillage systems during the summer season of 2013 did not differ significantly due to studied Soybean traits. Related to, winter season of 2013/2014, the results revealed that, CA tillage system increased significantly all studied wheat traits as compared with the other tillage systems. Referring to, the summer season of 2014, CA system scored the significant high values for the studied Soybean traits. As for the effect of studied NPK fertilizer levels, results showed that, 100% of the recommended doses of NPK favored the values of the studied soybean and wheat traits significantly during summer 2013 and winter 2013/2014, as compared by 50% of the recommended dose of it, in addition, there are no-significant difference between the two fertilizer levels for soybean traits in the third season (summer, 2014). Regarding, the interaction effect between the tested factors, results of the three trial seasons revealed that, growing soybean or wheat under the condition of conservation agriculture (CA) and fed by 100% or 50% of the recommended dose of NPK fertilizers scored the greatest values for most of soybean and wheat traits. On contrast, the lowest value was resulted under the condition of conventional tillage (CT) and fed by the 50% of the recommended dose of NPK fertilizers. The DSSAT– CERES-wheat and CROPGRO-soybean models also reflected this trend. These results indicated that, The DSSAT program exposed powerful for stimulation for grain yield/fed., harvest index as affected by interaction effect between tillage systems and fertilizer rats, which there RMSE ranged between good and excellent, RMSE = (12.44, 12.29) and (7.92, 1.76) and (1.68, 16.24) for summer 2013, winter 2013/2014 and summer 2014 seasons respectively, through (soybean→ wheat→ soybean) crop sequence.","ISSN":"2356 - 6388","language":"en","author":[{"family":"Abou El-Enin","given":"M.M."},{"family":"Abo-Remaila","given":"S.I."},{"family":"Mahmoud","given":"A.S."}],"issued":{"date-parts":[["2016"]]}}}],"schema":"https://github.com/citation-style-language/schema/raw/master/csl-citation.json"}</w:instrText>
      </w:r>
      <w:r>
        <w:rPr>
          <w:rFonts w:ascii="Arial" w:hAnsi="Arial" w:cs="Arial"/>
          <w:sz w:val="24"/>
          <w:szCs w:val="24"/>
        </w:rPr>
        <w:fldChar w:fldCharType="separate"/>
      </w:r>
      <w:r>
        <w:rPr>
          <w:rFonts w:ascii="Arial" w:hAnsi="Arial" w:cs="Arial"/>
          <w:sz w:val="24"/>
          <w:szCs w:val="24"/>
        </w:rPr>
        <w:t>(Abou El-Enin et al., 2016)</w:t>
      </w:r>
      <w:r>
        <w:rPr>
          <w:rFonts w:ascii="Arial" w:hAnsi="Arial" w:cs="Arial"/>
          <w:sz w:val="24"/>
          <w:szCs w:val="24"/>
        </w:rPr>
        <w:fldChar w:fldCharType="end"/>
      </w:r>
      <w:r>
        <w:rPr>
          <w:rFonts w:ascii="Arial" w:hAnsi="Arial" w:cs="Arial"/>
          <w:sz w:val="24"/>
          <w:szCs w:val="24"/>
        </w:rPr>
        <w:t>.</w:t>
      </w:r>
    </w:p>
    <w:p w14:paraId="44A4AA00" w14:textId="77777777" w:rsidR="000630B1" w:rsidRDefault="000630B1" w:rsidP="000630B1">
      <w:pPr>
        <w:spacing w:after="0" w:line="360" w:lineRule="auto"/>
        <w:jc w:val="both"/>
        <w:rPr>
          <w:rFonts w:ascii="Arial" w:hAnsi="Arial" w:cs="Arial"/>
          <w:sz w:val="24"/>
          <w:szCs w:val="24"/>
        </w:rPr>
      </w:pPr>
    </w:p>
    <w:p w14:paraId="7C1A99BD" w14:textId="77777777" w:rsidR="000630B1" w:rsidRDefault="000630B1" w:rsidP="000630B1">
      <w:pPr>
        <w:shd w:val="clear" w:color="auto" w:fill="FFFFFF"/>
        <w:spacing w:after="0" w:line="360" w:lineRule="auto"/>
        <w:jc w:val="both"/>
        <w:rPr>
          <w:rFonts w:ascii="Arial" w:hAnsi="Arial" w:cs="Arial"/>
          <w:color w:val="C00000"/>
          <w:sz w:val="24"/>
          <w:szCs w:val="24"/>
        </w:rPr>
      </w:pPr>
      <w:r>
        <w:rPr>
          <w:rFonts w:ascii="Arial" w:hAnsi="Arial" w:cs="Arial"/>
          <w:sz w:val="24"/>
          <w:szCs w:val="24"/>
        </w:rPr>
        <w:t xml:space="preserve">En Cuba este modelo se ha utilizado en varias investigaciones para el análisis de las respuestas de las interacciones planta-ambiente-manejo en distintos escenarios de la producción de cultivos de cereales en Cuba. El modelo se calibró y validó para las condiciones de estudio. La calibración y validación del modelo demostró la factibilidad de su utilización en las condiciones de estudio para la predicción del rendimiento y sus componentes. </w:t>
      </w:r>
    </w:p>
    <w:p w14:paraId="2388DC67" w14:textId="77777777" w:rsidR="000630B1" w:rsidRDefault="000630B1" w:rsidP="000630B1">
      <w:pPr>
        <w:spacing w:after="0" w:line="360" w:lineRule="auto"/>
        <w:jc w:val="both"/>
        <w:rPr>
          <w:rFonts w:ascii="Arial" w:hAnsi="Arial" w:cs="Arial"/>
          <w:color w:val="C00000"/>
          <w:sz w:val="24"/>
          <w:szCs w:val="24"/>
        </w:rPr>
      </w:pPr>
      <w:r>
        <w:rPr>
          <w:rFonts w:ascii="Arial" w:hAnsi="Arial" w:cs="Arial"/>
          <w:sz w:val="24"/>
          <w:szCs w:val="24"/>
        </w:rPr>
        <w:t xml:space="preserve">Para la corrida del modelo de simulación DSSAT es necesario contar con información de datos de clima diario, del cultivo y del suelo, los cuales también se corresponden con archivos de entrada vinculados a la estructura principal del modelo (Figura 1) </w:t>
      </w:r>
      <w:r>
        <w:fldChar w:fldCharType="begin"/>
      </w:r>
      <w:r>
        <w:rPr>
          <w:rFonts w:ascii="Arial" w:hAnsi="Arial" w:cs="Arial"/>
          <w:color w:val="C00000"/>
          <w:sz w:val="24"/>
          <w:szCs w:val="24"/>
        </w:rPr>
        <w:instrText>ADDIN ZOTERO_ITEM CSL_CITATION {"citationID":"muBdmYqH","properties":{"formattedCitation":"(Corbeels et\\uc0\\u160{}al., 2016)","plainCitation":"(Corbeels et al., 2016)","noteIndex":0},"citationItems":[{"id":"UJQ2oGUC/hzZ72i2H","uris":["http://zotero.org/users/local/Ax6kcjol/items/J2HXAMCJ"],"itemData":{"id":89,"type":"article-journal","title":"Performance and sensitivity of the DSSAT crop growth model in simulating maize yield under conservation agriculture","container-title":"European Journal of Agronomy","page":"41-53","volume":"76","source":"Crossref","abstract":"With the practice of conservation agriculture (CA) soil water and nutrient dynamics are modiﬁed by the presence of a mulch of crop residues and by reduced or no-tillage. These alterations may have impacts on crop yields. The crop growth model DSSAT (Decision Support Systems for Agrotechnology Transfer) has recently been modiﬁed and used to simulate these impacts on crop growth and yield. In this study, we applied DSSAT to a long-term experiment with maize (Zea mays L.) grown under contrasting tillage and residue management practices in Monze, Southern Province of Zambia. The aim was (1) to assess the capability of DSSAT in simulating crop responses to mulching and no-tillage, and (2) to understand the sensitivity of DSSAT model output to input parameters, with special attention to the determinants of the model response to the practice of CA. The model was ﬁrst parameterized and calibrated for the tillage treatment (CP) of the experiment, and then run for the CA treatment by removing tillage and applying a mulch of crop residues in the model. In order to reproduce observed maize yields under the CP versus CA treatment, optimal root development in the model was restricted to the upper 22 cm soil layer in the CP treatment, while roots could optimally develop to 100 cm depth under CA. The normalized RMSE values between observed and simulated maize phenology and total above ground biomass and grain yield indicated that the CA treatment was equally well simulated as the CP treatment, for which the model was calibrated. A global sensitivity analysis using co-inertia analysis was performed to describe the DSSAT model response to 32 model input parameters and crop management factors. Phenological cultivar parameters were the most inﬂuential model parameters. This analysis also demonstrated that in DSSAT mulching primarily affects the surface soil organic carbon content and secondly the total soil moisture content, since it is negatively correlated with simulated soil water evaporation and run-off. The correlations between the input parameters or crop management factors and the output variables were stable over a wide range of seasonal rainfall conditions. A local sensitivity analysis of simulated maize yield to three key parameters for the simulation of the CA practice revealed that DSSAT responds to mulching particularly when rooting depth is restricted, i.e., when water is a critical limiting crop growth factor. The results of this study demonstrate that DSSAT can be used to simulate crop responses to CA, in particular through simulated mulching effects on the soil water balance, but other, often site-speciﬁc, factors that are not modeled by DSSAT, such as plough pan formation under CP or improved soil structure under CA, may need to be considered in the model parameterization to reproduce the observed crop yield effects of CA versus CP.","DOI":"10.1016/j.eja.2016.02.001","ISSN":"11610301","language":"en","author":[{"family":"Corbeels","given":"Marc"},{"family":"Chirat","given":"Guillaume"},{"family":"Messad","given":"Samir"},{"family":"Thierfelder","given":"Christian"}],"issued":{"date-parts":[["2016"]]}}}],"schema":"https://github.com/citation-style-language/schema/raw/master/csl-citation.json"}</w:instrText>
      </w:r>
      <w:r>
        <w:rPr>
          <w:rFonts w:ascii="Arial" w:hAnsi="Arial" w:cs="Arial"/>
          <w:color w:val="C00000"/>
          <w:sz w:val="24"/>
          <w:szCs w:val="24"/>
        </w:rPr>
        <w:fldChar w:fldCharType="separate"/>
      </w:r>
      <w:r>
        <w:rPr>
          <w:rFonts w:ascii="Arial" w:hAnsi="Arial" w:cs="Arial"/>
          <w:sz w:val="24"/>
          <w:szCs w:val="24"/>
        </w:rPr>
        <w:t>(Corbeels et al., 2016)</w:t>
      </w:r>
      <w:r>
        <w:rPr>
          <w:rFonts w:ascii="Arial" w:hAnsi="Arial" w:cs="Arial"/>
          <w:color w:val="C00000"/>
          <w:sz w:val="24"/>
          <w:szCs w:val="24"/>
        </w:rPr>
        <w:fldChar w:fldCharType="end"/>
      </w:r>
      <w:r>
        <w:rPr>
          <w:rFonts w:ascii="Arial" w:hAnsi="Arial" w:cs="Arial"/>
          <w:color w:val="C00000"/>
          <w:sz w:val="24"/>
          <w:szCs w:val="24"/>
        </w:rPr>
        <w:t>.</w:t>
      </w:r>
    </w:p>
    <w:p w14:paraId="547C0EE5" w14:textId="77777777" w:rsidR="000630B1" w:rsidRDefault="000630B1" w:rsidP="000630B1">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g">
            <w:drawing>
              <wp:anchor distT="0" distB="10160" distL="0" distR="26670" simplePos="0" relativeHeight="251664384" behindDoc="0" locked="0" layoutInCell="1" allowOverlap="1" wp14:anchorId="469C0AAD" wp14:editId="6B526F94">
                <wp:simplePos x="0" y="0"/>
                <wp:positionH relativeFrom="column">
                  <wp:posOffset>722630</wp:posOffset>
                </wp:positionH>
                <wp:positionV relativeFrom="page">
                  <wp:posOffset>2001520</wp:posOffset>
                </wp:positionV>
                <wp:extent cx="4754880" cy="3285490"/>
                <wp:effectExtent l="6350" t="6985" r="6350" b="6350"/>
                <wp:wrapNone/>
                <wp:docPr id="6" name="Grupo 3"/>
                <wp:cNvGraphicFramePr/>
                <a:graphic xmlns:a="http://schemas.openxmlformats.org/drawingml/2006/main">
                  <a:graphicData uri="http://schemas.microsoft.com/office/word/2010/wordprocessingGroup">
                    <wpg:wgp>
                      <wpg:cNvGrpSpPr/>
                      <wpg:grpSpPr>
                        <a:xfrm>
                          <a:off x="0" y="0"/>
                          <a:ext cx="4754880" cy="3285360"/>
                          <a:chOff x="0" y="0"/>
                          <a:chExt cx="4754880" cy="3285360"/>
                        </a:xfrm>
                      </wpg:grpSpPr>
                      <wps:wsp>
                        <wps:cNvPr id="8" name="Llamada de flecha hacia abajo 8"/>
                        <wps:cNvSpPr/>
                        <wps:spPr>
                          <a:xfrm>
                            <a:off x="0" y="0"/>
                            <a:ext cx="4702680" cy="1423080"/>
                          </a:xfrm>
                          <a:prstGeom prst="downArrowCallout">
                            <a:avLst>
                              <a:gd name="adj1" fmla="val 25000"/>
                              <a:gd name="adj2" fmla="val 25000"/>
                              <a:gd name="adj3" fmla="val 25000"/>
                              <a:gd name="adj4" fmla="val 64977"/>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wps:txbx>
                        <wps:bodyPr lIns="0" tIns="0" rIns="0" bIns="0" anchor="ctr">
                          <a:noAutofit/>
                        </wps:bodyPr>
                      </wps:wsp>
                      <wps:wsp>
                        <wps:cNvPr id="9" name="Tarjeta 5"/>
                        <wps:cNvSpPr/>
                        <wps:spPr>
                          <a:xfrm>
                            <a:off x="165600" y="2303280"/>
                            <a:ext cx="4589280" cy="982440"/>
                          </a:xfrm>
                          <a:prstGeom prst="flowChartPunchedCard">
                            <a:avLst/>
                          </a:prstGeom>
                          <a:noFill/>
                          <a:ln>
                            <a:solidFill>
                              <a:srgbClr val="43729D"/>
                            </a:solidFill>
                          </a:ln>
                        </wps:spPr>
                        <wps:style>
                          <a:lnRef idx="2">
                            <a:schemeClr val="accent1">
                              <a:shade val="50000"/>
                            </a:schemeClr>
                          </a:lnRef>
                          <a:fillRef idx="1">
                            <a:schemeClr val="accent1"/>
                          </a:fillRef>
                          <a:effectRef idx="0">
                            <a:schemeClr val="accent1"/>
                          </a:effectRef>
                          <a:fontRef idx="minor"/>
                        </wps:style>
                        <wps:txbx>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wps:txbx>
                        <wps:bodyPr lIns="0" tIns="0" rIns="0" bIns="0" anchor="ctr">
                          <a:noAutofit/>
                        </wps:bodyPr>
                      </wps:wsp>
                    </wpg:wgp>
                  </a:graphicData>
                </a:graphic>
              </wp:anchor>
            </w:drawing>
          </mc:Choice>
          <mc:Fallback>
            <w:pict>
              <v:group w14:anchorId="469C0AAD" id="Grupo 3" o:spid="_x0000_s1026" style="position:absolute;left:0;text-align:left;margin-left:56.9pt;margin-top:157.6pt;width:374.4pt;height:258.7pt;z-index:251664384;mso-wrap-distance-left:0;mso-wrap-distance-right:2.1pt;mso-wrap-distance-bottom:.8pt;mso-position-vertical-relative:page" coordsize="47548,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">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Llamada de flecha hacia abajo 8" o:spid="_x0000_s1027" type="#_x0000_t80" style="position:absolute;width:47026;height:142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" adj="14035,9166,16200,9983" filled="f" strokecolor="#43729d" strokeweight="1pt">
                  <v:textbox inset="0,0,0,0">
                    <w:txbxContent>
                      <w:p w14:paraId="1689B00A"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específicas del cultivo</w:t>
                        </w:r>
                      </w:p>
                      <w:p w14:paraId="3B332FE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acerca del manejo del cultivo</w:t>
                        </w:r>
                      </w:p>
                      <w:p w14:paraId="35C244BB"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Características del suelo</w:t>
                        </w:r>
                      </w:p>
                      <w:p w14:paraId="78D38529"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Datos meteorológicos diarios</w:t>
                        </w:r>
                      </w:p>
                    </w:txbxContent>
                  </v:textbox>
                </v:shape>
                <v:shapetype id="_x0000_t121" coordsize="21600,21600" o:spt="121" path="m4321,l21600,r,21600l,21600,,4338xe">
                  <v:stroke joinstyle="miter"/>
                  <v:path gradientshapeok="t" o:connecttype="rect" textboxrect="0,4321,21600,21600"/>
                </v:shapetype>
                <v:shape id="Tarjeta 5" o:spid="_x0000_s1028" type="#_x0000_t121" style="position:absolute;left:1656;top:23032;width:45892;height:9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" filled="f" strokecolor="#43729d" strokeweight="1pt">
                  <v:textbox inset="0,0,0,0">
                    <w:txbxContent>
                      <w:p w14:paraId="65A85DD1" w14:textId="77777777" w:rsidR="007C3032" w:rsidRDefault="007C3032" w:rsidP="000630B1">
                        <w:pPr>
                          <w:pStyle w:val="NormalWeb"/>
                          <w:spacing w:beforeAutospacing="0" w:after="0" w:afterAutospacing="0"/>
                          <w:rPr>
                            <w:sz w:val="18"/>
                          </w:rPr>
                        </w:pPr>
                        <w:r>
                          <w:rPr>
                            <w:rFonts w:ascii="Arial" w:hAnsi="Arial" w:cs="Arial"/>
                            <w:color w:val="222A35" w:themeColor="text2" w:themeShade="80"/>
                            <w:kern w:val="2"/>
                            <w:szCs w:val="36"/>
                          </w:rPr>
                          <w:t xml:space="preserve">            Predicción del crecimiento, rendimiento y eventos</w:t>
                        </w:r>
                      </w:p>
                      <w:p w14:paraId="072418BC"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Estrategias de productivas con propuestas económicas</w:t>
                        </w:r>
                      </w:p>
                      <w:p w14:paraId="0ED596CD" w14:textId="77777777" w:rsidR="007C3032" w:rsidRDefault="007C3032" w:rsidP="000630B1">
                        <w:pPr>
                          <w:pStyle w:val="NormalWeb"/>
                          <w:spacing w:beforeAutospacing="0" w:after="0" w:afterAutospacing="0"/>
                          <w:jc w:val="center"/>
                          <w:rPr>
                            <w:sz w:val="18"/>
                          </w:rPr>
                        </w:pPr>
                        <w:r>
                          <w:rPr>
                            <w:rFonts w:ascii="Arial" w:hAnsi="Arial" w:cs="Arial"/>
                            <w:color w:val="222A35" w:themeColor="text2" w:themeShade="80"/>
                            <w:kern w:val="2"/>
                            <w:szCs w:val="36"/>
                          </w:rPr>
                          <w:t>Simular experimentos del tipo “que ocurriría si…”</w:t>
                        </w:r>
                      </w:p>
                    </w:txbxContent>
                  </v:textbox>
                </v:shape>
                <w10:wrap anchory="page"/>
              </v:group>
            </w:pict>
          </mc:Fallback>
        </mc:AlternateContent>
      </w:r>
    </w:p>
    <w:p w14:paraId="365438DD" w14:textId="77777777" w:rsidR="000630B1" w:rsidRDefault="000630B1" w:rsidP="000630B1">
      <w:pPr>
        <w:spacing w:after="0" w:line="360" w:lineRule="auto"/>
        <w:jc w:val="center"/>
        <w:rPr>
          <w:rFonts w:ascii="Arial" w:hAnsi="Arial" w:cs="Arial"/>
          <w:color w:val="C00000"/>
          <w:sz w:val="24"/>
          <w:szCs w:val="24"/>
        </w:rPr>
      </w:pPr>
    </w:p>
    <w:p w14:paraId="58164FAC" w14:textId="77777777" w:rsidR="000630B1" w:rsidRDefault="000630B1" w:rsidP="000630B1">
      <w:pPr>
        <w:spacing w:after="0" w:line="360" w:lineRule="auto"/>
        <w:jc w:val="both"/>
        <w:rPr>
          <w:rFonts w:ascii="Arial" w:hAnsi="Arial" w:cs="Arial"/>
          <w:color w:val="C00000"/>
          <w:sz w:val="24"/>
          <w:szCs w:val="24"/>
        </w:rPr>
      </w:pPr>
    </w:p>
    <w:p w14:paraId="6AFB6E12" w14:textId="77777777" w:rsidR="000630B1" w:rsidRDefault="000630B1" w:rsidP="000630B1">
      <w:pPr>
        <w:spacing w:after="0" w:line="360" w:lineRule="auto"/>
        <w:jc w:val="both"/>
        <w:rPr>
          <w:rFonts w:ascii="Arial" w:hAnsi="Arial" w:cs="Arial"/>
          <w:color w:val="C00000"/>
          <w:sz w:val="24"/>
          <w:szCs w:val="24"/>
        </w:rPr>
      </w:pPr>
    </w:p>
    <w:p w14:paraId="4ABA9AA8" w14:textId="77777777" w:rsidR="000630B1" w:rsidRDefault="000630B1" w:rsidP="000630B1">
      <w:pPr>
        <w:spacing w:after="0" w:line="360" w:lineRule="auto"/>
        <w:jc w:val="both"/>
        <w:rPr>
          <w:rFonts w:ascii="Arial" w:hAnsi="Arial" w:cs="Arial"/>
          <w:color w:val="C00000"/>
          <w:sz w:val="24"/>
          <w:szCs w:val="24"/>
        </w:rPr>
      </w:pPr>
    </w:p>
    <w:p w14:paraId="73CBEB15" w14:textId="77777777" w:rsidR="000630B1" w:rsidRDefault="000630B1" w:rsidP="000630B1">
      <w:pPr>
        <w:spacing w:after="0" w:line="360" w:lineRule="auto"/>
        <w:jc w:val="both"/>
        <w:rPr>
          <w:rFonts w:ascii="Arial" w:hAnsi="Arial" w:cs="Arial"/>
          <w:color w:val="C00000"/>
          <w:sz w:val="24"/>
          <w:szCs w:val="24"/>
        </w:rPr>
      </w:pPr>
      <w:r>
        <w:rPr>
          <w:rFonts w:ascii="Arial" w:hAnsi="Arial" w:cs="Arial"/>
          <w:noProof/>
          <w:color w:val="C00000"/>
          <w:sz w:val="24"/>
          <w:szCs w:val="24"/>
          <w:lang w:eastAsia="es-ES"/>
        </w:rPr>
        <mc:AlternateContent>
          <mc:Choice Requires="wps">
            <w:drawing>
              <wp:anchor distT="0" distB="106045" distL="0" distR="10795" simplePos="0" relativeHeight="251665408" behindDoc="0" locked="0" layoutInCell="1" allowOverlap="1" wp14:anchorId="548F6DB6" wp14:editId="1D70BD28">
                <wp:simplePos x="0" y="0"/>
                <wp:positionH relativeFrom="column">
                  <wp:posOffset>1050290</wp:posOffset>
                </wp:positionH>
                <wp:positionV relativeFrom="paragraph">
                  <wp:posOffset>158750</wp:posOffset>
                </wp:positionV>
                <wp:extent cx="4123690" cy="656590"/>
                <wp:effectExtent l="6985" t="6985" r="6985" b="89535"/>
                <wp:wrapNone/>
                <wp:docPr id="4" name="Llamada rectangular redondeada 7"/>
                <wp:cNvGraphicFramePr/>
                <a:graphic xmlns:a="http://schemas.openxmlformats.org/drawingml/2006/main">
                  <a:graphicData uri="http://schemas.microsoft.com/office/word/2010/wordprocessingShape">
                    <wps:wsp>
                      <wps:cNvSpPr/>
                      <wps:spPr>
                        <a:xfrm>
                          <a:off x="0" y="0"/>
                          <a:ext cx="4123800" cy="656640"/>
                        </a:xfrm>
                        <a:prstGeom prst="wedgeRoundRectCallout">
                          <a:avLst>
                            <a:gd name="adj1" fmla="val -20833"/>
                            <a:gd name="adj2" fmla="val 62500"/>
                            <a:gd name="adj3" fmla="val 16667"/>
                          </a:avLst>
                        </a:prstGeom>
                        <a:solidFill>
                          <a:srgbClr val="FFFFFF"/>
                        </a:solidFill>
                        <a:ln>
                          <a:solidFill>
                            <a:srgbClr val="000000"/>
                          </a:solidFill>
                        </a:ln>
                      </wps:spPr>
                      <wps:style>
                        <a:lnRef idx="2">
                          <a:schemeClr val="dk1"/>
                        </a:lnRef>
                        <a:fillRef idx="1">
                          <a:schemeClr val="lt1"/>
                        </a:fillRef>
                        <a:effectRef idx="0">
                          <a:schemeClr val="dk1"/>
                        </a:effectRef>
                        <a:fontRef idx="minor"/>
                      </wps:style>
                      <wps:txbx>
                        <w:txbxContent>
                          <w:p w14:paraId="3306FA49" w14:textId="77777777" w:rsidR="007C3032" w:rsidRDefault="007C3032" w:rsidP="000630B1">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wps:txbx>
                      <wps:bodyPr anchor="ctr">
                        <a:prstTxWarp prst="textNoShape">
                          <a:avLst/>
                        </a:prstTxWarp>
                        <a:noAutofit/>
                      </wps:bodyPr>
                    </wps:wsp>
                  </a:graphicData>
                </a:graphic>
              </wp:anchor>
            </w:drawing>
          </mc:Choice>
          <mc:Fallback>
            <w:pict>
              <v:shapetype w14:anchorId="548F6DB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Llamada rectangular redondeada 7" o:spid="_x0000_s1029" type="#_x0000_t62" style="position:absolute;left:0;text-align:left;margin-left:82.7pt;margin-top:12.5pt;width:324.7pt;height:51.7pt;z-index:251665408;visibility:visible;mso-wrap-style:square;mso-wrap-distance-left:0;mso-wrap-distance-top:0;mso-wrap-distance-right:.85pt;mso-wrap-distance-bottom:8.3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" adj="6300,24300" strokeweight="1pt">
                <v:textbox>
                  <w:txbxContent>
                    <w:p w14:paraId="3306FA49" w14:textId="77777777" w:rsidR="007C3032" w:rsidRDefault="007C3032" w:rsidP="000630B1">
                      <w:pPr>
                        <w:pStyle w:val="Contenidodelmarco"/>
                        <w:jc w:val="center"/>
                        <w:rPr>
                          <w:rFonts w:ascii="Arial" w:hAnsi="Arial" w:cs="Arial"/>
                          <w:b/>
                          <w:sz w:val="24"/>
                          <w:szCs w:val="24"/>
                        </w:rPr>
                      </w:pPr>
                      <w:r>
                        <w:rPr>
                          <w:rFonts w:ascii="Arial" w:hAnsi="Arial" w:cs="Arial"/>
                          <w:b/>
                          <w:color w:val="000000"/>
                          <w:sz w:val="24"/>
                          <w:szCs w:val="24"/>
                        </w:rPr>
                        <w:t>Modelación de cultivos</w:t>
                      </w:r>
                    </w:p>
                  </w:txbxContent>
                </v:textbox>
              </v:shape>
            </w:pict>
          </mc:Fallback>
        </mc:AlternateContent>
      </w:r>
    </w:p>
    <w:p w14:paraId="71066C7A" w14:textId="77777777" w:rsidR="000630B1" w:rsidRDefault="000630B1" w:rsidP="000630B1">
      <w:pPr>
        <w:spacing w:after="0" w:line="360" w:lineRule="auto"/>
        <w:jc w:val="both"/>
        <w:rPr>
          <w:rFonts w:ascii="Arial" w:hAnsi="Arial" w:cs="Arial"/>
          <w:color w:val="C00000"/>
          <w:sz w:val="24"/>
          <w:szCs w:val="24"/>
        </w:rPr>
      </w:pPr>
    </w:p>
    <w:p w14:paraId="1E7C7B3C" w14:textId="77777777" w:rsidR="000630B1" w:rsidRDefault="000630B1" w:rsidP="000630B1">
      <w:pPr>
        <w:spacing w:after="0" w:line="360" w:lineRule="auto"/>
        <w:jc w:val="both"/>
        <w:rPr>
          <w:rFonts w:ascii="Arial" w:hAnsi="Arial" w:cs="Arial"/>
          <w:color w:val="C00000"/>
          <w:sz w:val="24"/>
          <w:szCs w:val="24"/>
        </w:rPr>
      </w:pPr>
    </w:p>
    <w:p w14:paraId="28906A77" w14:textId="77777777" w:rsidR="000630B1" w:rsidRDefault="000630B1" w:rsidP="000630B1">
      <w:pPr>
        <w:spacing w:after="0" w:line="360" w:lineRule="auto"/>
        <w:jc w:val="both"/>
        <w:rPr>
          <w:rFonts w:ascii="Arial" w:hAnsi="Arial" w:cs="Arial"/>
          <w:color w:val="C00000"/>
          <w:sz w:val="24"/>
          <w:szCs w:val="24"/>
        </w:rPr>
      </w:pPr>
    </w:p>
    <w:p w14:paraId="47511D83" w14:textId="77777777" w:rsidR="000630B1" w:rsidRDefault="000630B1" w:rsidP="000630B1">
      <w:pPr>
        <w:spacing w:after="0" w:line="360" w:lineRule="auto"/>
        <w:jc w:val="both"/>
        <w:rPr>
          <w:rFonts w:ascii="Arial" w:hAnsi="Arial" w:cs="Arial"/>
          <w:color w:val="C00000"/>
          <w:sz w:val="24"/>
          <w:szCs w:val="24"/>
        </w:rPr>
      </w:pPr>
    </w:p>
    <w:p w14:paraId="0DE612F8" w14:textId="77777777" w:rsidR="000630B1" w:rsidRDefault="000630B1" w:rsidP="000630B1">
      <w:pPr>
        <w:spacing w:after="0" w:line="360" w:lineRule="auto"/>
        <w:jc w:val="both"/>
        <w:rPr>
          <w:rFonts w:ascii="Arial" w:hAnsi="Arial" w:cs="Arial"/>
          <w:color w:val="C00000"/>
          <w:sz w:val="24"/>
          <w:szCs w:val="24"/>
        </w:rPr>
      </w:pPr>
    </w:p>
    <w:p w14:paraId="4E72688B" w14:textId="77777777" w:rsidR="000630B1" w:rsidRDefault="000630B1" w:rsidP="000630B1">
      <w:pPr>
        <w:spacing w:after="0" w:line="360" w:lineRule="auto"/>
        <w:jc w:val="both"/>
        <w:rPr>
          <w:rFonts w:ascii="Arial" w:hAnsi="Arial" w:cs="Arial"/>
          <w:color w:val="C00000"/>
          <w:sz w:val="24"/>
          <w:szCs w:val="24"/>
        </w:rPr>
      </w:pPr>
    </w:p>
    <w:p w14:paraId="16217C08" w14:textId="77777777" w:rsidR="000630B1" w:rsidRDefault="000630B1" w:rsidP="000630B1">
      <w:pPr>
        <w:spacing w:after="0" w:line="360" w:lineRule="auto"/>
        <w:jc w:val="both"/>
        <w:rPr>
          <w:rFonts w:ascii="Arial" w:hAnsi="Arial" w:cs="Arial"/>
          <w:color w:val="C00000"/>
          <w:sz w:val="24"/>
          <w:szCs w:val="24"/>
        </w:rPr>
      </w:pPr>
    </w:p>
    <w:p w14:paraId="1DA00916"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Figura 1: Estructura de DSSAT </w:t>
      </w:r>
      <w:r>
        <w:fldChar w:fldCharType="begin"/>
      </w:r>
      <w:r>
        <w:rPr>
          <w:rFonts w:ascii="Arial" w:hAnsi="Arial" w:cs="Arial"/>
          <w:sz w:val="24"/>
          <w:szCs w:val="24"/>
        </w:rPr>
        <w:instrText>ADDIN ZOTERO_ITEM CSL_CITATION {"citationID":"jNagCVwQ","properties":{"formattedCitation":"(Jones et al., 2003b)","plainCitation":"(Jones et al., 2003b)","dontUpdate":true,"noteIndex":0},"citationItems":[{"id":"UJQ2oGUC/GNUv5lDz","uris":["http://zotero.org/users/local/4iXk4cSJ/items/NZE2VP7L"],"itemData":{"id":57,"type":"article-journal","title":"The DSSAT cropping model","container-title":"European Journal of Agronomy","page":"235-265","volume":"18","author":[{"family":"Jones","given":"JW"},{"family":"Hoogenboom","given":"G"},{"family":"Porter","given":"CH"},{"family":"Boote","given":"KJ"},{"family":"Batchelor","given":"WD"},{"family":"Hunt","given":"LA"},{"family":"Wilkens","given":"PW"},{"family":"Singh","given":"U"},{"family":"Gijsman","given":"AJ"},{"family":"Ritchie","given":"JT"}],"issued":{"date-parts":[["2003"]]}}}],"schema":"https://github.com/citation-style-language/schema/raw/master/csl-citation.json"}</w:instrText>
      </w:r>
      <w:r>
        <w:rPr>
          <w:rFonts w:ascii="Arial" w:hAnsi="Arial" w:cs="Arial"/>
          <w:sz w:val="24"/>
          <w:szCs w:val="24"/>
        </w:rPr>
        <w:fldChar w:fldCharType="separate"/>
      </w:r>
      <w:r>
        <w:rPr>
          <w:rFonts w:ascii="Arial" w:hAnsi="Arial" w:cs="Arial"/>
          <w:sz w:val="24"/>
        </w:rPr>
        <w:t xml:space="preserve">(Jones </w:t>
      </w:r>
      <w:r>
        <w:rPr>
          <w:rFonts w:ascii="Arial" w:hAnsi="Arial" w:cs="Arial"/>
          <w:i/>
          <w:sz w:val="24"/>
        </w:rPr>
        <w:t>et al</w:t>
      </w:r>
      <w:r>
        <w:rPr>
          <w:rFonts w:ascii="Arial" w:hAnsi="Arial" w:cs="Arial"/>
          <w:sz w:val="24"/>
        </w:rPr>
        <w:t>., 2003)</w:t>
      </w:r>
      <w:r>
        <w:rPr>
          <w:rFonts w:ascii="Arial" w:hAnsi="Arial" w:cs="Arial"/>
          <w:sz w:val="24"/>
          <w:szCs w:val="24"/>
        </w:rPr>
        <w:fldChar w:fldCharType="end"/>
      </w:r>
    </w:p>
    <w:p w14:paraId="1F896417"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Fuente: Elaboración propia</w:t>
      </w:r>
    </w:p>
    <w:p w14:paraId="74D18AB0" w14:textId="77777777" w:rsidR="000630B1" w:rsidRDefault="000630B1" w:rsidP="000630B1">
      <w:pPr>
        <w:spacing w:after="0" w:line="360" w:lineRule="auto"/>
        <w:jc w:val="both"/>
        <w:rPr>
          <w:rFonts w:ascii="Arial" w:hAnsi="Arial" w:cs="Arial"/>
          <w:color w:val="C00000"/>
          <w:sz w:val="24"/>
          <w:szCs w:val="24"/>
        </w:rPr>
      </w:pPr>
    </w:p>
    <w:p w14:paraId="25C274F4"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Los datos de los experimentos se almacenan en los archivos X, A y T.  El archivo X almacena datos de las condiciones de campo, los tratamientos experimentales y las opciones de simulación. La mayor parte de este fichero son los datos de manejo de la producción de cultivos, separados en varias secciones; por ejemplo, cultivo de arroz, detalle de siembra, método de riego, aplicación de fertilizantes orgánicos e inorgánicos, labranza, cosecha y secciones de aplicación química.</w:t>
      </w:r>
    </w:p>
    <w:p w14:paraId="300D8796" w14:textId="77777777" w:rsidR="000630B1" w:rsidRDefault="000630B1" w:rsidP="000630B1">
      <w:pPr>
        <w:spacing w:after="0" w:line="360" w:lineRule="auto"/>
        <w:jc w:val="both"/>
        <w:rPr>
          <w:rFonts w:ascii="Arial" w:hAnsi="Arial" w:cs="Arial"/>
          <w:sz w:val="24"/>
          <w:szCs w:val="24"/>
        </w:rPr>
      </w:pPr>
    </w:p>
    <w:p w14:paraId="12176242"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En la sección de opciones de simulación se define la fecha de inicio de simulación, las opciones para activar los módulos de agua y nitrógeno, método de cálculo para el clima, balance hídrico y fotosíntesis. La salida también se puede enmarcar en la sección de opciones de simulación. </w:t>
      </w:r>
    </w:p>
    <w:p w14:paraId="26212C82" w14:textId="77777777" w:rsidR="000630B1" w:rsidRDefault="000630B1" w:rsidP="000630B1">
      <w:pPr>
        <w:spacing w:after="0" w:line="360" w:lineRule="auto"/>
        <w:rPr>
          <w:rFonts w:ascii="Arial" w:hAnsi="Arial" w:cs="Arial"/>
          <w:sz w:val="24"/>
          <w:szCs w:val="24"/>
        </w:rPr>
      </w:pPr>
    </w:p>
    <w:p w14:paraId="61B54959"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 xml:space="preserve">Los archivos A y T almacenan los valores observados en el experimento relacionados con la fenología del cultivo y los procesos de crecimiento, los que se compararán con los valores simulados y se utilizarán, además, para estimar los coeficientes genéticos. </w:t>
      </w:r>
    </w:p>
    <w:p w14:paraId="02CBB82C" w14:textId="77777777" w:rsidR="000630B1" w:rsidRDefault="000630B1" w:rsidP="000630B1">
      <w:pPr>
        <w:spacing w:after="0" w:line="360" w:lineRule="auto"/>
        <w:rPr>
          <w:rFonts w:ascii="Arial" w:hAnsi="Arial" w:cs="Arial"/>
          <w:sz w:val="24"/>
          <w:szCs w:val="24"/>
        </w:rPr>
      </w:pPr>
    </w:p>
    <w:p w14:paraId="5C65257B"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t>El archivo A almacena los valores de las observaciones seleccionadas de cada tratamiento en el experimento en la cosecha, mientras que el fichero T almacena los valores de las series de tiempo en una etapa fenológica determinada, observada durante la temporada de crecimiento de cada tratamiento.</w:t>
      </w:r>
    </w:p>
    <w:p w14:paraId="2F5BD40D" w14:textId="77777777" w:rsidR="000630B1" w:rsidRDefault="000630B1" w:rsidP="000630B1"/>
    <w:p w14:paraId="70E2C492" w14:textId="77777777" w:rsidR="000630B1" w:rsidRDefault="000630B1" w:rsidP="000630B1">
      <w:pPr>
        <w:spacing w:after="0" w:line="360" w:lineRule="auto"/>
        <w:jc w:val="both"/>
        <w:rPr>
          <w:rFonts w:ascii="Arial" w:hAnsi="Arial" w:cs="Arial"/>
          <w:sz w:val="24"/>
          <w:szCs w:val="24"/>
        </w:rPr>
      </w:pPr>
      <w:r>
        <w:rPr>
          <w:rFonts w:ascii="Arial" w:hAnsi="Arial" w:cs="Arial"/>
          <w:sz w:val="24"/>
          <w:szCs w:val="24"/>
        </w:rPr>
        <w:lastRenderedPageBreak/>
        <w:t xml:space="preserve">La utilización de estos modelos permite predecir las fases fenológicas, la demanda de agua y con ello, optimizar este recurso para aumentar la eficiencia y el rendimiento de los cultivos. Los modelos de simulación matemáticos son representaciones abstractas de un sistema complejo mediante ecuaciones matemáticas que permiten describir, comprender con precisión desde una perspectiva científica; lo ante expuesto demuestran la importancia de generar modelos matemáticos que permitan estimar los rendimientos con la aplicación de bioproductos donde se integren cultivo-bioproducto-agua-ambiente. </w:t>
      </w:r>
    </w:p>
    <w:p w14:paraId="266F358C" w14:textId="301FD0EC" w:rsidR="00F725CE" w:rsidRPr="00A6097C" w:rsidRDefault="00F725CE" w:rsidP="00A6097C">
      <w:pPr>
        <w:autoSpaceDE w:val="0"/>
        <w:autoSpaceDN w:val="0"/>
        <w:adjustRightInd w:val="0"/>
        <w:spacing w:after="0" w:line="360" w:lineRule="auto"/>
        <w:jc w:val="both"/>
        <w:rPr>
          <w:rFonts w:ascii="Arial" w:hAnsi="Arial" w:cs="Arial"/>
          <w:sz w:val="24"/>
          <w:szCs w:val="24"/>
        </w:rPr>
      </w:pPr>
      <w:r w:rsidRPr="00A6097C">
        <w:rPr>
          <w:rFonts w:ascii="Arial" w:hAnsi="Arial" w:cs="Arial"/>
          <w:sz w:val="24"/>
          <w:szCs w:val="24"/>
        </w:rPr>
        <w:t xml:space="preserve"> </w:t>
      </w:r>
    </w:p>
    <w:p w14:paraId="196BD8F0" w14:textId="77777777" w:rsidR="00252DF7" w:rsidRDefault="00252DF7">
      <w:pPr>
        <w:rPr>
          <w:rFonts w:ascii="Arial" w:eastAsiaTheme="majorEastAsia" w:hAnsi="Arial" w:cstheme="majorBidi"/>
          <w:b/>
          <w:bCs/>
          <w:sz w:val="28"/>
          <w:szCs w:val="28"/>
        </w:rPr>
      </w:pPr>
      <w:r>
        <w:br w:type="page"/>
      </w:r>
    </w:p>
    <w:p w14:paraId="189A6978" w14:textId="5F4FF4B6" w:rsidR="00A16170" w:rsidRPr="001877EF" w:rsidRDefault="00A16170" w:rsidP="001877EF">
      <w:pPr>
        <w:pStyle w:val="Ttulo1"/>
      </w:pPr>
      <w:r w:rsidRPr="001877EF">
        <w:lastRenderedPageBreak/>
        <w:t>CAPÍTULO 2. MATERIALES Y MÉTODOS</w:t>
      </w:r>
    </w:p>
    <w:p w14:paraId="5B86D535" w14:textId="4CD27919" w:rsidR="009C09B4" w:rsidRDefault="009C09B4" w:rsidP="009C09B4">
      <w:pPr>
        <w:spacing w:before="120" w:after="0" w:line="360" w:lineRule="auto"/>
        <w:jc w:val="both"/>
        <w:rPr>
          <w:rFonts w:ascii="Arial" w:hAnsi="Arial" w:cs="Arial"/>
          <w:sz w:val="24"/>
          <w:szCs w:val="24"/>
        </w:rPr>
      </w:pPr>
      <w:r>
        <w:rPr>
          <w:rFonts w:ascii="Arial" w:hAnsi="Arial" w:cs="Arial"/>
          <w:sz w:val="24"/>
          <w:szCs w:val="24"/>
        </w:rPr>
        <w:t xml:space="preserve">En la investigación se utilizaron dos experimentos, el primero en </w:t>
      </w:r>
      <w:r w:rsidRPr="009C09B4">
        <w:rPr>
          <w:rFonts w:ascii="Arial" w:hAnsi="Arial" w:cs="Arial"/>
          <w:sz w:val="24"/>
          <w:szCs w:val="24"/>
        </w:rPr>
        <w:t>la Finca “El Mulato”, ubicada a 23°00'34.6"LN y 82°08'20.5"LO, a una altura de 122 m.s.n.m., que pertenece a la CCS Orlando Cuellar del Municipio San José de las La</w:t>
      </w:r>
      <w:r>
        <w:rPr>
          <w:rFonts w:ascii="Arial" w:hAnsi="Arial" w:cs="Arial"/>
          <w:sz w:val="24"/>
          <w:szCs w:val="24"/>
        </w:rPr>
        <w:t xml:space="preserve">jas, de la provincia Mayabeque. El </w:t>
      </w:r>
      <w:r w:rsidR="00EE6312">
        <w:rPr>
          <w:rFonts w:ascii="Arial" w:hAnsi="Arial" w:cs="Arial"/>
          <w:sz w:val="24"/>
          <w:szCs w:val="24"/>
        </w:rPr>
        <w:t>experimento fue</w:t>
      </w:r>
      <w:r>
        <w:rPr>
          <w:rFonts w:ascii="Arial" w:hAnsi="Arial" w:cs="Arial"/>
          <w:sz w:val="24"/>
          <w:szCs w:val="24"/>
        </w:rPr>
        <w:t xml:space="preserve"> sembrado </w:t>
      </w:r>
      <w:r w:rsidRPr="00EE6312">
        <w:rPr>
          <w:rFonts w:ascii="Arial" w:hAnsi="Arial" w:cs="Arial"/>
          <w:sz w:val="24"/>
          <w:szCs w:val="24"/>
        </w:rPr>
        <w:t>en el período abril–julio de 2016, con 25,59 ± 1,81°C de temperatura promedio, 77,82 ± 6,40 % de humedad relativa y 620,7 mm de precipitaciones acumuladas</w:t>
      </w:r>
      <w:r w:rsidR="00EE6312">
        <w:rPr>
          <w:rFonts w:ascii="Arial" w:hAnsi="Arial" w:cs="Arial"/>
          <w:sz w:val="24"/>
          <w:szCs w:val="24"/>
        </w:rPr>
        <w:t>.</w:t>
      </w:r>
    </w:p>
    <w:p w14:paraId="649185B7" w14:textId="713ED601" w:rsidR="00386826" w:rsidRPr="007171E7" w:rsidRDefault="00386826" w:rsidP="00386826">
      <w:pPr>
        <w:autoSpaceDE w:val="0"/>
        <w:autoSpaceDN w:val="0"/>
        <w:adjustRightInd w:val="0"/>
        <w:spacing w:after="0" w:line="240" w:lineRule="auto"/>
        <w:jc w:val="both"/>
        <w:rPr>
          <w:rFonts w:ascii="Arial" w:hAnsi="Arial" w:cs="Arial"/>
          <w:sz w:val="24"/>
          <w:szCs w:val="24"/>
        </w:rPr>
      </w:pPr>
      <w:r w:rsidRPr="007171E7">
        <w:rPr>
          <w:rFonts w:ascii="Arial" w:hAnsi="Arial" w:cs="Arial"/>
          <w:sz w:val="24"/>
          <w:szCs w:val="24"/>
        </w:rPr>
        <w:t xml:space="preserve">Tabla </w:t>
      </w:r>
      <w:r w:rsidR="005D6EB7">
        <w:rPr>
          <w:rFonts w:ascii="Arial" w:hAnsi="Arial" w:cs="Arial"/>
          <w:sz w:val="24"/>
          <w:szCs w:val="24"/>
        </w:rPr>
        <w:t>1.</w:t>
      </w:r>
      <w:r w:rsidRPr="007171E7">
        <w:rPr>
          <w:rFonts w:ascii="Arial" w:hAnsi="Arial" w:cs="Arial"/>
          <w:sz w:val="24"/>
          <w:szCs w:val="24"/>
        </w:rPr>
        <w:t xml:space="preserve"> Fechas de siembra utilizadas en los experimentos</w:t>
      </w:r>
      <w:r>
        <w:rPr>
          <w:rFonts w:ascii="Arial" w:hAnsi="Arial" w:cs="Arial"/>
          <w:sz w:val="24"/>
          <w:szCs w:val="24"/>
        </w:rPr>
        <w:t xml:space="preserve"> para la calibración del cultivar P-7928</w:t>
      </w:r>
    </w:p>
    <w:tbl>
      <w:tblPr>
        <w:tblStyle w:val="Tabladecuadrcula5oscura-nfasis4"/>
        <w:tblW w:w="0" w:type="auto"/>
        <w:jc w:val="center"/>
        <w:tblLook w:val="04A0" w:firstRow="1" w:lastRow="0" w:firstColumn="1" w:lastColumn="0" w:noHBand="0" w:noVBand="1"/>
      </w:tblPr>
      <w:tblGrid>
        <w:gridCol w:w="657"/>
        <w:gridCol w:w="1181"/>
        <w:gridCol w:w="1185"/>
        <w:gridCol w:w="1849"/>
      </w:tblGrid>
      <w:tr w:rsidR="00386826" w14:paraId="75071CFF" w14:textId="77777777" w:rsidTr="0038682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tcPr>
          <w:p w14:paraId="3DC3AE53" w14:textId="77777777" w:rsidR="00386826" w:rsidRPr="005D6EB7" w:rsidRDefault="00386826" w:rsidP="005D6EB7">
            <w:r w:rsidRPr="005D6EB7">
              <w:t>No</w:t>
            </w:r>
          </w:p>
        </w:tc>
        <w:tc>
          <w:tcPr>
            <w:tcW w:w="1181" w:type="dxa"/>
          </w:tcPr>
          <w:p w14:paraId="17036EC3"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Día</w:t>
            </w:r>
          </w:p>
        </w:tc>
        <w:tc>
          <w:tcPr>
            <w:tcW w:w="986" w:type="dxa"/>
          </w:tcPr>
          <w:p w14:paraId="79BCE2B0"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Mes</w:t>
            </w:r>
          </w:p>
        </w:tc>
        <w:tc>
          <w:tcPr>
            <w:tcW w:w="1849" w:type="dxa"/>
          </w:tcPr>
          <w:p w14:paraId="5E516E73" w14:textId="77777777" w:rsidR="00386826" w:rsidRPr="005D6EB7" w:rsidRDefault="00386826" w:rsidP="005D6EB7">
            <w:pPr>
              <w:cnfStyle w:val="100000000000" w:firstRow="1" w:lastRow="0" w:firstColumn="0" w:lastColumn="0" w:oddVBand="0" w:evenVBand="0" w:oddHBand="0" w:evenHBand="0" w:firstRowFirstColumn="0" w:firstRowLastColumn="0" w:lastRowFirstColumn="0" w:lastRowLastColumn="0"/>
            </w:pPr>
            <w:r w:rsidRPr="005D6EB7">
              <w:t>Año</w:t>
            </w:r>
          </w:p>
        </w:tc>
      </w:tr>
      <w:tr w:rsidR="00386826" w14:paraId="081300FB" w14:textId="77777777" w:rsidTr="0038682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57" w:type="dxa"/>
            <w:vAlign w:val="center"/>
          </w:tcPr>
          <w:p w14:paraId="2CF06011" w14:textId="77777777" w:rsidR="00386826" w:rsidRPr="005D6EB7" w:rsidRDefault="00386826" w:rsidP="005D6EB7">
            <w:r w:rsidRPr="005D6EB7">
              <w:t>1</w:t>
            </w:r>
          </w:p>
        </w:tc>
        <w:tc>
          <w:tcPr>
            <w:tcW w:w="1181" w:type="dxa"/>
            <w:vAlign w:val="center"/>
          </w:tcPr>
          <w:p w14:paraId="1CA248B7" w14:textId="169863B5" w:rsidR="00386826" w:rsidRPr="005D6EB7" w:rsidRDefault="00386826" w:rsidP="005D6EB7">
            <w:pPr>
              <w:cnfStyle w:val="000000100000" w:firstRow="0" w:lastRow="0" w:firstColumn="0" w:lastColumn="0" w:oddVBand="0" w:evenVBand="0" w:oddHBand="1" w:evenHBand="0" w:firstRowFirstColumn="0" w:firstRowLastColumn="0" w:lastRowFirstColumn="0" w:lastRowLastColumn="0"/>
            </w:pPr>
            <w:r w:rsidRPr="005D6EB7">
              <w:t>14 (104)</w:t>
            </w:r>
          </w:p>
        </w:tc>
        <w:tc>
          <w:tcPr>
            <w:tcW w:w="986" w:type="dxa"/>
            <w:vAlign w:val="center"/>
          </w:tcPr>
          <w:p w14:paraId="18CC5479" w14:textId="77777777" w:rsidR="00386826" w:rsidRPr="005D6EB7" w:rsidRDefault="00386826" w:rsidP="005D6EB7">
            <w:pPr>
              <w:cnfStyle w:val="000000100000" w:firstRow="0" w:lastRow="0" w:firstColumn="0" w:lastColumn="0" w:oddVBand="0" w:evenVBand="0" w:oddHBand="1" w:evenHBand="0" w:firstRowFirstColumn="0" w:firstRowLastColumn="0" w:lastRowFirstColumn="0" w:lastRowLastColumn="0"/>
            </w:pPr>
            <w:r w:rsidRPr="005D6EB7">
              <w:t>noviembre</w:t>
            </w:r>
          </w:p>
        </w:tc>
        <w:tc>
          <w:tcPr>
            <w:tcW w:w="1849" w:type="dxa"/>
            <w:vAlign w:val="center"/>
          </w:tcPr>
          <w:p w14:paraId="71D15E13" w14:textId="5AB604F0" w:rsidR="00386826" w:rsidRPr="005D6EB7" w:rsidRDefault="00B73FAE" w:rsidP="005D6EB7">
            <w:pPr>
              <w:cnfStyle w:val="000000100000" w:firstRow="0" w:lastRow="0" w:firstColumn="0" w:lastColumn="0" w:oddVBand="0" w:evenVBand="0" w:oddHBand="1" w:evenHBand="0" w:firstRowFirstColumn="0" w:firstRowLastColumn="0" w:lastRowFirstColumn="0" w:lastRowLastColumn="0"/>
            </w:pPr>
            <w:r>
              <w:t>2016</w:t>
            </w:r>
          </w:p>
        </w:tc>
      </w:tr>
      <w:tr w:rsidR="00386826" w14:paraId="1BA07DAA" w14:textId="77777777" w:rsidTr="00386826">
        <w:trPr>
          <w:jc w:val="center"/>
        </w:trPr>
        <w:tc>
          <w:tcPr>
            <w:cnfStyle w:val="001000000000" w:firstRow="0" w:lastRow="0" w:firstColumn="1" w:lastColumn="0" w:oddVBand="0" w:evenVBand="0" w:oddHBand="0" w:evenHBand="0" w:firstRowFirstColumn="0" w:firstRowLastColumn="0" w:lastRowFirstColumn="0" w:lastRowLastColumn="0"/>
            <w:tcW w:w="657" w:type="dxa"/>
            <w:vAlign w:val="center"/>
          </w:tcPr>
          <w:p w14:paraId="5C195D3F" w14:textId="77777777" w:rsidR="00386826" w:rsidRPr="005D6EB7" w:rsidRDefault="00386826" w:rsidP="005D6EB7">
            <w:r w:rsidRPr="005D6EB7">
              <w:t>2</w:t>
            </w:r>
          </w:p>
        </w:tc>
        <w:tc>
          <w:tcPr>
            <w:tcW w:w="1181" w:type="dxa"/>
            <w:vAlign w:val="center"/>
          </w:tcPr>
          <w:p w14:paraId="541B1F57" w14:textId="77777777" w:rsidR="00386826" w:rsidRPr="005D6EB7" w:rsidRDefault="00386826" w:rsidP="005D6EB7">
            <w:pPr>
              <w:cnfStyle w:val="000000000000" w:firstRow="0" w:lastRow="0" w:firstColumn="0" w:lastColumn="0" w:oddVBand="0" w:evenVBand="0" w:oddHBand="0" w:evenHBand="0" w:firstRowFirstColumn="0" w:firstRowLastColumn="0" w:lastRowFirstColumn="0" w:lastRowLastColumn="0"/>
            </w:pPr>
            <w:r w:rsidRPr="005D6EB7">
              <w:t>12</w:t>
            </w:r>
          </w:p>
        </w:tc>
        <w:tc>
          <w:tcPr>
            <w:tcW w:w="986" w:type="dxa"/>
            <w:vAlign w:val="center"/>
          </w:tcPr>
          <w:p w14:paraId="2F8E2433" w14:textId="77777777" w:rsidR="00386826" w:rsidRPr="005D6EB7" w:rsidRDefault="00386826" w:rsidP="005D6EB7">
            <w:pPr>
              <w:cnfStyle w:val="000000000000" w:firstRow="0" w:lastRow="0" w:firstColumn="0" w:lastColumn="0" w:oddVBand="0" w:evenVBand="0" w:oddHBand="0" w:evenHBand="0" w:firstRowFirstColumn="0" w:firstRowLastColumn="0" w:lastRowFirstColumn="0" w:lastRowLastColumn="0"/>
            </w:pPr>
            <w:r w:rsidRPr="005D6EB7">
              <w:t>junio</w:t>
            </w:r>
          </w:p>
        </w:tc>
        <w:tc>
          <w:tcPr>
            <w:tcW w:w="1849" w:type="dxa"/>
            <w:vAlign w:val="center"/>
          </w:tcPr>
          <w:p w14:paraId="7B0F78F6" w14:textId="17B2F42A" w:rsidR="00386826" w:rsidRPr="005D6EB7" w:rsidRDefault="00B73FAE" w:rsidP="005D6EB7">
            <w:pPr>
              <w:cnfStyle w:val="000000000000" w:firstRow="0" w:lastRow="0" w:firstColumn="0" w:lastColumn="0" w:oddVBand="0" w:evenVBand="0" w:oddHBand="0" w:evenHBand="0" w:firstRowFirstColumn="0" w:firstRowLastColumn="0" w:lastRowFirstColumn="0" w:lastRowLastColumn="0"/>
            </w:pPr>
            <w:r>
              <w:t>2016</w:t>
            </w:r>
            <w:bookmarkStart w:id="22" w:name="_GoBack"/>
            <w:bookmarkEnd w:id="22"/>
          </w:p>
        </w:tc>
      </w:tr>
    </w:tbl>
    <w:p w14:paraId="386061B7" w14:textId="77777777" w:rsidR="00386826" w:rsidRDefault="00386826" w:rsidP="009C09B4">
      <w:pPr>
        <w:spacing w:before="120" w:after="0" w:line="360" w:lineRule="auto"/>
        <w:jc w:val="both"/>
        <w:rPr>
          <w:rFonts w:ascii="Arial" w:hAnsi="Arial" w:cs="Arial"/>
          <w:sz w:val="24"/>
          <w:szCs w:val="24"/>
        </w:rPr>
      </w:pPr>
    </w:p>
    <w:p w14:paraId="34F4657D" w14:textId="71CEF4B7" w:rsidR="00672A69" w:rsidRPr="00672A69" w:rsidRDefault="00252DF7" w:rsidP="005D6EB7">
      <w:pPr>
        <w:autoSpaceDE w:val="0"/>
        <w:autoSpaceDN w:val="0"/>
        <w:adjustRightInd w:val="0"/>
        <w:spacing w:after="0" w:line="480" w:lineRule="auto"/>
        <w:jc w:val="both"/>
      </w:pPr>
      <w:r w:rsidRPr="00672A69">
        <w:rPr>
          <w:rFonts w:ascii="Arial" w:hAnsi="Arial" w:cs="Arial"/>
          <w:color w:val="000000" w:themeColor="text1"/>
          <w:sz w:val="24"/>
          <w:szCs w:val="24"/>
          <w:highlight w:val="yellow"/>
        </w:rPr>
        <w:t xml:space="preserve">El segundo experimento utilizado </w:t>
      </w:r>
      <w:r w:rsidR="00672A69" w:rsidRPr="00672A69">
        <w:rPr>
          <w:highlight w:val="yellow"/>
        </w:rPr>
        <w:t>se desarrolló en áreas de la Granja San Blas (Finca de semillas) perteneciente a la Empresa Agropecuaria del MININT, ubicada en la localidad de Cerca Blanca del municipio Bayamo en Granma entre los días 11 de abril al 26 de julio del 2016.</w:t>
      </w:r>
    </w:p>
    <w:p w14:paraId="44FC614A" w14:textId="51F67B83" w:rsidR="00672A69" w:rsidRDefault="00672A69" w:rsidP="005D6EB7">
      <w:pPr>
        <w:autoSpaceDE w:val="0"/>
        <w:autoSpaceDN w:val="0"/>
        <w:adjustRightInd w:val="0"/>
        <w:spacing w:after="0" w:line="480" w:lineRule="auto"/>
        <w:jc w:val="both"/>
        <w:rPr>
          <w:rFonts w:ascii="Arial" w:hAnsi="Arial" w:cs="Arial"/>
          <w:color w:val="000000" w:themeColor="text1"/>
          <w:sz w:val="24"/>
          <w:szCs w:val="24"/>
        </w:rPr>
      </w:pPr>
    </w:p>
    <w:p w14:paraId="61D8DB0E" w14:textId="1B86BDC3" w:rsidR="005D6EB7" w:rsidRDefault="00252DF7" w:rsidP="005D6EB7">
      <w:pPr>
        <w:autoSpaceDE w:val="0"/>
        <w:autoSpaceDN w:val="0"/>
        <w:adjustRightInd w:val="0"/>
        <w:spacing w:after="0" w:line="480" w:lineRule="auto"/>
        <w:jc w:val="both"/>
      </w:pPr>
      <w:r>
        <w:rPr>
          <w:rFonts w:ascii="Arial" w:hAnsi="Arial" w:cs="Arial"/>
          <w:color w:val="000000" w:themeColor="text1"/>
          <w:sz w:val="24"/>
          <w:szCs w:val="24"/>
        </w:rPr>
        <w:t>Con relación al clima se utilizaron l</w:t>
      </w:r>
      <w:r w:rsidR="005D6EB7" w:rsidRPr="005713D5">
        <w:rPr>
          <w:rFonts w:ascii="Arial" w:hAnsi="Arial" w:cs="Arial"/>
          <w:color w:val="000000" w:themeColor="text1"/>
          <w:sz w:val="24"/>
          <w:szCs w:val="24"/>
        </w:rPr>
        <w:t xml:space="preserve">os valores </w:t>
      </w:r>
      <w:r w:rsidR="005D6EB7">
        <w:rPr>
          <w:rFonts w:ascii="Arial" w:hAnsi="Arial" w:cs="Arial"/>
          <w:color w:val="000000" w:themeColor="text1"/>
          <w:sz w:val="24"/>
          <w:szCs w:val="24"/>
        </w:rPr>
        <w:t xml:space="preserve">diarios </w:t>
      </w:r>
      <w:r w:rsidR="005D6EB7" w:rsidRPr="005713D5">
        <w:rPr>
          <w:rFonts w:ascii="Arial" w:hAnsi="Arial" w:cs="Arial"/>
          <w:color w:val="000000" w:themeColor="text1"/>
          <w:sz w:val="24"/>
          <w:szCs w:val="24"/>
        </w:rPr>
        <w:t>de las variables meteorológicas (</w:t>
      </w:r>
      <w:r w:rsidR="005D6EB7" w:rsidRPr="00B97ED1">
        <w:rPr>
          <w:rFonts w:ascii="Arial" w:hAnsi="Arial" w:cs="Arial"/>
          <w:color w:val="000000" w:themeColor="text1"/>
          <w:sz w:val="24"/>
          <w:szCs w:val="24"/>
        </w:rPr>
        <w:t>temperatura máxima</w:t>
      </w:r>
      <w:r w:rsidR="005D6EB7">
        <w:rPr>
          <w:rFonts w:ascii="Arial" w:hAnsi="Arial" w:cs="Arial"/>
          <w:color w:val="000000" w:themeColor="text1"/>
          <w:sz w:val="24"/>
          <w:szCs w:val="24"/>
        </w:rPr>
        <w:t xml:space="preserve"> (</w:t>
      </w:r>
      <w:r w:rsidR="005D6EB7" w:rsidRPr="00CA036B">
        <w:rPr>
          <w:rFonts w:ascii="Arial" w:hAnsi="Arial" w:cs="Arial"/>
          <w:sz w:val="24"/>
          <w:szCs w:val="24"/>
        </w:rPr>
        <w:t>°</w:t>
      </w:r>
      <w:r w:rsidR="005D6EB7">
        <w:rPr>
          <w:rFonts w:ascii="Arial" w:hAnsi="Arial" w:cs="Arial"/>
          <w:color w:val="000000" w:themeColor="text1"/>
          <w:sz w:val="24"/>
          <w:szCs w:val="24"/>
        </w:rPr>
        <w:t xml:space="preserve">C), </w:t>
      </w:r>
      <w:r w:rsidR="005D6EB7" w:rsidRPr="00B97ED1">
        <w:rPr>
          <w:rFonts w:ascii="Arial" w:hAnsi="Arial" w:cs="Arial"/>
          <w:color w:val="000000" w:themeColor="text1"/>
          <w:sz w:val="24"/>
          <w:szCs w:val="24"/>
        </w:rPr>
        <w:t>temperatura mínima</w:t>
      </w:r>
      <w:r w:rsidR="005D6EB7">
        <w:rPr>
          <w:rFonts w:ascii="Arial" w:hAnsi="Arial" w:cs="Arial"/>
          <w:color w:val="000000" w:themeColor="text1"/>
          <w:sz w:val="24"/>
          <w:szCs w:val="24"/>
        </w:rPr>
        <w:t xml:space="preserve"> (</w:t>
      </w:r>
      <w:r w:rsidR="005D6EB7" w:rsidRPr="00CA036B">
        <w:rPr>
          <w:rFonts w:ascii="Arial" w:hAnsi="Arial" w:cs="Arial"/>
          <w:sz w:val="24"/>
          <w:szCs w:val="24"/>
        </w:rPr>
        <w:t>°</w:t>
      </w:r>
      <w:r w:rsidR="005D6EB7">
        <w:rPr>
          <w:rFonts w:ascii="Arial" w:hAnsi="Arial" w:cs="Arial"/>
          <w:color w:val="000000" w:themeColor="text1"/>
          <w:sz w:val="24"/>
          <w:szCs w:val="24"/>
        </w:rPr>
        <w:t>C)</w:t>
      </w:r>
      <w:r w:rsidR="005D6EB7" w:rsidRPr="005713D5">
        <w:rPr>
          <w:rFonts w:ascii="Arial" w:hAnsi="Arial" w:cs="Arial"/>
          <w:color w:val="000000" w:themeColor="text1"/>
          <w:sz w:val="24"/>
          <w:szCs w:val="24"/>
        </w:rPr>
        <w:t xml:space="preserve">, </w:t>
      </w:r>
      <w:r w:rsidR="005D6EB7" w:rsidRPr="00B97ED1">
        <w:rPr>
          <w:rFonts w:ascii="Arial" w:hAnsi="Arial" w:cs="Arial"/>
          <w:color w:val="000000" w:themeColor="text1"/>
          <w:sz w:val="24"/>
          <w:szCs w:val="24"/>
        </w:rPr>
        <w:t>precipitaci</w:t>
      </w:r>
      <w:r w:rsidR="005D6EB7">
        <w:rPr>
          <w:rFonts w:ascii="Arial" w:hAnsi="Arial" w:cs="Arial"/>
          <w:color w:val="000000" w:themeColor="text1"/>
          <w:sz w:val="24"/>
          <w:szCs w:val="24"/>
        </w:rPr>
        <w:t>o</w:t>
      </w:r>
      <w:r w:rsidR="005D6EB7" w:rsidRPr="00B97ED1">
        <w:rPr>
          <w:rFonts w:ascii="Arial" w:hAnsi="Arial" w:cs="Arial"/>
          <w:color w:val="000000" w:themeColor="text1"/>
          <w:sz w:val="24"/>
          <w:szCs w:val="24"/>
        </w:rPr>
        <w:t>n</w:t>
      </w:r>
      <w:r w:rsidR="005D6EB7">
        <w:rPr>
          <w:rFonts w:ascii="Arial" w:hAnsi="Arial" w:cs="Arial"/>
          <w:color w:val="000000" w:themeColor="text1"/>
          <w:sz w:val="24"/>
          <w:szCs w:val="24"/>
        </w:rPr>
        <w:t>es (mm) y radiación solar (MJ m</w:t>
      </w:r>
      <w:r w:rsidR="005D6EB7" w:rsidRPr="00833805">
        <w:rPr>
          <w:rFonts w:ascii="Arial" w:hAnsi="Arial" w:cs="Arial"/>
          <w:color w:val="000000" w:themeColor="text1"/>
          <w:sz w:val="24"/>
          <w:szCs w:val="24"/>
          <w:vertAlign w:val="superscript"/>
        </w:rPr>
        <w:t>-2</w:t>
      </w:r>
      <w:r w:rsidR="005D6EB7">
        <w:rPr>
          <w:rFonts w:ascii="Arial" w:hAnsi="Arial" w:cs="Arial"/>
          <w:color w:val="000000" w:themeColor="text1"/>
          <w:sz w:val="24"/>
          <w:szCs w:val="24"/>
        </w:rPr>
        <w:t>)</w:t>
      </w:r>
      <w:r w:rsidR="005D6EB7" w:rsidRPr="005713D5">
        <w:rPr>
          <w:rFonts w:ascii="Arial" w:hAnsi="Arial" w:cs="Arial"/>
          <w:color w:val="000000" w:themeColor="text1"/>
          <w:sz w:val="24"/>
          <w:szCs w:val="24"/>
        </w:rPr>
        <w:t xml:space="preserve">) de los años en que se desarrollaron los experimentos, se obtuvieron de la Estación Meteorológica de </w:t>
      </w:r>
      <w:r w:rsidR="005D6EB7">
        <w:rPr>
          <w:rFonts w:ascii="Arial" w:hAnsi="Arial" w:cs="Arial"/>
          <w:color w:val="000000" w:themeColor="text1"/>
          <w:sz w:val="24"/>
          <w:szCs w:val="24"/>
        </w:rPr>
        <w:t>Tapaste, cercana al área experimental.</w:t>
      </w:r>
      <w:r w:rsidR="005D6EB7" w:rsidRPr="005713D5">
        <w:t xml:space="preserve"> </w:t>
      </w:r>
    </w:p>
    <w:p w14:paraId="575895B5"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E1227">
        <w:rPr>
          <w:rFonts w:ascii="Arial" w:hAnsi="Arial" w:cs="Arial"/>
          <w:noProof/>
          <w:sz w:val="24"/>
          <w:szCs w:val="24"/>
          <w:lang w:eastAsia="es-ES"/>
        </w:rPr>
        <mc:AlternateContent>
          <mc:Choice Requires="wps">
            <w:drawing>
              <wp:anchor distT="0" distB="0" distL="114300" distR="114300" simplePos="0" relativeHeight="251662336" behindDoc="0" locked="0" layoutInCell="1" allowOverlap="1" wp14:anchorId="75B14C26" wp14:editId="2DC33249">
                <wp:simplePos x="0" y="0"/>
                <wp:positionH relativeFrom="column">
                  <wp:posOffset>4436828</wp:posOffset>
                </wp:positionH>
                <wp:positionV relativeFrom="paragraph">
                  <wp:posOffset>1058214</wp:posOffset>
                </wp:positionV>
                <wp:extent cx="419100" cy="285750"/>
                <wp:effectExtent l="0" t="0" r="0" b="0"/>
                <wp:wrapNone/>
                <wp:docPr id="279" name="Cuadro de texto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285750"/>
                        </a:xfrm>
                        <a:prstGeom prst="rect">
                          <a:avLst/>
                        </a:prstGeom>
                        <a:solidFill>
                          <a:srgbClr val="FFFFFF"/>
                        </a:solidFill>
                        <a:ln w="9525">
                          <a:noFill/>
                          <a:miter lim="800000"/>
                          <a:headEnd/>
                          <a:tailEnd/>
                        </a:ln>
                      </wps:spPr>
                      <wps:txbx>
                        <w:txbxContent>
                          <w:p w14:paraId="43B7E443" w14:textId="77777777" w:rsidR="007C3032" w:rsidRPr="001069E9" w:rsidRDefault="007C3032" w:rsidP="005D6EB7">
                            <w:pPr>
                              <w:rPr>
                                <w:rFonts w:ascii="Arial" w:hAnsi="Arial" w:cs="Arial"/>
                                <w:sz w:val="24"/>
                                <w:szCs w:val="24"/>
                              </w:rPr>
                            </w:pPr>
                            <w:r w:rsidRPr="001069E9">
                              <w:rPr>
                                <w:rFonts w:ascii="Arial" w:hAnsi="Arial" w:cs="Arial"/>
                                <w:sz w:val="24"/>
                                <w:szCs w:val="24"/>
                              </w:rPr>
                              <w:t>(</w:t>
                            </w:r>
                            <w:r>
                              <w:rPr>
                                <w:rFonts w:ascii="Arial" w:hAnsi="Arial" w:cs="Arial"/>
                                <w:sz w:val="24"/>
                                <w:szCs w:val="24"/>
                              </w:rPr>
                              <w:t>1</w:t>
                            </w:r>
                            <w:r w:rsidRPr="001069E9">
                              <w:rPr>
                                <w:rFonts w:ascii="Arial" w:hAnsi="Arial" w:cs="Arial"/>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5B14C26" id="_x0000_t202" coordsize="21600,21600" o:spt="202" path="m,l,21600r21600,l21600,xe">
                <v:stroke joinstyle="miter"/>
                <v:path gradientshapeok="t" o:connecttype="rect"/>
              </v:shapetype>
              <v:shape id="Cuadro de texto 279" o:spid="_x0000_s1030" type="#_x0000_t202" style="position:absolute;left:0;text-align:left;margin-left:349.35pt;margin-top:83.3pt;width:33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" stroked="f">
                <v:textbox>
                  <w:txbxContent>
                    <w:p w14:paraId="43B7E443" w14:textId="77777777" w:rsidR="007C3032" w:rsidRPr="001069E9" w:rsidRDefault="007C3032" w:rsidP="005D6EB7">
                      <w:pPr>
                        <w:rPr>
                          <w:rFonts w:ascii="Arial" w:hAnsi="Arial" w:cs="Arial"/>
                          <w:sz w:val="24"/>
                          <w:szCs w:val="24"/>
                        </w:rPr>
                      </w:pPr>
                      <w:r w:rsidRPr="001069E9">
                        <w:rPr>
                          <w:rFonts w:ascii="Arial" w:hAnsi="Arial" w:cs="Arial"/>
                          <w:sz w:val="24"/>
                          <w:szCs w:val="24"/>
                        </w:rPr>
                        <w:t>(</w:t>
                      </w:r>
                      <w:r>
                        <w:rPr>
                          <w:rFonts w:ascii="Arial" w:hAnsi="Arial" w:cs="Arial"/>
                          <w:sz w:val="24"/>
                          <w:szCs w:val="24"/>
                        </w:rPr>
                        <w:t>1</w:t>
                      </w:r>
                      <w:r w:rsidRPr="001069E9">
                        <w:rPr>
                          <w:rFonts w:ascii="Arial" w:hAnsi="Arial" w:cs="Arial"/>
                          <w:sz w:val="24"/>
                          <w:szCs w:val="24"/>
                        </w:rPr>
                        <w:t>)</w:t>
                      </w:r>
                    </w:p>
                  </w:txbxContent>
                </v:textbox>
              </v:shape>
            </w:pict>
          </mc:Fallback>
        </mc:AlternateContent>
      </w:r>
      <w:r w:rsidRPr="00CA036B">
        <w:rPr>
          <w:rFonts w:ascii="Arial" w:hAnsi="Arial" w:cs="Arial"/>
          <w:sz w:val="24"/>
          <w:szCs w:val="24"/>
        </w:rPr>
        <w:t>La radiación solar se determinó por el método de cálculo según la metodología propuesta por</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{"citationID":"Xqqz8h7M","properties":{"formattedCitation":"(Allen et\\uc0\\u160{}al., 1998)","plainCitation":"(Allen et al., 1998)","dontUpdate":true,"noteIndex":0},"citationItems":[{"id":195,"uris":["http://zotero.org/users/local/NeejuBUy/items/8FUGNDF6"],"itemData":{"id":195,"type":"article-journal","container-title":"FAO Irrigation and Drainage Paper No.56","issue":"9","title":"Crop evapotranspiration - Guidelines for computing crop water requirements","volume":"300","author":[{"family":"Allen","given":"RG"},{"family":"Pereira","given":"LS"},{"family":"Raes","given":"D"},{"family":"Smith","given":"M"}],"issued":{"date-parts":[["1998"]]}}}],"schema":"https://github.com/citation-style-language/schema/raw/master/csl-citation.json"} </w:instrText>
      </w:r>
      <w:r>
        <w:rPr>
          <w:rFonts w:ascii="Arial" w:hAnsi="Arial" w:cs="Arial"/>
          <w:sz w:val="24"/>
          <w:szCs w:val="24"/>
        </w:rPr>
        <w:fldChar w:fldCharType="separate"/>
      </w:r>
      <w:r w:rsidRPr="00DF51F6">
        <w:rPr>
          <w:rFonts w:ascii="Arial" w:hAnsi="Arial" w:cs="Arial"/>
          <w:sz w:val="24"/>
          <w:szCs w:val="24"/>
        </w:rPr>
        <w:t xml:space="preserve">Allen </w:t>
      </w:r>
      <w:r w:rsidRPr="003039B4">
        <w:rPr>
          <w:rFonts w:ascii="Arial" w:hAnsi="Arial" w:cs="Arial"/>
          <w:i/>
          <w:sz w:val="24"/>
          <w:szCs w:val="24"/>
        </w:rPr>
        <w:t>et al</w:t>
      </w:r>
      <w:r w:rsidRPr="00DF51F6">
        <w:rPr>
          <w:rFonts w:ascii="Arial" w:hAnsi="Arial" w:cs="Arial"/>
          <w:sz w:val="24"/>
          <w:szCs w:val="24"/>
        </w:rPr>
        <w:t>.</w:t>
      </w:r>
      <w:r>
        <w:rPr>
          <w:rFonts w:ascii="Arial" w:hAnsi="Arial" w:cs="Arial"/>
          <w:sz w:val="24"/>
          <w:szCs w:val="24"/>
        </w:rPr>
        <w:t xml:space="preserve"> (</w:t>
      </w:r>
      <w:r w:rsidRPr="00DF51F6">
        <w:rPr>
          <w:rFonts w:ascii="Arial" w:hAnsi="Arial" w:cs="Arial"/>
          <w:sz w:val="24"/>
          <w:szCs w:val="24"/>
        </w:rPr>
        <w:t>1998)</w:t>
      </w:r>
      <w:r>
        <w:rPr>
          <w:rFonts w:ascii="Arial" w:hAnsi="Arial" w:cs="Arial"/>
          <w:sz w:val="24"/>
          <w:szCs w:val="24"/>
        </w:rPr>
        <w:fldChar w:fldCharType="end"/>
      </w:r>
      <w:r w:rsidRPr="00CA036B">
        <w:rPr>
          <w:rFonts w:ascii="Arial" w:hAnsi="Arial" w:cs="Arial"/>
          <w:sz w:val="24"/>
          <w:szCs w:val="24"/>
        </w:rPr>
        <w:t xml:space="preserve"> a partir de los valores de temperatura máxima y mínima y mediante la siguiente ecuación (ecuación 1): </w:t>
      </w:r>
    </w:p>
    <w:p w14:paraId="7C741C17" w14:textId="77777777" w:rsidR="005D6EB7" w:rsidRDefault="005D6EB7" w:rsidP="005D6EB7">
      <w:pPr>
        <w:autoSpaceDE w:val="0"/>
        <w:autoSpaceDN w:val="0"/>
        <w:adjustRightInd w:val="0"/>
        <w:spacing w:after="0" w:line="480" w:lineRule="auto"/>
        <w:jc w:val="both"/>
      </w:pPr>
      <m:oMathPara>
        <m:oMath>
          <m:r>
            <w:rPr>
              <w:rFonts w:ascii="Cambria Math" w:hAnsi="Cambria Math"/>
            </w:rPr>
            <m:t xml:space="preserve">Rs=Krs* </m:t>
          </m:r>
          <m:rad>
            <m:radPr>
              <m:degHide m:val="1"/>
              <m:ctrlPr>
                <w:rPr>
                  <w:rFonts w:ascii="Cambria Math" w:hAnsi="Cambria Math"/>
                  <w:i/>
                </w:rPr>
              </m:ctrlPr>
            </m:radPr>
            <m:deg/>
            <m:e>
              <m:r>
                <w:rPr>
                  <w:rFonts w:ascii="Cambria Math" w:hAnsi="Cambria Math"/>
                </w:rPr>
                <m:t>Tmáx-Tmín</m:t>
              </m:r>
            </m:e>
          </m:rad>
          <m:r>
            <w:rPr>
              <w:rFonts w:ascii="Cambria Math" w:hAnsi="Cambria Math"/>
            </w:rPr>
            <m:t xml:space="preserve">* Ra </m:t>
          </m:r>
        </m:oMath>
      </m:oMathPara>
    </w:p>
    <w:p w14:paraId="0D66884F"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Donde:</w:t>
      </w:r>
    </w:p>
    <w:p w14:paraId="3187EC2F"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 Rs: Radiació</w:t>
      </w:r>
      <w:r w:rsidRPr="00CA036B">
        <w:rPr>
          <w:rFonts w:ascii="Arial" w:hAnsi="Arial" w:cs="Arial"/>
          <w:sz w:val="24"/>
          <w:szCs w:val="24"/>
        </w:rPr>
        <w:t>n solar (MJm</w:t>
      </w:r>
      <w:r w:rsidRPr="00DB3DB3">
        <w:rPr>
          <w:rFonts w:ascii="Arial" w:hAnsi="Arial" w:cs="Arial"/>
          <w:sz w:val="24"/>
          <w:szCs w:val="24"/>
          <w:vertAlign w:val="superscript"/>
        </w:rPr>
        <w:t>-2</w:t>
      </w:r>
      <w:r w:rsidRPr="00CA036B">
        <w:rPr>
          <w:rFonts w:ascii="Arial" w:hAnsi="Arial" w:cs="Arial"/>
          <w:sz w:val="24"/>
          <w:szCs w:val="24"/>
        </w:rPr>
        <w:t xml:space="preserve"> día</w:t>
      </w:r>
      <w:r w:rsidRPr="00DB3DB3">
        <w:rPr>
          <w:rFonts w:ascii="Arial" w:hAnsi="Arial" w:cs="Arial"/>
          <w:sz w:val="24"/>
          <w:szCs w:val="24"/>
          <w:vertAlign w:val="superscript"/>
        </w:rPr>
        <w:t>-1</w:t>
      </w:r>
      <w:r w:rsidRPr="00CA036B">
        <w:rPr>
          <w:rFonts w:ascii="Arial" w:hAnsi="Arial" w:cs="Arial"/>
          <w:sz w:val="24"/>
          <w:szCs w:val="24"/>
        </w:rPr>
        <w:t>)</w:t>
      </w:r>
    </w:p>
    <w:p w14:paraId="467C845E"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Tmáx: Temperatura máxima (°C)</w:t>
      </w:r>
    </w:p>
    <w:p w14:paraId="31EED3F4"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lastRenderedPageBreak/>
        <w:t xml:space="preserve">Tmín: Temperatura mínima (°C) </w:t>
      </w:r>
    </w:p>
    <w:p w14:paraId="32460E42" w14:textId="77777777" w:rsidR="005D6EB7"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Krs: Coeficiente de ajuste (0</w:t>
      </w:r>
      <w:r>
        <w:rPr>
          <w:rFonts w:ascii="Arial" w:hAnsi="Arial" w:cs="Arial"/>
          <w:sz w:val="24"/>
          <w:szCs w:val="24"/>
        </w:rPr>
        <w:t>,</w:t>
      </w:r>
      <w:r w:rsidRPr="00CA036B">
        <w:rPr>
          <w:rFonts w:ascii="Arial" w:hAnsi="Arial" w:cs="Arial"/>
          <w:sz w:val="24"/>
          <w:szCs w:val="24"/>
        </w:rPr>
        <w:t>16-0</w:t>
      </w:r>
      <w:r>
        <w:rPr>
          <w:rFonts w:ascii="Arial" w:hAnsi="Arial" w:cs="Arial"/>
          <w:sz w:val="24"/>
          <w:szCs w:val="24"/>
        </w:rPr>
        <w:t>,</w:t>
      </w:r>
      <w:r w:rsidRPr="00CA036B">
        <w:rPr>
          <w:rFonts w:ascii="Arial" w:hAnsi="Arial" w:cs="Arial"/>
          <w:sz w:val="24"/>
          <w:szCs w:val="24"/>
        </w:rPr>
        <w:t xml:space="preserve">19) </w:t>
      </w:r>
    </w:p>
    <w:p w14:paraId="449DD2EB" w14:textId="77777777" w:rsidR="005D6EB7" w:rsidRPr="00CA036B" w:rsidRDefault="005D6EB7" w:rsidP="005D6EB7">
      <w:pPr>
        <w:autoSpaceDE w:val="0"/>
        <w:autoSpaceDN w:val="0"/>
        <w:adjustRightInd w:val="0"/>
        <w:spacing w:after="0" w:line="480" w:lineRule="auto"/>
        <w:jc w:val="both"/>
        <w:rPr>
          <w:rFonts w:ascii="Arial" w:hAnsi="Arial" w:cs="Arial"/>
          <w:sz w:val="24"/>
          <w:szCs w:val="24"/>
        </w:rPr>
      </w:pPr>
      <w:r w:rsidRPr="00CA036B">
        <w:rPr>
          <w:rFonts w:ascii="Arial" w:hAnsi="Arial" w:cs="Arial"/>
          <w:sz w:val="24"/>
          <w:szCs w:val="24"/>
        </w:rPr>
        <w:t>Ra: Radiación extraterrestre MJm</w:t>
      </w:r>
      <w:r w:rsidRPr="00DB3DB3">
        <w:rPr>
          <w:rFonts w:ascii="Arial" w:hAnsi="Arial" w:cs="Arial"/>
          <w:sz w:val="24"/>
          <w:szCs w:val="24"/>
          <w:vertAlign w:val="superscript"/>
        </w:rPr>
        <w:t>-2</w:t>
      </w:r>
      <w:r w:rsidRPr="00CA036B">
        <w:rPr>
          <w:rFonts w:ascii="Arial" w:hAnsi="Arial" w:cs="Arial"/>
          <w:sz w:val="24"/>
          <w:szCs w:val="24"/>
        </w:rPr>
        <w:t xml:space="preserve"> día</w:t>
      </w:r>
      <w:r w:rsidRPr="00DB3DB3">
        <w:rPr>
          <w:rFonts w:ascii="Arial" w:hAnsi="Arial" w:cs="Arial"/>
          <w:sz w:val="24"/>
          <w:szCs w:val="24"/>
          <w:vertAlign w:val="superscript"/>
        </w:rPr>
        <w:t>-1</w:t>
      </w:r>
    </w:p>
    <w:p w14:paraId="4DD3D976" w14:textId="43D1FF5D" w:rsidR="0035449F" w:rsidRDefault="0035449F" w:rsidP="005D6EB7">
      <w:pPr>
        <w:autoSpaceDE w:val="0"/>
        <w:autoSpaceDN w:val="0"/>
        <w:adjustRightInd w:val="0"/>
        <w:spacing w:after="0" w:line="480" w:lineRule="auto"/>
        <w:jc w:val="both"/>
        <w:rPr>
          <w:rFonts w:ascii="Arial" w:hAnsi="Arial" w:cs="Arial"/>
          <w:sz w:val="24"/>
          <w:szCs w:val="24"/>
        </w:rPr>
      </w:pPr>
      <w:r w:rsidRPr="0035449F">
        <w:rPr>
          <w:rFonts w:ascii="Arial" w:hAnsi="Arial" w:cs="Arial"/>
          <w:sz w:val="24"/>
          <w:szCs w:val="24"/>
          <w:highlight w:val="yellow"/>
        </w:rPr>
        <w:t>Se puede poner gráfico de clima de esas dos fechas</w:t>
      </w:r>
    </w:p>
    <w:p w14:paraId="07B8CF8E" w14:textId="10D4C69B" w:rsidR="005D6EB7" w:rsidRDefault="00252DF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 xml:space="preserve">El cultivar utilizado fue </w:t>
      </w:r>
      <w:r w:rsidR="005D6EB7" w:rsidRPr="00B726C4">
        <w:rPr>
          <w:rFonts w:ascii="Arial" w:hAnsi="Arial" w:cs="Arial"/>
          <w:sz w:val="24"/>
          <w:szCs w:val="24"/>
        </w:rPr>
        <w:t>P-7928, cuyas cara</w:t>
      </w:r>
      <w:r w:rsidR="005D6EB7">
        <w:rPr>
          <w:rFonts w:ascii="Arial" w:hAnsi="Arial" w:cs="Arial"/>
          <w:sz w:val="24"/>
          <w:szCs w:val="24"/>
        </w:rPr>
        <w:t>cterísticas se presentan en la T</w:t>
      </w:r>
      <w:r w:rsidR="005D6EB7" w:rsidRPr="00B726C4">
        <w:rPr>
          <w:rFonts w:ascii="Arial" w:hAnsi="Arial" w:cs="Arial"/>
          <w:sz w:val="24"/>
          <w:szCs w:val="24"/>
        </w:rPr>
        <w:t xml:space="preserve">abla </w:t>
      </w:r>
      <w:r w:rsidR="005D6EB7">
        <w:rPr>
          <w:rFonts w:ascii="Arial" w:hAnsi="Arial" w:cs="Arial"/>
          <w:sz w:val="24"/>
          <w:szCs w:val="24"/>
        </w:rPr>
        <w:t>5</w:t>
      </w:r>
      <w:r w:rsidR="005D6EB7" w:rsidRPr="00B726C4">
        <w:rPr>
          <w:rFonts w:ascii="Arial" w:hAnsi="Arial" w:cs="Arial"/>
          <w:sz w:val="24"/>
          <w:szCs w:val="24"/>
        </w:rPr>
        <w:t>. La siembra se realizó de manera directa a una distancia de 0,90 x 0,30 m, obteniéndose una densidad de 50 000 plantas ha</w:t>
      </w:r>
      <w:r w:rsidR="005D6EB7" w:rsidRPr="00B726C4">
        <w:rPr>
          <w:rFonts w:ascii="Arial" w:hAnsi="Arial" w:cs="Arial"/>
          <w:sz w:val="24"/>
          <w:szCs w:val="24"/>
          <w:vertAlign w:val="superscript"/>
        </w:rPr>
        <w:t>-1</w:t>
      </w:r>
      <w:r w:rsidR="005D6EB7" w:rsidRPr="00B726C4">
        <w:rPr>
          <w:rFonts w:ascii="Arial" w:hAnsi="Arial" w:cs="Arial"/>
          <w:sz w:val="24"/>
          <w:szCs w:val="24"/>
        </w:rPr>
        <w:t xml:space="preserve">. </w:t>
      </w:r>
    </w:p>
    <w:p w14:paraId="57FF27C4" w14:textId="77777777" w:rsidR="005D6EB7" w:rsidRDefault="005D6EB7" w:rsidP="005D6EB7">
      <w:pPr>
        <w:autoSpaceDE w:val="0"/>
        <w:autoSpaceDN w:val="0"/>
        <w:adjustRightInd w:val="0"/>
        <w:spacing w:after="0" w:line="480" w:lineRule="auto"/>
        <w:jc w:val="both"/>
        <w:rPr>
          <w:rFonts w:ascii="Arial" w:hAnsi="Arial" w:cs="Arial"/>
          <w:sz w:val="24"/>
          <w:szCs w:val="24"/>
        </w:rPr>
      </w:pPr>
      <w:r>
        <w:rPr>
          <w:rFonts w:ascii="Arial" w:hAnsi="Arial" w:cs="Arial"/>
          <w:sz w:val="24"/>
          <w:szCs w:val="24"/>
        </w:rPr>
        <w:t>La siembra se realizó en una parcela de diez surcos de 25 m de largo. Para los muestreos se seleccionaron 20 plantas de forma aleatoria.</w:t>
      </w:r>
    </w:p>
    <w:p w14:paraId="72A57858" w14:textId="77777777" w:rsidR="005D6EB7" w:rsidRPr="004E1881" w:rsidRDefault="005D6EB7" w:rsidP="005D6EB7">
      <w:pPr>
        <w:autoSpaceDE w:val="0"/>
        <w:autoSpaceDN w:val="0"/>
        <w:adjustRightInd w:val="0"/>
        <w:spacing w:after="0" w:line="240" w:lineRule="auto"/>
        <w:rPr>
          <w:rFonts w:ascii="Arial" w:hAnsi="Arial" w:cs="Arial"/>
          <w:color w:val="221F1F"/>
          <w:sz w:val="24"/>
          <w:szCs w:val="24"/>
        </w:rPr>
      </w:pPr>
      <w:r w:rsidRPr="004E1881">
        <w:rPr>
          <w:rFonts w:ascii="Arial" w:hAnsi="Arial" w:cs="Arial"/>
          <w:color w:val="221F1F"/>
          <w:sz w:val="24"/>
          <w:szCs w:val="24"/>
        </w:rPr>
        <w:t xml:space="preserve">Tabla </w:t>
      </w:r>
      <w:r>
        <w:rPr>
          <w:rFonts w:ascii="Arial" w:hAnsi="Arial" w:cs="Arial"/>
          <w:color w:val="221F1F"/>
          <w:sz w:val="24"/>
          <w:szCs w:val="24"/>
        </w:rPr>
        <w:t>5</w:t>
      </w:r>
      <w:r w:rsidRPr="004E1881">
        <w:rPr>
          <w:rFonts w:ascii="Arial" w:hAnsi="Arial" w:cs="Arial"/>
          <w:color w:val="221F1F"/>
          <w:sz w:val="24"/>
          <w:szCs w:val="24"/>
        </w:rPr>
        <w:t xml:space="preserve">. </w:t>
      </w:r>
      <w:r w:rsidRPr="004E1881">
        <w:rPr>
          <w:rFonts w:ascii="Arial" w:hAnsi="Arial" w:cs="Arial"/>
          <w:color w:val="000000"/>
          <w:sz w:val="24"/>
          <w:szCs w:val="24"/>
        </w:rPr>
        <w:t xml:space="preserve">Principales características </w:t>
      </w:r>
      <w:r>
        <w:rPr>
          <w:rFonts w:ascii="Arial" w:hAnsi="Arial" w:cs="Arial"/>
          <w:color w:val="000000"/>
          <w:sz w:val="24"/>
          <w:szCs w:val="24"/>
        </w:rPr>
        <w:t>biológicas del cultivar P-7928</w:t>
      </w:r>
    </w:p>
    <w:tbl>
      <w:tblPr>
        <w:tblStyle w:val="Tabladecuadrcula5oscura-nfasis4"/>
        <w:tblW w:w="0" w:type="auto"/>
        <w:jc w:val="center"/>
        <w:tblLook w:val="04A0" w:firstRow="1" w:lastRow="0" w:firstColumn="1" w:lastColumn="0" w:noHBand="0" w:noVBand="1"/>
      </w:tblPr>
      <w:tblGrid>
        <w:gridCol w:w="4017"/>
        <w:gridCol w:w="2084"/>
      </w:tblGrid>
      <w:tr w:rsidR="005D6EB7" w:rsidRPr="00CE3E29" w14:paraId="406D8EA3"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5106C89F"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Característica</w:t>
            </w:r>
          </w:p>
        </w:tc>
        <w:tc>
          <w:tcPr>
            <w:tcW w:w="2084" w:type="dxa"/>
          </w:tcPr>
          <w:p w14:paraId="0C4B50F5" w14:textId="77777777" w:rsidR="005D6EB7" w:rsidRPr="00C36034" w:rsidRDefault="005D6EB7" w:rsidP="00252DF7">
            <w:pPr>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Cultivar P-7928</w:t>
            </w:r>
          </w:p>
        </w:tc>
      </w:tr>
      <w:tr w:rsidR="005D6EB7" w:rsidRPr="00CE3E29" w14:paraId="4E91FE8C"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605CF91"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floración</w:t>
            </w:r>
          </w:p>
        </w:tc>
        <w:tc>
          <w:tcPr>
            <w:tcW w:w="2084" w:type="dxa"/>
          </w:tcPr>
          <w:p w14:paraId="67F8CB09"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65</w:t>
            </w:r>
          </w:p>
        </w:tc>
      </w:tr>
      <w:tr w:rsidR="005D6EB7" w:rsidRPr="00CE3E29" w14:paraId="64BCD7CE"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51DF1860"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cosecha (tierno)</w:t>
            </w:r>
          </w:p>
        </w:tc>
        <w:tc>
          <w:tcPr>
            <w:tcW w:w="2084" w:type="dxa"/>
          </w:tcPr>
          <w:p w14:paraId="76B6FAB5"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85</w:t>
            </w:r>
          </w:p>
        </w:tc>
      </w:tr>
      <w:tr w:rsidR="005D6EB7" w:rsidRPr="00CE3E29" w14:paraId="3157DA67"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3BAFE2F6"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Días a cosecha (seco)</w:t>
            </w:r>
          </w:p>
        </w:tc>
        <w:tc>
          <w:tcPr>
            <w:tcW w:w="2084" w:type="dxa"/>
          </w:tcPr>
          <w:p w14:paraId="65A2CB23"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130</w:t>
            </w:r>
          </w:p>
        </w:tc>
      </w:tr>
      <w:tr w:rsidR="005D6EB7" w:rsidRPr="00CE3E29" w14:paraId="3CA94914"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12626F59"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Ciclo Vegetativo</w:t>
            </w:r>
            <w:r>
              <w:rPr>
                <w:rFonts w:ascii="Arial" w:hAnsi="Arial" w:cs="Arial"/>
                <w:color w:val="000000" w:themeColor="text1"/>
                <w:sz w:val="24"/>
                <w:szCs w:val="24"/>
              </w:rPr>
              <w:t xml:space="preserve"> (días)</w:t>
            </w:r>
          </w:p>
        </w:tc>
        <w:tc>
          <w:tcPr>
            <w:tcW w:w="2084" w:type="dxa"/>
          </w:tcPr>
          <w:p w14:paraId="65565936"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110</w:t>
            </w:r>
          </w:p>
        </w:tc>
      </w:tr>
      <w:tr w:rsidR="005D6EB7" w:rsidRPr="00CE3E29" w14:paraId="4664FAFB"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56563A6"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Altura de la planta</w:t>
            </w:r>
            <w:r>
              <w:rPr>
                <w:rFonts w:ascii="Arial" w:hAnsi="Arial" w:cs="Arial"/>
                <w:color w:val="000000" w:themeColor="text1"/>
                <w:sz w:val="24"/>
                <w:szCs w:val="24"/>
              </w:rPr>
              <w:t xml:space="preserve"> (cm)</w:t>
            </w:r>
          </w:p>
        </w:tc>
        <w:tc>
          <w:tcPr>
            <w:tcW w:w="2084" w:type="dxa"/>
          </w:tcPr>
          <w:p w14:paraId="5DACB9E9"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230</w:t>
            </w:r>
          </w:p>
        </w:tc>
      </w:tr>
      <w:tr w:rsidR="005D6EB7" w:rsidRPr="00CE3E29" w14:paraId="4C393F14"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4017" w:type="dxa"/>
          </w:tcPr>
          <w:p w14:paraId="2AFD5922"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Altura de la mazorca</w:t>
            </w:r>
            <w:r>
              <w:rPr>
                <w:rFonts w:ascii="Arial" w:hAnsi="Arial" w:cs="Arial"/>
                <w:color w:val="000000" w:themeColor="text1"/>
                <w:sz w:val="24"/>
                <w:szCs w:val="24"/>
              </w:rPr>
              <w:t xml:space="preserve"> (cm)</w:t>
            </w:r>
          </w:p>
        </w:tc>
        <w:tc>
          <w:tcPr>
            <w:tcW w:w="2084" w:type="dxa"/>
          </w:tcPr>
          <w:p w14:paraId="5451410C" w14:textId="77777777" w:rsidR="005D6EB7" w:rsidRPr="00C36034" w:rsidRDefault="005D6EB7" w:rsidP="00252DF7">
            <w:pPr>
              <w:spacing w:line="48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C36034">
              <w:rPr>
                <w:rFonts w:ascii="Arial" w:hAnsi="Arial" w:cs="Arial"/>
                <w:color w:val="000000" w:themeColor="text1"/>
                <w:sz w:val="24"/>
                <w:szCs w:val="24"/>
              </w:rPr>
              <w:t>110</w:t>
            </w:r>
          </w:p>
        </w:tc>
      </w:tr>
      <w:tr w:rsidR="005D6EB7" w:rsidRPr="00B726C4" w14:paraId="216F2872"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17" w:type="dxa"/>
          </w:tcPr>
          <w:p w14:paraId="4B35B450" w14:textId="77777777" w:rsidR="005D6EB7" w:rsidRPr="00C36034" w:rsidRDefault="005D6EB7" w:rsidP="00252DF7">
            <w:pPr>
              <w:spacing w:line="480" w:lineRule="auto"/>
              <w:rPr>
                <w:rFonts w:ascii="Arial" w:hAnsi="Arial" w:cs="Arial"/>
                <w:color w:val="000000" w:themeColor="text1"/>
                <w:sz w:val="24"/>
                <w:szCs w:val="24"/>
              </w:rPr>
            </w:pPr>
            <w:r w:rsidRPr="00C36034">
              <w:rPr>
                <w:rFonts w:ascii="Arial" w:hAnsi="Arial" w:cs="Arial"/>
                <w:color w:val="000000" w:themeColor="text1"/>
                <w:sz w:val="24"/>
                <w:szCs w:val="24"/>
              </w:rPr>
              <w:t>Rendimiento grano seco (t ha</w:t>
            </w:r>
            <w:r w:rsidRPr="00293EC8">
              <w:rPr>
                <w:rFonts w:ascii="Arial" w:hAnsi="Arial" w:cs="Arial"/>
                <w:color w:val="000000" w:themeColor="text1"/>
                <w:sz w:val="24"/>
                <w:szCs w:val="24"/>
                <w:vertAlign w:val="superscript"/>
              </w:rPr>
              <w:t>-1</w:t>
            </w:r>
            <w:r w:rsidRPr="00C36034">
              <w:rPr>
                <w:rFonts w:ascii="Arial" w:hAnsi="Arial" w:cs="Arial"/>
                <w:color w:val="000000" w:themeColor="text1"/>
                <w:sz w:val="24"/>
                <w:szCs w:val="24"/>
              </w:rPr>
              <w:t>)</w:t>
            </w:r>
          </w:p>
        </w:tc>
        <w:tc>
          <w:tcPr>
            <w:tcW w:w="2084" w:type="dxa"/>
          </w:tcPr>
          <w:p w14:paraId="665336EE" w14:textId="77777777" w:rsidR="005D6EB7" w:rsidRPr="00C36034" w:rsidRDefault="005D6EB7" w:rsidP="00252DF7">
            <w:pPr>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Pr>
                <w:rFonts w:ascii="Arial" w:hAnsi="Arial" w:cs="Arial"/>
                <w:color w:val="000000" w:themeColor="text1"/>
                <w:sz w:val="24"/>
                <w:szCs w:val="24"/>
              </w:rPr>
              <w:t>5,</w:t>
            </w:r>
            <w:r w:rsidRPr="00C36034">
              <w:rPr>
                <w:rFonts w:ascii="Arial" w:hAnsi="Arial" w:cs="Arial"/>
                <w:color w:val="000000" w:themeColor="text1"/>
                <w:sz w:val="24"/>
                <w:szCs w:val="24"/>
              </w:rPr>
              <w:t>1</w:t>
            </w:r>
          </w:p>
        </w:tc>
      </w:tr>
    </w:tbl>
    <w:p w14:paraId="406F6B0A" w14:textId="77777777" w:rsidR="005D6EB7" w:rsidRDefault="005D6EB7" w:rsidP="005D6EB7">
      <w:pPr>
        <w:autoSpaceDE w:val="0"/>
        <w:autoSpaceDN w:val="0"/>
        <w:adjustRightInd w:val="0"/>
        <w:spacing w:after="0" w:line="240" w:lineRule="auto"/>
        <w:jc w:val="both"/>
        <w:rPr>
          <w:rFonts w:ascii="Arial" w:hAnsi="Arial" w:cs="Arial"/>
          <w:sz w:val="24"/>
          <w:szCs w:val="24"/>
        </w:rPr>
      </w:pPr>
      <w:r w:rsidRPr="00B726C4">
        <w:rPr>
          <w:rFonts w:ascii="Arial" w:hAnsi="Arial" w:cs="Arial"/>
          <w:sz w:val="24"/>
          <w:szCs w:val="24"/>
        </w:rPr>
        <w:t>Información tomada de</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{"citationID":"vCrbMK5c","properties":{"unsorted":true,"formattedCitation":"(R. L\\uc0\\u243{}pez &amp; Gil, 2011; ACTAF, 2017)","plainCitation":"(R. López &amp; Gil, 2011; ACTAF, 2017)","dontUpdate":true,"noteIndex":0},"citationItems":[{"id":230,"uris":["http://zotero.org/users/local/NeejuBUy/items/QBP2W2UF"],"itemData":{"id":230,"type":"book","event-place":"Universidad Central “Marta Abreu” de las Villas","publisher":"Editorial Feijóo","publisher-place":"Universidad Central “Marta Abreu” de las Villas","title":"Generalidades del cultivo del maíz","author":[{"family":"López","given":"R"},{"family":"Gil","given":"V"}],"issued":{"date-parts":[["2011"]]}},"label":"page"},{"id":194,"uris":["http://zotero.org/users/local/NeejuBUy/items/9KJFKFW9"],"itemData":{"id":194,"type":"book","event-place":"La Habana","publisher-place":"La Habana","title":"Tecnología para la producción de semilla de maíz (Zea mayz)","author":[{"family":"ACTAF","given":""}],"issued":{"date-parts":[["2017"]]}},"label":"page"}],"schema":"https://github.com/citation-style-language/schema/raw/master/csl-citation.json"} </w:instrText>
      </w:r>
      <w:r>
        <w:rPr>
          <w:rFonts w:ascii="Arial" w:hAnsi="Arial" w:cs="Arial"/>
          <w:sz w:val="24"/>
          <w:szCs w:val="24"/>
        </w:rPr>
        <w:fldChar w:fldCharType="separate"/>
      </w:r>
      <w:r w:rsidRPr="00DF51F6">
        <w:rPr>
          <w:rFonts w:ascii="Arial" w:hAnsi="Arial" w:cs="Arial"/>
          <w:sz w:val="24"/>
          <w:szCs w:val="24"/>
        </w:rPr>
        <w:t xml:space="preserve">(R. López </w:t>
      </w:r>
      <w:r>
        <w:rPr>
          <w:rFonts w:ascii="Arial" w:hAnsi="Arial" w:cs="Arial"/>
          <w:sz w:val="24"/>
          <w:szCs w:val="24"/>
        </w:rPr>
        <w:t>y</w:t>
      </w:r>
      <w:r w:rsidRPr="00DF51F6">
        <w:rPr>
          <w:rFonts w:ascii="Arial" w:hAnsi="Arial" w:cs="Arial"/>
          <w:sz w:val="24"/>
          <w:szCs w:val="24"/>
        </w:rPr>
        <w:t xml:space="preserve"> Gil, 2011; ACTAF, 2017)</w:t>
      </w:r>
      <w:r>
        <w:rPr>
          <w:rFonts w:ascii="Arial" w:hAnsi="Arial" w:cs="Arial"/>
          <w:sz w:val="24"/>
          <w:szCs w:val="24"/>
        </w:rPr>
        <w:fldChar w:fldCharType="end"/>
      </w:r>
    </w:p>
    <w:p w14:paraId="6F77210E" w14:textId="544BADD9" w:rsidR="005D6EB7" w:rsidRDefault="005D6EB7" w:rsidP="00EE6312">
      <w:pPr>
        <w:spacing w:before="120" w:line="360" w:lineRule="auto"/>
        <w:contextualSpacing/>
        <w:jc w:val="both"/>
        <w:rPr>
          <w:rFonts w:ascii="Arial" w:hAnsi="Arial" w:cs="Arial"/>
          <w:b/>
          <w:color w:val="000000"/>
          <w:sz w:val="24"/>
          <w:szCs w:val="24"/>
        </w:rPr>
      </w:pPr>
    </w:p>
    <w:p w14:paraId="5B03CD43" w14:textId="77777777" w:rsidR="005D6EB7" w:rsidRPr="00EA2C92" w:rsidRDefault="005D6EB7" w:rsidP="005D6EB7">
      <w:pPr>
        <w:pStyle w:val="Ttulo3"/>
        <w:spacing w:before="0" w:line="480" w:lineRule="auto"/>
        <w:rPr>
          <w:rFonts w:cs="Arial"/>
          <w:b/>
          <w:color w:val="000000" w:themeColor="text1"/>
        </w:rPr>
      </w:pPr>
      <w:bookmarkStart w:id="23" w:name="_Toc138712740"/>
      <w:bookmarkStart w:id="24" w:name="_Toc148350410"/>
      <w:r w:rsidRPr="00EA2C92">
        <w:rPr>
          <w:rFonts w:cs="Arial"/>
          <w:b/>
          <w:color w:val="000000" w:themeColor="text1"/>
        </w:rPr>
        <w:t xml:space="preserve">2.1.5 </w:t>
      </w:r>
      <w:bookmarkEnd w:id="23"/>
      <w:r w:rsidRPr="00EA2C92">
        <w:rPr>
          <w:rFonts w:cs="Arial"/>
          <w:b/>
          <w:color w:val="000000" w:themeColor="text1"/>
        </w:rPr>
        <w:t>Atenciones culturales</w:t>
      </w:r>
      <w:bookmarkEnd w:id="24"/>
    </w:p>
    <w:p w14:paraId="3BE670F6" w14:textId="5C9B7390" w:rsidR="005D6EB7" w:rsidRPr="00B726C4" w:rsidRDefault="005D6EB7" w:rsidP="005D6EB7">
      <w:pPr>
        <w:autoSpaceDE w:val="0"/>
        <w:autoSpaceDN w:val="0"/>
        <w:adjustRightInd w:val="0"/>
        <w:spacing w:after="0" w:line="480" w:lineRule="auto"/>
        <w:jc w:val="both"/>
        <w:rPr>
          <w:rFonts w:ascii="Arial" w:hAnsi="Arial" w:cs="Arial"/>
          <w:sz w:val="24"/>
          <w:szCs w:val="24"/>
        </w:rPr>
      </w:pPr>
      <w:r w:rsidRPr="00B726C4">
        <w:rPr>
          <w:rFonts w:ascii="Arial" w:hAnsi="Arial" w:cs="Arial"/>
          <w:sz w:val="24"/>
          <w:szCs w:val="24"/>
        </w:rPr>
        <w:t xml:space="preserve">Las </w:t>
      </w:r>
      <w:r>
        <w:rPr>
          <w:rFonts w:ascii="Arial" w:hAnsi="Arial" w:cs="Arial"/>
          <w:sz w:val="24"/>
          <w:szCs w:val="24"/>
        </w:rPr>
        <w:t>atenciones culturales</w:t>
      </w:r>
      <w:r w:rsidRPr="00B726C4">
        <w:rPr>
          <w:rFonts w:ascii="Arial" w:hAnsi="Arial" w:cs="Arial"/>
          <w:sz w:val="24"/>
          <w:szCs w:val="24"/>
        </w:rPr>
        <w:t xml:space="preserve"> se realizaron según lo recomendado en el Instructivo Técnico del Cultivo de Maíz</w:t>
      </w:r>
      <w:r>
        <w:rPr>
          <w:rFonts w:ascii="Arial" w:hAnsi="Arial" w:cs="Arial"/>
          <w:sz w:val="24"/>
          <w:szCs w:val="24"/>
        </w:rPr>
        <w:t xml:space="preserve"> </w:t>
      </w:r>
      <w:r>
        <w:rPr>
          <w:rFonts w:ascii="Arial" w:hAnsi="Arial" w:cs="Arial"/>
          <w:sz w:val="24"/>
          <w:szCs w:val="24"/>
        </w:rPr>
        <w:fldChar w:fldCharType="begin"/>
      </w:r>
      <w:r>
        <w:rPr>
          <w:rFonts w:ascii="Arial" w:hAnsi="Arial" w:cs="Arial"/>
          <w:sz w:val="24"/>
          <w:szCs w:val="24"/>
        </w:rPr>
        <w:instrText xml:space="preserve"> ADDIN ZOTERO_ITEM CSL_CITATION {"citationID":"Q1IcvfFo","properties":{"formattedCitation":"(MINAG, 2000)","plainCitation":"(MINAG, 2000)","noteIndex":0},"citationItems":[{"id":238,"uris":["http://zotero.org/users/local/NeejuBUy/items/9U5267DT"],"itemData":{"id":238,"type":"book","event-place":"La Habana","publisher":"Ministerio de Agricultura","publisher-place":"La Habana","title":"Guía Técnica para la producción del cultivo del maíz (Zea mays L.)","author":[{"family":"MINAG","given":""}],"issued":{"date-parts":[["2000"]]}}}],"schema":"https://github.com/citation-style-language/schema/raw/master/csl-citation.json"} </w:instrText>
      </w:r>
      <w:r>
        <w:rPr>
          <w:rFonts w:ascii="Arial" w:hAnsi="Arial" w:cs="Arial"/>
          <w:sz w:val="24"/>
          <w:szCs w:val="24"/>
        </w:rPr>
        <w:fldChar w:fldCharType="separate"/>
      </w:r>
      <w:r w:rsidRPr="00DF51F6">
        <w:rPr>
          <w:rFonts w:ascii="Arial" w:hAnsi="Arial" w:cs="Arial"/>
          <w:sz w:val="24"/>
        </w:rPr>
        <w:t>(MINAG, 2000)</w:t>
      </w:r>
      <w:r>
        <w:rPr>
          <w:rFonts w:ascii="Arial" w:hAnsi="Arial" w:cs="Arial"/>
          <w:sz w:val="24"/>
          <w:szCs w:val="24"/>
        </w:rPr>
        <w:fldChar w:fldCharType="end"/>
      </w:r>
      <w:r w:rsidRPr="00B726C4">
        <w:rPr>
          <w:rFonts w:ascii="Arial" w:hAnsi="Arial" w:cs="Arial"/>
          <w:sz w:val="24"/>
          <w:szCs w:val="24"/>
        </w:rPr>
        <w:t xml:space="preserve">. Se realizó el control de plagas y arvenses de manera efectiva. La fertilización </w:t>
      </w:r>
      <w:r>
        <w:rPr>
          <w:rFonts w:ascii="Arial" w:hAnsi="Arial" w:cs="Arial"/>
          <w:sz w:val="24"/>
          <w:szCs w:val="24"/>
        </w:rPr>
        <w:t xml:space="preserve">mineral </w:t>
      </w:r>
      <w:r w:rsidRPr="00B726C4">
        <w:rPr>
          <w:rFonts w:ascii="Arial" w:hAnsi="Arial" w:cs="Arial"/>
          <w:sz w:val="24"/>
          <w:szCs w:val="24"/>
        </w:rPr>
        <w:t xml:space="preserve">se efectuó mediante la </w:t>
      </w:r>
      <w:r w:rsidRPr="00B726C4">
        <w:rPr>
          <w:rFonts w:ascii="Arial" w:hAnsi="Arial" w:cs="Arial"/>
          <w:sz w:val="24"/>
          <w:szCs w:val="24"/>
        </w:rPr>
        <w:lastRenderedPageBreak/>
        <w:t>aplicación de K</w:t>
      </w:r>
      <w:r w:rsidRPr="00B726C4">
        <w:rPr>
          <w:rFonts w:ascii="Arial" w:hAnsi="Arial" w:cs="Arial"/>
          <w:sz w:val="24"/>
          <w:szCs w:val="24"/>
          <w:vertAlign w:val="subscript"/>
        </w:rPr>
        <w:t>2</w:t>
      </w:r>
      <w:r w:rsidRPr="00B726C4">
        <w:rPr>
          <w:rFonts w:ascii="Arial" w:hAnsi="Arial" w:cs="Arial"/>
          <w:sz w:val="24"/>
          <w:szCs w:val="24"/>
        </w:rPr>
        <w:t>O y P</w:t>
      </w:r>
      <w:r w:rsidRPr="00B726C4">
        <w:rPr>
          <w:rFonts w:ascii="Arial" w:hAnsi="Arial" w:cs="Arial"/>
          <w:sz w:val="24"/>
          <w:szCs w:val="24"/>
          <w:vertAlign w:val="subscript"/>
        </w:rPr>
        <w:t>2</w:t>
      </w:r>
      <w:r w:rsidRPr="00B726C4">
        <w:rPr>
          <w:rFonts w:ascii="Arial" w:hAnsi="Arial" w:cs="Arial"/>
          <w:sz w:val="24"/>
          <w:szCs w:val="24"/>
        </w:rPr>
        <w:t>O</w:t>
      </w:r>
      <w:r w:rsidRPr="00B726C4">
        <w:rPr>
          <w:rFonts w:ascii="Arial" w:hAnsi="Arial" w:cs="Arial"/>
          <w:sz w:val="24"/>
          <w:szCs w:val="24"/>
          <w:vertAlign w:val="subscript"/>
        </w:rPr>
        <w:t>5</w:t>
      </w:r>
      <w:r w:rsidRPr="00B726C4">
        <w:rPr>
          <w:rFonts w:ascii="Arial" w:hAnsi="Arial" w:cs="Arial"/>
          <w:sz w:val="24"/>
          <w:szCs w:val="24"/>
        </w:rPr>
        <w:t xml:space="preserve"> de fondo, a razón de 60 kg ha</w:t>
      </w:r>
      <w:r w:rsidRPr="00B726C4">
        <w:rPr>
          <w:rFonts w:ascii="Arial" w:hAnsi="Arial" w:cs="Arial"/>
          <w:sz w:val="24"/>
          <w:szCs w:val="24"/>
          <w:vertAlign w:val="superscript"/>
        </w:rPr>
        <w:t>-1</w:t>
      </w:r>
      <w:r w:rsidRPr="00B726C4">
        <w:rPr>
          <w:rFonts w:ascii="Arial" w:hAnsi="Arial" w:cs="Arial"/>
          <w:sz w:val="24"/>
          <w:szCs w:val="24"/>
        </w:rPr>
        <w:t xml:space="preserve"> de ambos y 150 kg ha</w:t>
      </w:r>
      <w:r w:rsidRPr="00B726C4">
        <w:rPr>
          <w:rFonts w:ascii="Arial" w:hAnsi="Arial" w:cs="Arial"/>
          <w:sz w:val="24"/>
          <w:szCs w:val="24"/>
          <w:vertAlign w:val="superscript"/>
        </w:rPr>
        <w:t>-1</w:t>
      </w:r>
      <w:r w:rsidRPr="00B726C4">
        <w:rPr>
          <w:rFonts w:ascii="Arial" w:hAnsi="Arial" w:cs="Arial"/>
          <w:sz w:val="24"/>
          <w:szCs w:val="24"/>
        </w:rPr>
        <w:t xml:space="preserve"> de nitrógeno, fraccionados durante el ciclo del cultivo (siembra y 30 días después de la emergencia). </w:t>
      </w:r>
      <w:r w:rsidRPr="00252DF7">
        <w:rPr>
          <w:rFonts w:ascii="Arial" w:hAnsi="Arial" w:cs="Arial"/>
          <w:sz w:val="24"/>
          <w:szCs w:val="24"/>
          <w:highlight w:val="yellow"/>
        </w:rPr>
        <w:t>Se utilizaron como portadores la Fórmula Completa (9-13-17) y la Urea (46 % de N). De forma tal que las plantas se desarrollaran sin limitaciones en este sentido.</w:t>
      </w:r>
    </w:p>
    <w:p w14:paraId="4CE4A0D9" w14:textId="77777777" w:rsidR="008E012D" w:rsidRDefault="008E012D" w:rsidP="00EE6312">
      <w:pPr>
        <w:spacing w:before="120" w:line="360" w:lineRule="auto"/>
        <w:contextualSpacing/>
        <w:jc w:val="both"/>
        <w:rPr>
          <w:rFonts w:ascii="Arial" w:hAnsi="Arial" w:cs="Arial"/>
          <w:b/>
          <w:color w:val="000000" w:themeColor="text1"/>
          <w:sz w:val="24"/>
          <w:szCs w:val="24"/>
        </w:rPr>
      </w:pPr>
    </w:p>
    <w:p w14:paraId="6F9C529C" w14:textId="003358DC" w:rsidR="008E012D" w:rsidRPr="008E012D" w:rsidRDefault="008E012D" w:rsidP="00EE6312">
      <w:pPr>
        <w:spacing w:before="120" w:line="360" w:lineRule="auto"/>
        <w:contextualSpacing/>
        <w:jc w:val="both"/>
        <w:rPr>
          <w:rFonts w:ascii="Arial" w:hAnsi="Arial" w:cs="Arial"/>
          <w:b/>
          <w:color w:val="000000" w:themeColor="text1"/>
          <w:sz w:val="24"/>
          <w:szCs w:val="24"/>
        </w:rPr>
      </w:pPr>
      <w:r w:rsidRPr="008E012D">
        <w:rPr>
          <w:rFonts w:ascii="Arial" w:hAnsi="Arial" w:cs="Arial"/>
          <w:b/>
          <w:color w:val="000000" w:themeColor="text1"/>
          <w:sz w:val="24"/>
          <w:szCs w:val="24"/>
        </w:rPr>
        <w:t>Preparación de fichero de suelo</w:t>
      </w:r>
    </w:p>
    <w:p w14:paraId="3447D097" w14:textId="37EA9E81" w:rsidR="008E012D" w:rsidRPr="003338D6" w:rsidRDefault="008E012D" w:rsidP="008E012D">
      <w:pPr>
        <w:spacing w:before="120" w:line="360" w:lineRule="auto"/>
        <w:contextualSpacing/>
        <w:jc w:val="both"/>
        <w:rPr>
          <w:rFonts w:ascii="Arial" w:eastAsia="Calibri" w:hAnsi="Arial" w:cs="Arial"/>
          <w:bCs/>
          <w:sz w:val="24"/>
          <w:szCs w:val="24"/>
        </w:rPr>
      </w:pPr>
      <w:r w:rsidRPr="00C41733">
        <w:rPr>
          <w:rFonts w:ascii="Arial" w:hAnsi="Arial" w:cs="Arial"/>
          <w:color w:val="000000"/>
          <w:sz w:val="24"/>
          <w:szCs w:val="24"/>
        </w:rPr>
        <w:t xml:space="preserve">El suelo del área </w:t>
      </w:r>
      <w:r>
        <w:rPr>
          <w:rFonts w:ascii="Arial" w:hAnsi="Arial" w:cs="Arial"/>
          <w:color w:val="000000"/>
          <w:sz w:val="24"/>
          <w:szCs w:val="24"/>
        </w:rPr>
        <w:t xml:space="preserve">experimental es </w:t>
      </w:r>
      <w:r w:rsidRPr="000C15F5">
        <w:rPr>
          <w:rFonts w:ascii="Arial" w:eastAsia="Calibri" w:hAnsi="Arial" w:cs="Arial"/>
          <w:bCs/>
          <w:sz w:val="24"/>
          <w:szCs w:val="24"/>
        </w:rPr>
        <w:t>Ferralítico Rojo</w:t>
      </w:r>
      <w:r w:rsidRPr="000C15F5">
        <w:rPr>
          <w:rFonts w:ascii="Arial" w:eastAsia="Calibri" w:hAnsi="Arial" w:cs="Arial"/>
          <w:sz w:val="24"/>
          <w:szCs w:val="24"/>
        </w:rPr>
        <w:t xml:space="preserve"> Lixiviado, caracterizado por una fertilidad de media a alta, según lo señalado por </w:t>
      </w:r>
      <w:r w:rsidRPr="000C15F5">
        <w:rPr>
          <w:rFonts w:ascii="Arial" w:eastAsia="Calibri" w:hAnsi="Arial" w:cs="Arial"/>
          <w:bCs/>
          <w:sz w:val="24"/>
          <w:szCs w:val="24"/>
        </w:rPr>
        <w:t xml:space="preserve">(Hernández </w:t>
      </w:r>
      <w:r w:rsidRPr="000C15F5">
        <w:rPr>
          <w:rFonts w:ascii="Arial" w:eastAsia="Calibri" w:hAnsi="Arial" w:cs="Arial"/>
          <w:i/>
          <w:sz w:val="24"/>
          <w:szCs w:val="24"/>
        </w:rPr>
        <w:t>et al</w:t>
      </w:r>
      <w:r w:rsidRPr="000C15F5">
        <w:rPr>
          <w:rFonts w:ascii="Arial" w:eastAsia="Calibri" w:hAnsi="Arial" w:cs="Arial"/>
          <w:bCs/>
          <w:i/>
          <w:sz w:val="24"/>
          <w:szCs w:val="24"/>
        </w:rPr>
        <w:t>.</w:t>
      </w:r>
      <w:r w:rsidRPr="000C15F5">
        <w:rPr>
          <w:rFonts w:ascii="Arial" w:eastAsia="Calibri" w:hAnsi="Arial" w:cs="Arial"/>
          <w:bCs/>
          <w:sz w:val="24"/>
          <w:szCs w:val="24"/>
        </w:rPr>
        <w:t>, 2015)</w:t>
      </w:r>
      <w:r>
        <w:rPr>
          <w:rFonts w:ascii="Arial" w:eastAsia="Calibri" w:hAnsi="Arial" w:cs="Arial"/>
          <w:bCs/>
          <w:sz w:val="24"/>
          <w:szCs w:val="24"/>
        </w:rPr>
        <w:t xml:space="preserve">. </w:t>
      </w:r>
      <w:r w:rsidRPr="003338D6">
        <w:rPr>
          <w:rFonts w:ascii="Arial" w:eastAsia="Calibri" w:hAnsi="Arial" w:cs="Arial"/>
          <w:bCs/>
          <w:sz w:val="24"/>
          <w:szCs w:val="24"/>
        </w:rPr>
        <w:t xml:space="preserve">Las propiedades físicas y químicas del suelo se muestran en la Tabla </w:t>
      </w:r>
      <w:r>
        <w:rPr>
          <w:rFonts w:ascii="Arial" w:eastAsia="Calibri" w:hAnsi="Arial" w:cs="Arial"/>
          <w:bCs/>
          <w:color w:val="FF0000"/>
          <w:sz w:val="24"/>
          <w:szCs w:val="24"/>
        </w:rPr>
        <w:t>3</w:t>
      </w:r>
      <w:r w:rsidRPr="003338D6">
        <w:rPr>
          <w:rFonts w:ascii="Arial" w:eastAsia="Calibri" w:hAnsi="Arial" w:cs="Arial"/>
          <w:bCs/>
          <w:sz w:val="24"/>
          <w:szCs w:val="24"/>
        </w:rPr>
        <w:t xml:space="preserve">. </w:t>
      </w:r>
    </w:p>
    <w:p w14:paraId="67F16F4D" w14:textId="77777777" w:rsidR="008E012D" w:rsidRDefault="008E012D" w:rsidP="008E012D">
      <w:pPr>
        <w:autoSpaceDE w:val="0"/>
        <w:autoSpaceDN w:val="0"/>
        <w:adjustRightInd w:val="0"/>
        <w:spacing w:after="0" w:line="480" w:lineRule="auto"/>
        <w:jc w:val="both"/>
        <w:rPr>
          <w:rFonts w:ascii="Arial" w:hAnsi="Arial" w:cs="Arial"/>
          <w:color w:val="000000" w:themeColor="text1"/>
          <w:sz w:val="24"/>
          <w:szCs w:val="24"/>
        </w:rPr>
      </w:pPr>
    </w:p>
    <w:p w14:paraId="120BF1D1" w14:textId="54E605D7" w:rsidR="008E012D" w:rsidRDefault="008E012D" w:rsidP="008E012D">
      <w:pPr>
        <w:spacing w:before="120" w:line="360" w:lineRule="auto"/>
        <w:contextualSpacing/>
        <w:jc w:val="both"/>
        <w:rPr>
          <w:rFonts w:ascii="Arial" w:hAnsi="Arial" w:cs="Arial"/>
          <w:color w:val="000000" w:themeColor="text1"/>
          <w:sz w:val="24"/>
          <w:szCs w:val="24"/>
        </w:rPr>
      </w:pPr>
      <w:r>
        <w:rPr>
          <w:rFonts w:ascii="Arial" w:hAnsi="Arial" w:cs="Arial"/>
          <w:sz w:val="24"/>
          <w:szCs w:val="24"/>
        </w:rPr>
        <w:t xml:space="preserve">Se realizó la descripción del perfil del suelo. A las muestras tomadas se le realizaron las determinaciones de propiedades físicas y químicas informadas por </w:t>
      </w:r>
      <w:r>
        <w:rPr>
          <w:rFonts w:ascii="Arial" w:hAnsi="Arial" w:cs="Arial"/>
          <w:sz w:val="24"/>
          <w:szCs w:val="24"/>
        </w:rPr>
        <w:fldChar w:fldCharType="begin"/>
      </w:r>
      <w:r>
        <w:rPr>
          <w:rFonts w:ascii="Arial" w:hAnsi="Arial" w:cs="Arial"/>
          <w:sz w:val="24"/>
          <w:szCs w:val="24"/>
        </w:rPr>
        <w:instrText xml:space="preserve"> ADDIN ZOTERO_ITEM CSL_CITATION {"citationID":"qYPCdO3Y","properties":{"formattedCitation":"(Cid et\\uc0\\u160{}al., 2011)","plainCitation":"(Cid et al., 2011)","dontUpdate":true,"noteIndex":0},"citationItems":[{"id":275,"uris":["http://zotero.org/users/local/NeejuBUy/items/44NUREWR"],"itemData":{"id":275,"type":"article-journal","abstract":"Today it is very common to use simulation models in agriculture, in order to estimate, for a wide range of natural environments, the behavior of some variables in one way or another to predict a specific performance. These models usually include complex mathematical models in software and may come to predict the impact that could result in a system of land management on water in particular and the environment in general. Moreover, estimation of the global climate change effect on the ground is also possible through these tools. But they require input data that sometimes is not readily available as in the case of the physical properties of soils, and within these, those related to water operation. Sometimes data does exist but because of the method used in collection and the way they are expressed, their use in simulation models leads to results that are far from what actually occurs in the natural environment being studied. The study shows the most used physical properties in some of the simulation models which have been used in our country as well as their manner of being expressed and the recommended method for its determination in the field.","container-title":"Revista Ciencias Técnicas Agropecuarias","ISSN":"1010-2760","issue":"2","language":"es","page":"42-46","source":"Zotero","title":"Propiedades físicas de algunos suelos de Cuba y su uso en modelos de simulación","volume":"20","author":[{"family":"Cid","given":"Greco"},{"family":"López","given":"Teresa"},{"family":"González","given":"Felicita"},{"family":"Herrera","given":"Julián"}],"issued":{"date-parts":[["2011"]]}}}],"schema":"https://github.com/citation-style-language/schema/raw/master/csl-citation.json"} </w:instrText>
      </w:r>
      <w:r>
        <w:rPr>
          <w:rFonts w:ascii="Arial" w:hAnsi="Arial" w:cs="Arial"/>
          <w:sz w:val="24"/>
          <w:szCs w:val="24"/>
        </w:rPr>
        <w:fldChar w:fldCharType="separate"/>
      </w:r>
      <w:r w:rsidRPr="009D2AA0">
        <w:rPr>
          <w:rFonts w:ascii="Arial" w:hAnsi="Arial" w:cs="Arial"/>
          <w:sz w:val="24"/>
          <w:szCs w:val="24"/>
        </w:rPr>
        <w:t xml:space="preserve">Cid </w:t>
      </w:r>
      <w:r w:rsidRPr="009D2AA0">
        <w:rPr>
          <w:rFonts w:ascii="Arial" w:hAnsi="Arial" w:cs="Arial"/>
          <w:i/>
          <w:sz w:val="24"/>
          <w:szCs w:val="24"/>
        </w:rPr>
        <w:t>et al</w:t>
      </w:r>
      <w:r w:rsidRPr="009D2AA0">
        <w:rPr>
          <w:rFonts w:ascii="Arial" w:hAnsi="Arial" w:cs="Arial"/>
          <w:sz w:val="24"/>
          <w:szCs w:val="24"/>
        </w:rPr>
        <w:t>.</w:t>
      </w:r>
      <w:r>
        <w:rPr>
          <w:rFonts w:ascii="Arial" w:hAnsi="Arial" w:cs="Arial"/>
          <w:sz w:val="24"/>
          <w:szCs w:val="24"/>
        </w:rPr>
        <w:t xml:space="preserve"> (</w:t>
      </w:r>
      <w:r w:rsidRPr="009D2AA0">
        <w:rPr>
          <w:rFonts w:ascii="Arial" w:hAnsi="Arial" w:cs="Arial"/>
          <w:sz w:val="24"/>
          <w:szCs w:val="24"/>
        </w:rPr>
        <w:t>2011)</w:t>
      </w:r>
      <w:r>
        <w:rPr>
          <w:rFonts w:ascii="Arial" w:hAnsi="Arial" w:cs="Arial"/>
          <w:sz w:val="24"/>
          <w:szCs w:val="24"/>
        </w:rPr>
        <w:fldChar w:fldCharType="end"/>
      </w:r>
      <w:r>
        <w:rPr>
          <w:rFonts w:ascii="Arial" w:hAnsi="Arial" w:cs="Arial"/>
          <w:sz w:val="24"/>
          <w:szCs w:val="24"/>
        </w:rPr>
        <w:t xml:space="preserve">. Las mismas fueron realizadas según el procedimiento descrito por </w:t>
      </w:r>
      <w:r>
        <w:rPr>
          <w:rFonts w:ascii="Arial" w:hAnsi="Arial" w:cs="Arial"/>
          <w:sz w:val="24"/>
          <w:szCs w:val="24"/>
        </w:rPr>
        <w:fldChar w:fldCharType="begin"/>
      </w:r>
      <w:r>
        <w:rPr>
          <w:rFonts w:ascii="Arial" w:hAnsi="Arial" w:cs="Arial"/>
          <w:sz w:val="24"/>
          <w:szCs w:val="24"/>
        </w:rPr>
        <w:instrText xml:space="preserve"> ADDIN ZOTERO_ITEM CSL_CITATION {"citationID":"WTvLASUi","properties":{"formattedCitation":"(Paneque, 2010)","plainCitation":"(Paneque, 2010)","dontUpdate":true,"noteIndex":0},"citationItems":[{"id":244,"uris":["http://zotero.org/users/local/NeejuBUy/items/7QGVQLUQ"],"itemData":{"id":244,"type":"book","publisher":"Ediciones INCA","title":"Manual de técnicas analíticas para análisis de suelo, foliar, abonos orgánicos y fertilizantes químicos","author":[{"family":"Paneque","given":"VM"}],"issued":{"date-parts":[["2010"]]}}}],"schema":"https://github.com/citation-style-language/schema/raw/master/csl-citation.json"} </w:instrText>
      </w:r>
      <w:r>
        <w:rPr>
          <w:rFonts w:ascii="Arial" w:hAnsi="Arial" w:cs="Arial"/>
          <w:sz w:val="24"/>
          <w:szCs w:val="24"/>
        </w:rPr>
        <w:fldChar w:fldCharType="separate"/>
      </w:r>
      <w:r w:rsidRPr="009D2AA0">
        <w:rPr>
          <w:rFonts w:ascii="Arial" w:hAnsi="Arial" w:cs="Arial"/>
          <w:sz w:val="24"/>
        </w:rPr>
        <w:t>Paneque</w:t>
      </w:r>
      <w:r>
        <w:rPr>
          <w:rFonts w:ascii="Arial" w:hAnsi="Arial" w:cs="Arial"/>
          <w:sz w:val="24"/>
        </w:rPr>
        <w:t xml:space="preserve"> (</w:t>
      </w:r>
      <w:r w:rsidRPr="009D2AA0">
        <w:rPr>
          <w:rFonts w:ascii="Arial" w:hAnsi="Arial" w:cs="Arial"/>
          <w:sz w:val="24"/>
        </w:rPr>
        <w:t>2010)</w:t>
      </w:r>
      <w:r>
        <w:rPr>
          <w:rFonts w:ascii="Arial" w:hAnsi="Arial" w:cs="Arial"/>
          <w:sz w:val="24"/>
          <w:szCs w:val="24"/>
        </w:rPr>
        <w:fldChar w:fldCharType="end"/>
      </w:r>
      <w:r>
        <w:rPr>
          <w:rFonts w:ascii="Arial" w:hAnsi="Arial" w:cs="Arial"/>
          <w:sz w:val="24"/>
          <w:szCs w:val="24"/>
        </w:rPr>
        <w:t xml:space="preserve"> en el Manual de </w:t>
      </w:r>
      <w:r w:rsidRPr="00DB3129">
        <w:rPr>
          <w:rFonts w:ascii="Arial" w:hAnsi="Arial" w:cs="Arial"/>
          <w:sz w:val="24"/>
          <w:szCs w:val="24"/>
        </w:rPr>
        <w:t>técnicas analíticas para análisis de suelo, foliar, abonos orgánicos y fertilizantes químicos</w:t>
      </w:r>
    </w:p>
    <w:p w14:paraId="43698FA1" w14:textId="6BC7D1BF" w:rsidR="005D6EB7" w:rsidRDefault="008E012D" w:rsidP="00EE6312">
      <w:pPr>
        <w:spacing w:before="120" w:line="360" w:lineRule="auto"/>
        <w:contextualSpacing/>
        <w:jc w:val="both"/>
        <w:rPr>
          <w:rFonts w:ascii="Arial" w:hAnsi="Arial" w:cs="Arial"/>
          <w:b/>
          <w:color w:val="000000"/>
          <w:sz w:val="24"/>
          <w:szCs w:val="24"/>
        </w:rPr>
      </w:pPr>
      <w:r>
        <w:rPr>
          <w:rFonts w:ascii="Arial" w:hAnsi="Arial" w:cs="Arial"/>
          <w:color w:val="000000" w:themeColor="text1"/>
          <w:sz w:val="24"/>
          <w:szCs w:val="24"/>
        </w:rPr>
        <w:t>Tabla x</w:t>
      </w:r>
      <w:r w:rsidRPr="006549C5">
        <w:rPr>
          <w:rFonts w:ascii="Arial" w:hAnsi="Arial" w:cs="Arial"/>
          <w:color w:val="000000" w:themeColor="text1"/>
          <w:sz w:val="24"/>
          <w:szCs w:val="24"/>
        </w:rPr>
        <w:t>.</w:t>
      </w:r>
      <w:r>
        <w:rPr>
          <w:rFonts w:ascii="Arial" w:hAnsi="Arial" w:cs="Arial"/>
          <w:color w:val="000000" w:themeColor="text1"/>
          <w:sz w:val="24"/>
          <w:szCs w:val="24"/>
        </w:rPr>
        <w:t xml:space="preserve"> La descripción del perfil se muestra</w:t>
      </w:r>
    </w:p>
    <w:p w14:paraId="685674BC" w14:textId="77777777" w:rsidR="008E012D" w:rsidRDefault="008E012D" w:rsidP="008E012D">
      <w:pPr>
        <w:autoSpaceDE w:val="0"/>
        <w:autoSpaceDN w:val="0"/>
        <w:adjustRightInd w:val="0"/>
        <w:spacing w:after="0" w:line="240" w:lineRule="auto"/>
        <w:jc w:val="both"/>
        <w:rPr>
          <w:rFonts w:ascii="Arial" w:hAnsi="Arial" w:cs="Arial"/>
          <w:color w:val="000000" w:themeColor="text1"/>
          <w:sz w:val="24"/>
          <w:szCs w:val="24"/>
        </w:rPr>
      </w:pPr>
      <w:r w:rsidRPr="006549C5">
        <w:rPr>
          <w:rFonts w:ascii="Arial" w:hAnsi="Arial" w:cs="Arial"/>
          <w:color w:val="000000" w:themeColor="text1"/>
          <w:sz w:val="24"/>
          <w:szCs w:val="24"/>
        </w:rPr>
        <w:t xml:space="preserve">Tabla 3. </w:t>
      </w:r>
      <w:r>
        <w:rPr>
          <w:rFonts w:ascii="Arial" w:hAnsi="Arial" w:cs="Arial"/>
          <w:color w:val="000000" w:themeColor="text1"/>
          <w:sz w:val="24"/>
          <w:szCs w:val="24"/>
        </w:rPr>
        <w:t>Algunas p</w:t>
      </w:r>
      <w:r w:rsidRPr="006549C5">
        <w:rPr>
          <w:rFonts w:ascii="Arial" w:hAnsi="Arial" w:cs="Arial"/>
          <w:color w:val="000000" w:themeColor="text1"/>
          <w:sz w:val="24"/>
          <w:szCs w:val="24"/>
        </w:rPr>
        <w:t xml:space="preserve">ropiedades </w:t>
      </w:r>
      <w:r>
        <w:rPr>
          <w:rFonts w:ascii="Arial" w:hAnsi="Arial" w:cs="Arial"/>
          <w:color w:val="000000" w:themeColor="text1"/>
          <w:sz w:val="24"/>
          <w:szCs w:val="24"/>
        </w:rPr>
        <w:t xml:space="preserve">físico-químicas </w:t>
      </w:r>
      <w:r w:rsidRPr="006549C5">
        <w:rPr>
          <w:rFonts w:ascii="Arial" w:hAnsi="Arial" w:cs="Arial"/>
          <w:color w:val="000000" w:themeColor="text1"/>
          <w:sz w:val="24"/>
          <w:szCs w:val="24"/>
        </w:rPr>
        <w:t>del suelo donde se desarrollaron los experimentos</w:t>
      </w:r>
      <w:r w:rsidRPr="00B31EB3">
        <w:rPr>
          <w:rFonts w:ascii="Arial" w:hAnsi="Arial" w:cs="Arial"/>
          <w:sz w:val="24"/>
          <w:szCs w:val="24"/>
        </w:rPr>
        <w:t xml:space="preserve"> </w:t>
      </w:r>
      <w:r>
        <w:rPr>
          <w:rFonts w:ascii="Arial" w:hAnsi="Arial" w:cs="Arial"/>
          <w:sz w:val="24"/>
          <w:szCs w:val="24"/>
        </w:rPr>
        <w:t>para la calibración del cultivar P-7928</w:t>
      </w:r>
    </w:p>
    <w:tbl>
      <w:tblPr>
        <w:tblStyle w:val="Tabladecuadrcula5oscura-nfasis4"/>
        <w:tblW w:w="0" w:type="auto"/>
        <w:jc w:val="center"/>
        <w:tblLook w:val="04A0" w:firstRow="1" w:lastRow="0" w:firstColumn="1" w:lastColumn="0" w:noHBand="0" w:noVBand="1"/>
      </w:tblPr>
      <w:tblGrid>
        <w:gridCol w:w="988"/>
        <w:gridCol w:w="684"/>
        <w:gridCol w:w="1654"/>
        <w:gridCol w:w="956"/>
        <w:gridCol w:w="750"/>
        <w:gridCol w:w="707"/>
        <w:gridCol w:w="652"/>
        <w:gridCol w:w="897"/>
      </w:tblGrid>
      <w:tr w:rsidR="008E012D" w14:paraId="6CF09BB5"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Merge w:val="restart"/>
          </w:tcPr>
          <w:p w14:paraId="57C93586"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Prof (cm)</w:t>
            </w:r>
          </w:p>
        </w:tc>
        <w:tc>
          <w:tcPr>
            <w:tcW w:w="684" w:type="dxa"/>
            <w:vMerge w:val="restart"/>
          </w:tcPr>
          <w:p w14:paraId="5D173EBA"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 xml:space="preserve">pH </w:t>
            </w:r>
          </w:p>
          <w:p w14:paraId="5FCE58B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H</w:t>
            </w:r>
            <w:r w:rsidRPr="002E4F0C">
              <w:rPr>
                <w:rFonts w:ascii="Arial" w:hAnsi="Arial" w:cs="Arial"/>
                <w:color w:val="000000" w:themeColor="text1"/>
                <w:sz w:val="24"/>
                <w:szCs w:val="24"/>
                <w:vertAlign w:val="subscript"/>
              </w:rPr>
              <w:t>2</w:t>
            </w:r>
            <w:r w:rsidRPr="002E4F0C">
              <w:rPr>
                <w:rFonts w:ascii="Arial" w:hAnsi="Arial" w:cs="Arial"/>
                <w:color w:val="000000" w:themeColor="text1"/>
                <w:sz w:val="24"/>
                <w:szCs w:val="24"/>
              </w:rPr>
              <w:t>O</w:t>
            </w:r>
          </w:p>
        </w:tc>
        <w:tc>
          <w:tcPr>
            <w:tcW w:w="1654" w:type="dxa"/>
            <w:vMerge w:val="restart"/>
          </w:tcPr>
          <w:p w14:paraId="0A2F051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pt-BR"/>
              </w:rPr>
            </w:pPr>
            <w:r w:rsidRPr="002E4F0C">
              <w:rPr>
                <w:rFonts w:ascii="Arial" w:hAnsi="Arial" w:cs="Arial"/>
                <w:color w:val="000000" w:themeColor="text1"/>
                <w:sz w:val="24"/>
                <w:szCs w:val="24"/>
                <w:lang w:val="pt-BR"/>
              </w:rPr>
              <w:t>P</w:t>
            </w:r>
          </w:p>
          <w:p w14:paraId="48E3AA5C"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lang w:val="pt-BR"/>
              </w:rPr>
            </w:pPr>
            <w:r w:rsidRPr="002E4F0C">
              <w:rPr>
                <w:rFonts w:ascii="Arial" w:hAnsi="Arial" w:cs="Arial"/>
                <w:color w:val="000000" w:themeColor="text1"/>
                <w:sz w:val="24"/>
                <w:szCs w:val="24"/>
                <w:lang w:val="pt-BR"/>
              </w:rPr>
              <w:t xml:space="preserve">asimil </w:t>
            </w:r>
          </w:p>
          <w:p w14:paraId="610B652F"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w:t>
            </w:r>
            <w:r>
              <w:rPr>
                <w:rFonts w:ascii="Arial" w:hAnsi="Arial" w:cs="Arial"/>
                <w:color w:val="000000" w:themeColor="text1"/>
                <w:sz w:val="24"/>
                <w:szCs w:val="24"/>
              </w:rPr>
              <w:t>mg kg</w:t>
            </w:r>
            <w:r w:rsidRPr="00514E6F">
              <w:rPr>
                <w:rFonts w:ascii="Arial" w:hAnsi="Arial" w:cs="Arial"/>
                <w:color w:val="000000" w:themeColor="text1"/>
                <w:sz w:val="24"/>
                <w:szCs w:val="24"/>
                <w:vertAlign w:val="superscript"/>
              </w:rPr>
              <w:t>-1</w:t>
            </w:r>
            <w:r w:rsidRPr="002E4F0C">
              <w:rPr>
                <w:rFonts w:ascii="Arial" w:hAnsi="Arial" w:cs="Arial"/>
                <w:color w:val="000000" w:themeColor="text1"/>
                <w:sz w:val="24"/>
                <w:szCs w:val="24"/>
              </w:rPr>
              <w:t>)</w:t>
            </w:r>
          </w:p>
        </w:tc>
        <w:tc>
          <w:tcPr>
            <w:tcW w:w="956" w:type="dxa"/>
          </w:tcPr>
          <w:p w14:paraId="0D35AD25"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Ca</w:t>
            </w:r>
            <w:r>
              <w:rPr>
                <w:rFonts w:ascii="Arial" w:hAnsi="Arial" w:cs="Arial"/>
                <w:color w:val="000000" w:themeColor="text1"/>
                <w:sz w:val="24"/>
                <w:szCs w:val="24"/>
                <w:vertAlign w:val="superscript"/>
                <w:lang w:val="pt-BR"/>
              </w:rPr>
              <w:t>2</w:t>
            </w:r>
            <w:r w:rsidRPr="002E4F0C">
              <w:rPr>
                <w:rFonts w:ascii="Arial" w:hAnsi="Arial" w:cs="Arial"/>
                <w:color w:val="000000" w:themeColor="text1"/>
                <w:sz w:val="24"/>
                <w:szCs w:val="24"/>
                <w:vertAlign w:val="superscript"/>
                <w:lang w:val="pt-BR"/>
              </w:rPr>
              <w:t>+</w:t>
            </w:r>
            <w:r w:rsidRPr="002E4F0C">
              <w:rPr>
                <w:rFonts w:ascii="Arial" w:hAnsi="Arial" w:cs="Arial"/>
                <w:color w:val="000000" w:themeColor="text1"/>
                <w:sz w:val="24"/>
                <w:szCs w:val="24"/>
                <w:lang w:val="pt-BR"/>
              </w:rPr>
              <w:t xml:space="preserve">                                                                                                                          </w:t>
            </w:r>
          </w:p>
        </w:tc>
        <w:tc>
          <w:tcPr>
            <w:tcW w:w="750" w:type="dxa"/>
          </w:tcPr>
          <w:p w14:paraId="5F401B96"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Mg</w:t>
            </w:r>
            <w:r>
              <w:rPr>
                <w:rFonts w:ascii="Arial" w:hAnsi="Arial" w:cs="Arial"/>
                <w:color w:val="000000" w:themeColor="text1"/>
                <w:sz w:val="24"/>
                <w:szCs w:val="24"/>
                <w:vertAlign w:val="superscript"/>
                <w:lang w:val="pt-BR"/>
              </w:rPr>
              <w:t>2</w:t>
            </w:r>
            <w:r w:rsidRPr="002E4F0C">
              <w:rPr>
                <w:rFonts w:ascii="Arial" w:hAnsi="Arial" w:cs="Arial"/>
                <w:color w:val="000000" w:themeColor="text1"/>
                <w:sz w:val="24"/>
                <w:szCs w:val="24"/>
                <w:vertAlign w:val="superscript"/>
                <w:lang w:val="pt-BR"/>
              </w:rPr>
              <w:t>+</w:t>
            </w:r>
            <w:r w:rsidRPr="002E4F0C">
              <w:rPr>
                <w:rFonts w:ascii="Arial" w:hAnsi="Arial" w:cs="Arial"/>
                <w:color w:val="000000" w:themeColor="text1"/>
                <w:sz w:val="24"/>
                <w:szCs w:val="24"/>
                <w:lang w:val="pt-BR"/>
              </w:rPr>
              <w:t xml:space="preserve">                           </w:t>
            </w:r>
          </w:p>
        </w:tc>
        <w:tc>
          <w:tcPr>
            <w:tcW w:w="707" w:type="dxa"/>
          </w:tcPr>
          <w:p w14:paraId="396F3DB5"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Na</w:t>
            </w:r>
            <w:r w:rsidRPr="002E4F0C">
              <w:rPr>
                <w:rFonts w:ascii="Arial" w:hAnsi="Arial" w:cs="Arial"/>
                <w:color w:val="000000" w:themeColor="text1"/>
                <w:sz w:val="24"/>
                <w:szCs w:val="24"/>
                <w:vertAlign w:val="superscript"/>
                <w:lang w:val="pt-BR"/>
              </w:rPr>
              <w:t>+</w:t>
            </w:r>
          </w:p>
        </w:tc>
        <w:tc>
          <w:tcPr>
            <w:tcW w:w="652" w:type="dxa"/>
          </w:tcPr>
          <w:p w14:paraId="7B9F1806"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K</w:t>
            </w:r>
            <w:r w:rsidRPr="002E4F0C">
              <w:rPr>
                <w:rFonts w:ascii="Arial" w:hAnsi="Arial" w:cs="Arial"/>
                <w:color w:val="000000" w:themeColor="text1"/>
                <w:sz w:val="24"/>
                <w:szCs w:val="24"/>
                <w:vertAlign w:val="superscript"/>
                <w:lang w:val="pt-BR"/>
              </w:rPr>
              <w:t>+</w:t>
            </w:r>
          </w:p>
        </w:tc>
        <w:tc>
          <w:tcPr>
            <w:tcW w:w="897" w:type="dxa"/>
          </w:tcPr>
          <w:p w14:paraId="2169A521" w14:textId="77777777" w:rsidR="008E012D" w:rsidRPr="002E4F0C" w:rsidRDefault="008E012D" w:rsidP="00252DF7">
            <w:pPr>
              <w:spacing w:line="36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lang w:val="pt-BR"/>
              </w:rPr>
              <w:t>Suma</w:t>
            </w:r>
          </w:p>
        </w:tc>
      </w:tr>
      <w:tr w:rsidR="008E012D" w14:paraId="2E6EF0B3"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vMerge/>
          </w:tcPr>
          <w:p w14:paraId="65925BD9" w14:textId="77777777" w:rsidR="008E012D" w:rsidRPr="002E4F0C" w:rsidRDefault="008E012D" w:rsidP="00252DF7">
            <w:pPr>
              <w:spacing w:line="360" w:lineRule="auto"/>
              <w:jc w:val="center"/>
              <w:rPr>
                <w:rFonts w:ascii="Arial" w:hAnsi="Arial" w:cs="Arial"/>
                <w:color w:val="000000" w:themeColor="text1"/>
                <w:sz w:val="24"/>
                <w:szCs w:val="24"/>
              </w:rPr>
            </w:pPr>
          </w:p>
        </w:tc>
        <w:tc>
          <w:tcPr>
            <w:tcW w:w="684" w:type="dxa"/>
            <w:vMerge/>
          </w:tcPr>
          <w:p w14:paraId="3ADA7FA8"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p>
        </w:tc>
        <w:tc>
          <w:tcPr>
            <w:tcW w:w="1654" w:type="dxa"/>
            <w:vMerge/>
          </w:tcPr>
          <w:p w14:paraId="6B60121E"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p>
        </w:tc>
        <w:tc>
          <w:tcPr>
            <w:tcW w:w="3962" w:type="dxa"/>
            <w:gridSpan w:val="5"/>
            <w:shd w:val="clear" w:color="auto" w:fill="FFC000" w:themeFill="accent4"/>
          </w:tcPr>
          <w:p w14:paraId="5FA3EAAE"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b/>
                <w:color w:val="000000" w:themeColor="text1"/>
                <w:sz w:val="24"/>
                <w:szCs w:val="24"/>
              </w:rPr>
            </w:pPr>
            <w:r w:rsidRPr="002E4F0C">
              <w:rPr>
                <w:rFonts w:ascii="Arial" w:hAnsi="Arial" w:cs="Arial"/>
                <w:b/>
                <w:color w:val="000000" w:themeColor="text1"/>
                <w:sz w:val="24"/>
                <w:szCs w:val="24"/>
                <w:lang w:val="pt-BR"/>
              </w:rPr>
              <w:t>cmol kg</w:t>
            </w:r>
            <w:r w:rsidRPr="002E4F0C">
              <w:rPr>
                <w:rFonts w:ascii="Arial" w:hAnsi="Arial" w:cs="Arial"/>
                <w:b/>
                <w:color w:val="000000" w:themeColor="text1"/>
                <w:sz w:val="24"/>
                <w:szCs w:val="24"/>
                <w:vertAlign w:val="superscript"/>
                <w:lang w:val="pt-BR"/>
              </w:rPr>
              <w:t>-1</w:t>
            </w:r>
          </w:p>
        </w:tc>
      </w:tr>
      <w:tr w:rsidR="008E012D" w14:paraId="3C82F895"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7114D48C"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0-19</w:t>
            </w:r>
          </w:p>
        </w:tc>
        <w:tc>
          <w:tcPr>
            <w:tcW w:w="684" w:type="dxa"/>
          </w:tcPr>
          <w:p w14:paraId="472AF0A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7,34</w:t>
            </w:r>
          </w:p>
        </w:tc>
        <w:tc>
          <w:tcPr>
            <w:tcW w:w="1654" w:type="dxa"/>
          </w:tcPr>
          <w:p w14:paraId="555FF364"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24,9</w:t>
            </w:r>
          </w:p>
        </w:tc>
        <w:tc>
          <w:tcPr>
            <w:tcW w:w="956" w:type="dxa"/>
          </w:tcPr>
          <w:p w14:paraId="5D09154C"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16,3</w:t>
            </w:r>
          </w:p>
        </w:tc>
        <w:tc>
          <w:tcPr>
            <w:tcW w:w="750" w:type="dxa"/>
          </w:tcPr>
          <w:p w14:paraId="4082F9DF"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2,1</w:t>
            </w:r>
          </w:p>
        </w:tc>
        <w:tc>
          <w:tcPr>
            <w:tcW w:w="707" w:type="dxa"/>
          </w:tcPr>
          <w:p w14:paraId="7BB8C41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7A488025"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0,9</w:t>
            </w:r>
          </w:p>
        </w:tc>
        <w:tc>
          <w:tcPr>
            <w:tcW w:w="897" w:type="dxa"/>
          </w:tcPr>
          <w:p w14:paraId="4A691622"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19,5</w:t>
            </w:r>
          </w:p>
        </w:tc>
      </w:tr>
      <w:tr w:rsidR="008E012D" w14:paraId="08AF29DA"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07874AFE"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19-44</w:t>
            </w:r>
          </w:p>
        </w:tc>
        <w:tc>
          <w:tcPr>
            <w:tcW w:w="684" w:type="dxa"/>
          </w:tcPr>
          <w:p w14:paraId="6C54A419"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6,85</w:t>
            </w:r>
          </w:p>
        </w:tc>
        <w:tc>
          <w:tcPr>
            <w:tcW w:w="1654" w:type="dxa"/>
          </w:tcPr>
          <w:p w14:paraId="06284B4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18,8</w:t>
            </w:r>
          </w:p>
        </w:tc>
        <w:tc>
          <w:tcPr>
            <w:tcW w:w="956" w:type="dxa"/>
          </w:tcPr>
          <w:p w14:paraId="52DC5707"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13,4</w:t>
            </w:r>
          </w:p>
        </w:tc>
        <w:tc>
          <w:tcPr>
            <w:tcW w:w="750" w:type="dxa"/>
          </w:tcPr>
          <w:p w14:paraId="6A0393E3"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2,8</w:t>
            </w:r>
          </w:p>
        </w:tc>
        <w:tc>
          <w:tcPr>
            <w:tcW w:w="707" w:type="dxa"/>
          </w:tcPr>
          <w:p w14:paraId="264D5E5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0128A7D1"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0,5</w:t>
            </w:r>
          </w:p>
        </w:tc>
        <w:tc>
          <w:tcPr>
            <w:tcW w:w="897" w:type="dxa"/>
          </w:tcPr>
          <w:p w14:paraId="0FBAB49A"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16,9</w:t>
            </w:r>
          </w:p>
        </w:tc>
      </w:tr>
      <w:tr w:rsidR="008E012D" w14:paraId="55344C51" w14:textId="77777777" w:rsidTr="00252DF7">
        <w:trPr>
          <w:jc w:val="center"/>
        </w:trPr>
        <w:tc>
          <w:tcPr>
            <w:cnfStyle w:val="001000000000" w:firstRow="0" w:lastRow="0" w:firstColumn="1" w:lastColumn="0" w:oddVBand="0" w:evenVBand="0" w:oddHBand="0" w:evenHBand="0" w:firstRowFirstColumn="0" w:firstRowLastColumn="0" w:lastRowFirstColumn="0" w:lastRowLastColumn="0"/>
            <w:tcW w:w="988" w:type="dxa"/>
          </w:tcPr>
          <w:p w14:paraId="42E54E20"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44-60</w:t>
            </w:r>
          </w:p>
        </w:tc>
        <w:tc>
          <w:tcPr>
            <w:tcW w:w="684" w:type="dxa"/>
          </w:tcPr>
          <w:p w14:paraId="71F2ED1D"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6,72</w:t>
            </w:r>
          </w:p>
        </w:tc>
        <w:tc>
          <w:tcPr>
            <w:tcW w:w="1654" w:type="dxa"/>
          </w:tcPr>
          <w:p w14:paraId="0F7F5EA2"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14,4</w:t>
            </w:r>
          </w:p>
        </w:tc>
        <w:tc>
          <w:tcPr>
            <w:tcW w:w="956" w:type="dxa"/>
          </w:tcPr>
          <w:p w14:paraId="245E3250"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9,5</w:t>
            </w:r>
          </w:p>
        </w:tc>
        <w:tc>
          <w:tcPr>
            <w:tcW w:w="750" w:type="dxa"/>
          </w:tcPr>
          <w:p w14:paraId="4CBCE926"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1,5</w:t>
            </w:r>
          </w:p>
        </w:tc>
        <w:tc>
          <w:tcPr>
            <w:tcW w:w="707" w:type="dxa"/>
          </w:tcPr>
          <w:p w14:paraId="06493897"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420CADE8"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0,3</w:t>
            </w:r>
          </w:p>
        </w:tc>
        <w:tc>
          <w:tcPr>
            <w:tcW w:w="897" w:type="dxa"/>
          </w:tcPr>
          <w:p w14:paraId="7B7867D5" w14:textId="77777777" w:rsidR="008E012D" w:rsidRPr="002E4F0C" w:rsidRDefault="008E012D" w:rsidP="00252DF7">
            <w:pPr>
              <w:spacing w:line="360" w:lineRule="auto"/>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11,5</w:t>
            </w:r>
          </w:p>
        </w:tc>
      </w:tr>
      <w:tr w:rsidR="008E012D" w14:paraId="315851D7"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88" w:type="dxa"/>
          </w:tcPr>
          <w:p w14:paraId="526095AB" w14:textId="77777777" w:rsidR="008E012D" w:rsidRPr="002E4F0C" w:rsidRDefault="008E012D" w:rsidP="00252DF7">
            <w:pPr>
              <w:spacing w:line="360" w:lineRule="auto"/>
              <w:jc w:val="center"/>
              <w:rPr>
                <w:rFonts w:ascii="Arial" w:hAnsi="Arial" w:cs="Arial"/>
                <w:color w:val="000000" w:themeColor="text1"/>
                <w:sz w:val="24"/>
                <w:szCs w:val="24"/>
              </w:rPr>
            </w:pPr>
            <w:r w:rsidRPr="002E4F0C">
              <w:rPr>
                <w:rFonts w:ascii="Arial" w:hAnsi="Arial" w:cs="Arial"/>
                <w:color w:val="000000" w:themeColor="text1"/>
                <w:sz w:val="24"/>
                <w:szCs w:val="24"/>
              </w:rPr>
              <w:t>60-100</w:t>
            </w:r>
          </w:p>
        </w:tc>
        <w:tc>
          <w:tcPr>
            <w:tcW w:w="684" w:type="dxa"/>
          </w:tcPr>
          <w:p w14:paraId="5E5A9D95"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5,77</w:t>
            </w:r>
          </w:p>
        </w:tc>
        <w:tc>
          <w:tcPr>
            <w:tcW w:w="1654" w:type="dxa"/>
          </w:tcPr>
          <w:p w14:paraId="555C3C83"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13,5</w:t>
            </w:r>
          </w:p>
        </w:tc>
        <w:tc>
          <w:tcPr>
            <w:tcW w:w="956" w:type="dxa"/>
          </w:tcPr>
          <w:p w14:paraId="4E8A5032"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8,3</w:t>
            </w:r>
          </w:p>
        </w:tc>
        <w:tc>
          <w:tcPr>
            <w:tcW w:w="750" w:type="dxa"/>
          </w:tcPr>
          <w:p w14:paraId="2B336981"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1,0</w:t>
            </w:r>
          </w:p>
        </w:tc>
        <w:tc>
          <w:tcPr>
            <w:tcW w:w="707" w:type="dxa"/>
          </w:tcPr>
          <w:p w14:paraId="6E633D72"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652" w:type="dxa"/>
          </w:tcPr>
          <w:p w14:paraId="70393878"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0,2</w:t>
            </w:r>
          </w:p>
        </w:tc>
        <w:tc>
          <w:tcPr>
            <w:tcW w:w="897" w:type="dxa"/>
          </w:tcPr>
          <w:p w14:paraId="5E384FC0" w14:textId="77777777" w:rsidR="008E012D" w:rsidRPr="002E4F0C" w:rsidRDefault="008E012D" w:rsidP="00252DF7">
            <w:pPr>
              <w:spacing w:line="36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2E4F0C">
              <w:rPr>
                <w:rFonts w:ascii="Arial" w:hAnsi="Arial" w:cs="Arial"/>
                <w:color w:val="000000" w:themeColor="text1"/>
                <w:sz w:val="24"/>
                <w:szCs w:val="24"/>
              </w:rPr>
              <w:t>9,7</w:t>
            </w:r>
          </w:p>
        </w:tc>
      </w:tr>
    </w:tbl>
    <w:p w14:paraId="3E3091CF" w14:textId="77777777" w:rsidR="008E012D" w:rsidRDefault="008E012D" w:rsidP="00EE6312">
      <w:pPr>
        <w:spacing w:before="120" w:line="360" w:lineRule="auto"/>
        <w:contextualSpacing/>
        <w:jc w:val="both"/>
        <w:rPr>
          <w:rFonts w:ascii="Arial" w:hAnsi="Arial" w:cs="Arial"/>
          <w:b/>
          <w:color w:val="000000"/>
          <w:sz w:val="24"/>
          <w:szCs w:val="24"/>
        </w:rPr>
      </w:pPr>
    </w:p>
    <w:p w14:paraId="688AC27E" w14:textId="2E544234" w:rsidR="008E012D" w:rsidRDefault="008E012D" w:rsidP="00EE6312">
      <w:pPr>
        <w:spacing w:before="120" w:line="360" w:lineRule="auto"/>
        <w:contextualSpacing/>
        <w:jc w:val="both"/>
        <w:rPr>
          <w:rFonts w:ascii="Arial" w:hAnsi="Arial" w:cs="Arial"/>
          <w:b/>
          <w:color w:val="000000"/>
          <w:sz w:val="24"/>
          <w:szCs w:val="24"/>
        </w:rPr>
      </w:pPr>
    </w:p>
    <w:p w14:paraId="717C83FA" w14:textId="77777777" w:rsidR="008E012D" w:rsidRDefault="008E012D" w:rsidP="00EE6312">
      <w:pPr>
        <w:spacing w:before="120" w:line="360" w:lineRule="auto"/>
        <w:contextualSpacing/>
        <w:jc w:val="both"/>
        <w:rPr>
          <w:rFonts w:ascii="Arial" w:hAnsi="Arial" w:cs="Arial"/>
          <w:b/>
          <w:color w:val="000000"/>
          <w:sz w:val="24"/>
          <w:szCs w:val="24"/>
        </w:rPr>
      </w:pPr>
    </w:p>
    <w:p w14:paraId="7EEC92F8" w14:textId="261D7413" w:rsidR="00EE6312" w:rsidRDefault="00EE6312" w:rsidP="00EE6312">
      <w:pPr>
        <w:spacing w:before="120" w:line="360" w:lineRule="auto"/>
        <w:contextualSpacing/>
        <w:jc w:val="both"/>
        <w:rPr>
          <w:rFonts w:ascii="Arial" w:hAnsi="Arial" w:cs="Arial"/>
          <w:b/>
          <w:color w:val="000000"/>
          <w:sz w:val="24"/>
          <w:szCs w:val="24"/>
        </w:rPr>
      </w:pPr>
      <w:r w:rsidRPr="00ED7B50">
        <w:rPr>
          <w:rFonts w:ascii="Arial" w:hAnsi="Arial" w:cs="Arial"/>
          <w:b/>
          <w:color w:val="000000"/>
          <w:sz w:val="24"/>
          <w:szCs w:val="24"/>
        </w:rPr>
        <w:t>Preparación de los ficheros de entrada</w:t>
      </w:r>
    </w:p>
    <w:p w14:paraId="77589EE1" w14:textId="47E6A2F0" w:rsidR="005D6EB7" w:rsidRPr="0041771C" w:rsidRDefault="005D6EB7" w:rsidP="005D6EB7">
      <w:pPr>
        <w:autoSpaceDE w:val="0"/>
        <w:autoSpaceDN w:val="0"/>
        <w:adjustRightInd w:val="0"/>
        <w:spacing w:after="0" w:line="480" w:lineRule="auto"/>
        <w:jc w:val="both"/>
        <w:rPr>
          <w:rFonts w:ascii="Arial" w:hAnsi="Arial" w:cs="Arial"/>
          <w:color w:val="221F1F"/>
          <w:sz w:val="24"/>
          <w:szCs w:val="24"/>
        </w:rPr>
      </w:pPr>
      <w:r w:rsidRPr="0041771C">
        <w:rPr>
          <w:rFonts w:ascii="Arial" w:hAnsi="Arial" w:cs="Arial"/>
          <w:color w:val="221F1F"/>
          <w:sz w:val="24"/>
          <w:szCs w:val="24"/>
        </w:rPr>
        <w:lastRenderedPageBreak/>
        <w:t>Se crearon seis ficheros de entrada para correr el modelo CERES-Maize insertado</w:t>
      </w:r>
      <w:r>
        <w:rPr>
          <w:rFonts w:ascii="Arial" w:hAnsi="Arial" w:cs="Arial"/>
          <w:color w:val="221F1F"/>
          <w:sz w:val="24"/>
          <w:szCs w:val="24"/>
        </w:rPr>
        <w:t xml:space="preserve"> en DSSAT v4.8.2: fichero X, fichero A</w:t>
      </w:r>
      <w:r w:rsidRPr="0041771C">
        <w:rPr>
          <w:rFonts w:ascii="Arial" w:hAnsi="Arial" w:cs="Arial"/>
          <w:color w:val="221F1F"/>
          <w:sz w:val="24"/>
          <w:szCs w:val="24"/>
        </w:rPr>
        <w:t>, fic</w:t>
      </w:r>
      <w:r>
        <w:rPr>
          <w:rFonts w:ascii="Arial" w:hAnsi="Arial" w:cs="Arial"/>
          <w:color w:val="221F1F"/>
          <w:sz w:val="24"/>
          <w:szCs w:val="24"/>
        </w:rPr>
        <w:t>hero T</w:t>
      </w:r>
      <w:r w:rsidRPr="0041771C">
        <w:rPr>
          <w:rFonts w:ascii="Arial" w:hAnsi="Arial" w:cs="Arial"/>
          <w:color w:val="221F1F"/>
          <w:sz w:val="24"/>
          <w:szCs w:val="24"/>
        </w:rPr>
        <w:t>, fichero de suelo, fichero de clima y fichero de</w:t>
      </w:r>
      <w:r>
        <w:rPr>
          <w:rFonts w:ascii="Arial" w:hAnsi="Arial" w:cs="Arial"/>
          <w:color w:val="221F1F"/>
          <w:sz w:val="24"/>
          <w:szCs w:val="24"/>
        </w:rPr>
        <w:t xml:space="preserve"> coeficientes genéticos</w:t>
      </w:r>
      <w:r w:rsidRPr="0041771C">
        <w:rPr>
          <w:rFonts w:ascii="Arial" w:hAnsi="Arial" w:cs="Arial"/>
          <w:color w:val="221F1F"/>
          <w:sz w:val="24"/>
          <w:szCs w:val="24"/>
        </w:rPr>
        <w:t xml:space="preserve">. </w:t>
      </w:r>
    </w:p>
    <w:p w14:paraId="1DD41DDE" w14:textId="77777777" w:rsidR="005D6EB7" w:rsidRPr="0041771C" w:rsidRDefault="005D6EB7" w:rsidP="005D6EB7">
      <w:pPr>
        <w:autoSpaceDE w:val="0"/>
        <w:autoSpaceDN w:val="0"/>
        <w:adjustRightInd w:val="0"/>
        <w:spacing w:after="0" w:line="480" w:lineRule="auto"/>
        <w:jc w:val="both"/>
        <w:rPr>
          <w:rFonts w:ascii="Arial" w:hAnsi="Arial" w:cs="Arial"/>
          <w:color w:val="221F1F"/>
          <w:sz w:val="24"/>
          <w:szCs w:val="24"/>
        </w:rPr>
      </w:pPr>
      <w:r w:rsidRPr="00C84161">
        <w:rPr>
          <w:rFonts w:ascii="Arial" w:hAnsi="Arial" w:cs="Arial"/>
          <w:color w:val="221F1F"/>
          <w:sz w:val="24"/>
          <w:szCs w:val="24"/>
        </w:rPr>
        <w:t>En los ficheros A y T, se almacenaron los valores de las variables fisiológicas observadas en los experimentos, expresadas en kg ha</w:t>
      </w:r>
      <w:r w:rsidRPr="00C84161">
        <w:rPr>
          <w:rFonts w:ascii="Arial" w:hAnsi="Arial" w:cs="Arial"/>
          <w:color w:val="221F1F"/>
          <w:sz w:val="24"/>
          <w:szCs w:val="24"/>
          <w:vertAlign w:val="superscript"/>
        </w:rPr>
        <w:t>-1</w:t>
      </w:r>
      <w:r w:rsidRPr="00C84161">
        <w:rPr>
          <w:rFonts w:ascii="Arial" w:hAnsi="Arial" w:cs="Arial"/>
          <w:color w:val="221F1F"/>
          <w:sz w:val="24"/>
          <w:szCs w:val="24"/>
        </w:rPr>
        <w:t>, y se compararon con los valores simulados por el modelo para la calibración.</w:t>
      </w:r>
      <w:r w:rsidRPr="0041771C">
        <w:rPr>
          <w:rFonts w:ascii="Arial" w:hAnsi="Arial" w:cs="Arial"/>
          <w:color w:val="221F1F"/>
          <w:sz w:val="24"/>
          <w:szCs w:val="24"/>
        </w:rPr>
        <w:t xml:space="preserve"> </w:t>
      </w:r>
    </w:p>
    <w:p w14:paraId="6D8A9880" w14:textId="77777777" w:rsidR="005D6EB7" w:rsidRPr="00CA14B3" w:rsidRDefault="005D6EB7" w:rsidP="005D6EB7">
      <w:pPr>
        <w:autoSpaceDE w:val="0"/>
        <w:autoSpaceDN w:val="0"/>
        <w:adjustRightInd w:val="0"/>
        <w:spacing w:after="0" w:line="480" w:lineRule="auto"/>
        <w:jc w:val="both"/>
        <w:rPr>
          <w:rFonts w:ascii="Arial" w:hAnsi="Arial" w:cs="Arial"/>
          <w:color w:val="221F1F"/>
          <w:sz w:val="24"/>
          <w:szCs w:val="24"/>
        </w:rPr>
      </w:pPr>
      <w:r w:rsidRPr="0041771C">
        <w:rPr>
          <w:rFonts w:ascii="Arial" w:hAnsi="Arial" w:cs="Arial"/>
          <w:color w:val="221F1F"/>
          <w:sz w:val="24"/>
          <w:szCs w:val="24"/>
        </w:rPr>
        <w:t>En el fichero X, se almacenaron datos de las condiciones de campo, tratamientos experimentales y opciones de simulación. La mayor parte de este fichero son los datos de manejo de la producción de cultivos, separados en varias secciones.</w:t>
      </w:r>
    </w:p>
    <w:p w14:paraId="75999D08" w14:textId="294F17B1" w:rsidR="005D6EB7" w:rsidRDefault="005D6EB7" w:rsidP="00EE6312">
      <w:pPr>
        <w:spacing w:before="120" w:line="360" w:lineRule="auto"/>
        <w:contextualSpacing/>
        <w:jc w:val="both"/>
        <w:rPr>
          <w:rFonts w:ascii="Arial" w:hAnsi="Arial" w:cs="Arial"/>
          <w:b/>
          <w:color w:val="000000"/>
          <w:sz w:val="24"/>
          <w:szCs w:val="24"/>
        </w:rPr>
      </w:pPr>
    </w:p>
    <w:p w14:paraId="6CF1C8AD" w14:textId="55DCC043" w:rsidR="005D6EB7" w:rsidRDefault="005D6EB7" w:rsidP="00EE6312">
      <w:pPr>
        <w:spacing w:before="120" w:line="360" w:lineRule="auto"/>
        <w:contextualSpacing/>
        <w:jc w:val="both"/>
        <w:rPr>
          <w:rFonts w:ascii="Arial" w:hAnsi="Arial" w:cs="Arial"/>
          <w:b/>
          <w:color w:val="000000"/>
          <w:sz w:val="24"/>
          <w:szCs w:val="24"/>
        </w:rPr>
      </w:pPr>
      <w:r>
        <w:rPr>
          <w:rFonts w:ascii="Arial" w:hAnsi="Arial" w:cs="Arial"/>
          <w:b/>
          <w:color w:val="000000"/>
          <w:sz w:val="24"/>
          <w:szCs w:val="24"/>
        </w:rPr>
        <w:t>Coeficientes genéticos utilizados</w:t>
      </w:r>
    </w:p>
    <w:p w14:paraId="7F828585" w14:textId="3C0B1712" w:rsidR="005D6EB7" w:rsidRDefault="005D6EB7" w:rsidP="005D6EB7">
      <w:pPr>
        <w:autoSpaceDE w:val="0"/>
        <w:autoSpaceDN w:val="0"/>
        <w:adjustRightInd w:val="0"/>
        <w:spacing w:after="0" w:line="480" w:lineRule="auto"/>
        <w:jc w:val="both"/>
        <w:rPr>
          <w:rStyle w:val="tlid-translation"/>
          <w:rFonts w:ascii="Arial" w:hAnsi="Arial" w:cs="Arial"/>
          <w:sz w:val="24"/>
          <w:szCs w:val="24"/>
        </w:rPr>
      </w:pPr>
      <w:r>
        <w:rPr>
          <w:rStyle w:val="tlid-translation"/>
          <w:rFonts w:ascii="Arial" w:hAnsi="Arial" w:cs="Arial"/>
          <w:sz w:val="24"/>
          <w:szCs w:val="24"/>
        </w:rPr>
        <w:t>En la investigación se utilizaron los coeficientes genéticos obtenidos para el cultivar de maiz</w:t>
      </w:r>
      <w:r w:rsidRPr="005D6EB7">
        <w:rPr>
          <w:rFonts w:ascii="Arial" w:hAnsi="Arial" w:cs="Arial"/>
          <w:sz w:val="24"/>
          <w:szCs w:val="24"/>
        </w:rPr>
        <w:t xml:space="preserve"> </w:t>
      </w:r>
      <w:r w:rsidRPr="00616A90">
        <w:rPr>
          <w:rFonts w:ascii="Arial" w:hAnsi="Arial" w:cs="Arial"/>
          <w:sz w:val="24"/>
          <w:szCs w:val="24"/>
        </w:rPr>
        <w:t>P-7928</w:t>
      </w:r>
      <w:r>
        <w:rPr>
          <w:rFonts w:ascii="Arial" w:hAnsi="Arial" w:cs="Arial"/>
          <w:sz w:val="24"/>
          <w:szCs w:val="24"/>
        </w:rPr>
        <w:t xml:space="preserve"> (tesis </w:t>
      </w:r>
      <w:r w:rsidR="00252DF7">
        <w:rPr>
          <w:rFonts w:ascii="Arial" w:hAnsi="Arial" w:cs="Arial"/>
          <w:sz w:val="24"/>
          <w:szCs w:val="24"/>
        </w:rPr>
        <w:t xml:space="preserve">o artículo </w:t>
      </w:r>
      <w:r>
        <w:rPr>
          <w:rFonts w:ascii="Arial" w:hAnsi="Arial" w:cs="Arial"/>
          <w:sz w:val="24"/>
          <w:szCs w:val="24"/>
        </w:rPr>
        <w:t>de Osmel)</w:t>
      </w:r>
      <w:r w:rsidRPr="00311B78">
        <w:rPr>
          <w:rStyle w:val="tlid-translation"/>
          <w:rFonts w:ascii="Arial" w:hAnsi="Arial" w:cs="Arial"/>
          <w:sz w:val="24"/>
          <w:szCs w:val="24"/>
        </w:rPr>
        <w:t xml:space="preserve">. </w:t>
      </w:r>
    </w:p>
    <w:p w14:paraId="4D494DD4" w14:textId="77777777" w:rsidR="005D6EB7" w:rsidRPr="007C4035" w:rsidRDefault="005D6EB7" w:rsidP="005D6EB7">
      <w:pPr>
        <w:spacing w:after="0" w:line="480" w:lineRule="auto"/>
        <w:jc w:val="both"/>
        <w:rPr>
          <w:rFonts w:ascii="Arial" w:hAnsi="Arial" w:cs="Arial"/>
          <w:color w:val="FF0000"/>
          <w:sz w:val="24"/>
          <w:szCs w:val="24"/>
        </w:rPr>
      </w:pPr>
      <w:r w:rsidRPr="0046696E">
        <w:rPr>
          <w:rFonts w:ascii="Arial" w:hAnsi="Arial" w:cs="Arial"/>
          <w:color w:val="000000" w:themeColor="text1"/>
          <w:sz w:val="24"/>
          <w:szCs w:val="24"/>
        </w:rPr>
        <w:t xml:space="preserve">P1: Este coeficiente hace referencia a la cantidad de GDCA que necesita la planta desde su emergencia hasta la aparición del primordio floral. Este dato no fue medido en los experimentos realizados. </w:t>
      </w:r>
      <w:r>
        <w:rPr>
          <w:rFonts w:ascii="Arial" w:hAnsi="Arial" w:cs="Arial"/>
          <w:color w:val="000000" w:themeColor="text1"/>
          <w:sz w:val="24"/>
          <w:szCs w:val="24"/>
        </w:rPr>
        <w:t xml:space="preserve">Se tomó como valor inicial 100 GDCA basado en resultados de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{"citationID":"LD259Egf","properties":{"formattedCitation":"(Hunter et\\uc0\\u160{}al., 1977)","plainCitation":"(Hunter et al., 1977)","dontUpdate":true,"noteIndex":0},"citationItems":[{"id":281,"uris":["http://zotero.org/users/local/NeejuBUy/items/Y6MLCF23"],"itemData":{"id":281,"type":"article-journal","abstract":"A single-cross maize (Zea mays L.) hybrid was grown to maturity in the four combinations of two temperatures, 20 and 30 C, and two photoperiods, 10 and 20 h, in controlled-environment growth cabinets. Measurements of dry weights of plant components were made at tassel initiation, mid-anthesis, mid-anthesis plus 16 days, and maturity. The longer photoperiod and cooler temperature treatment produced the highest final plant dry weight. Average daily dry matter (DM) production was greater for plants grown at the longer photoperiod. This could largely be attributed to a higher leaf area per plant. The duration of DM production was longer at the cooler temperature. Grain yields were higher under the lower temperature because of an increase in the length of the grain-filling period and because a greater proportion of the post-anthesis DM was allocated to the grain. The results of this study showed a significant photoperiod × temperature interaction for length of the grain-filling period, kernel number and grain yield. Post-anthesis DM accumulation did not appear to be a limiting factor for grain yield. The effects of temperature and photoperiod on length of the grain-filling period and grain yield may have been partly mediated through the size of the grain sink.","container-title":"Canadian Journal of Plant Science","DOI":"10.4141/cjps77-167","ISSN":"0008-4220, 1918-1833","issue":"4","language":"en","page":"1127-1133","source":"DOI.org (Crossref)","title":"Effects of photoperiod and temperature on vegetative and reproductive growth of a maize (Zea Mays) hybrid","volume":"57","author":[{"family":"Hunter","given":"RB"},{"family":"Tollenaar","given":"M"},{"family":"Breuer","given":"CM"}],"issued":{"date-parts":[["1977"]]}}}],"schema":"https://github.com/citation-style-language/schema/raw/master/csl-citation.json"} </w:instrText>
      </w:r>
      <w:r>
        <w:rPr>
          <w:rFonts w:ascii="Arial" w:hAnsi="Arial" w:cs="Arial"/>
          <w:color w:val="000000" w:themeColor="text1"/>
          <w:sz w:val="24"/>
          <w:szCs w:val="24"/>
        </w:rPr>
        <w:fldChar w:fldCharType="separate"/>
      </w:r>
      <w:r w:rsidRPr="00AB4C8F">
        <w:rPr>
          <w:rFonts w:ascii="Arial" w:hAnsi="Arial" w:cs="Arial"/>
          <w:sz w:val="24"/>
          <w:szCs w:val="24"/>
        </w:rPr>
        <w:t xml:space="preserve">Hunter </w:t>
      </w:r>
      <w:r w:rsidRPr="00AB4C8F">
        <w:rPr>
          <w:rFonts w:ascii="Arial" w:hAnsi="Arial" w:cs="Arial"/>
          <w:i/>
          <w:sz w:val="24"/>
          <w:szCs w:val="24"/>
        </w:rPr>
        <w:t>et al</w:t>
      </w:r>
      <w:r w:rsidRPr="00AB4C8F">
        <w:rPr>
          <w:rFonts w:ascii="Arial" w:hAnsi="Arial" w:cs="Arial"/>
          <w:sz w:val="24"/>
          <w:szCs w:val="24"/>
        </w:rPr>
        <w:t>.</w:t>
      </w:r>
      <w:r>
        <w:rPr>
          <w:rFonts w:ascii="Arial" w:hAnsi="Arial" w:cs="Arial"/>
          <w:sz w:val="24"/>
          <w:szCs w:val="24"/>
        </w:rPr>
        <w:t xml:space="preserve"> (</w:t>
      </w:r>
      <w:r w:rsidRPr="00AB4C8F">
        <w:rPr>
          <w:rFonts w:ascii="Arial" w:hAnsi="Arial" w:cs="Arial"/>
          <w:sz w:val="24"/>
          <w:szCs w:val="24"/>
        </w:rPr>
        <w:t>1977)</w:t>
      </w:r>
      <w:r>
        <w:rPr>
          <w:rFonts w:ascii="Arial" w:hAnsi="Arial" w:cs="Arial"/>
          <w:color w:val="000000" w:themeColor="text1"/>
          <w:sz w:val="24"/>
          <w:szCs w:val="24"/>
        </w:rPr>
        <w:fldChar w:fldCharType="end"/>
      </w:r>
      <w:r>
        <w:rPr>
          <w:rFonts w:ascii="Arial" w:hAnsi="Arial" w:cs="Arial"/>
          <w:color w:val="000000" w:themeColor="text1"/>
          <w:sz w:val="24"/>
          <w:szCs w:val="24"/>
        </w:rPr>
        <w:t>,</w:t>
      </w:r>
      <w:r w:rsidRPr="007C4035">
        <w:rPr>
          <w:rFonts w:ascii="Arial" w:hAnsi="Arial" w:cs="Arial"/>
          <w:color w:val="FF0000"/>
          <w:sz w:val="24"/>
          <w:szCs w:val="24"/>
        </w:rPr>
        <w:t xml:space="preserve"> </w:t>
      </w:r>
      <w:r w:rsidRPr="006773A9">
        <w:rPr>
          <w:rFonts w:ascii="Arial" w:hAnsi="Arial" w:cs="Arial"/>
          <w:color w:val="000000" w:themeColor="text1"/>
          <w:sz w:val="24"/>
          <w:szCs w:val="24"/>
        </w:rPr>
        <w:t>que determinaron que el fin de la etapa juvenil ocurre entre los 6 y los 18 días después de emergencia</w:t>
      </w:r>
      <w:r>
        <w:rPr>
          <w:rFonts w:ascii="Arial" w:hAnsi="Arial" w:cs="Arial"/>
          <w:color w:val="000000" w:themeColor="text1"/>
          <w:sz w:val="24"/>
          <w:szCs w:val="24"/>
        </w:rPr>
        <w:t>.</w:t>
      </w:r>
      <w:r w:rsidRPr="007C4035">
        <w:rPr>
          <w:rFonts w:ascii="Arial" w:hAnsi="Arial" w:cs="Arial"/>
          <w:color w:val="FF0000"/>
          <w:sz w:val="24"/>
          <w:szCs w:val="24"/>
        </w:rPr>
        <w:t xml:space="preserve">  </w:t>
      </w:r>
    </w:p>
    <w:p w14:paraId="103BAA71" w14:textId="77777777" w:rsidR="005D6EB7" w:rsidRPr="00383040" w:rsidRDefault="005D6EB7" w:rsidP="005D6EB7">
      <w:pPr>
        <w:spacing w:after="0" w:line="480" w:lineRule="auto"/>
        <w:jc w:val="both"/>
        <w:rPr>
          <w:rFonts w:ascii="Arial" w:hAnsi="Arial" w:cs="Arial"/>
          <w:color w:val="000000" w:themeColor="text1"/>
          <w:sz w:val="24"/>
          <w:szCs w:val="24"/>
        </w:rPr>
      </w:pPr>
      <w:r>
        <w:rPr>
          <w:rFonts w:ascii="Arial" w:hAnsi="Arial" w:cs="Arial"/>
          <w:color w:val="000000" w:themeColor="text1"/>
          <w:sz w:val="24"/>
          <w:szCs w:val="24"/>
        </w:rPr>
        <w:t>P2: S</w:t>
      </w:r>
      <w:r w:rsidRPr="00383040">
        <w:rPr>
          <w:rFonts w:ascii="Arial" w:hAnsi="Arial" w:cs="Arial"/>
          <w:color w:val="000000" w:themeColor="text1"/>
          <w:sz w:val="24"/>
          <w:szCs w:val="24"/>
        </w:rPr>
        <w:t>e tuvo en cuenta el estudio realizado por</w:t>
      </w:r>
      <w:r>
        <w:rPr>
          <w:rFonts w:ascii="Arial" w:hAnsi="Arial" w:cs="Arial"/>
          <w:color w:val="000000" w:themeColor="text1"/>
          <w:sz w:val="24"/>
          <w:szCs w:val="24"/>
        </w:rPr>
        <w:t xml:space="preserv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{"citationID":"8GkVlk4l","properties":{"formattedCitation":"(Ockerby &amp; Yang, 2015)","plainCitation":"(Ockerby &amp; Yang, 2015)","dontUpdate":true,"noteIndex":0},"citationItems":[{"id":283,"uris":["http://zotero.org/users/local/NeejuBUy/items/EP68XLTD"],"itemData":{"id":283,"type":"paper-conference","abstract":"Agronomists and plant scientists roughly calculate the timing of floral initiation in crops based on mathematical models of heat units (or thermal time) adjusted for day-length. To sanction this approach, there is dogma that plants have apparatuses or ways for measuring day-length and accumulating temperature, and intrinsic pathways between leaves and the shoot apical meristem for signalling the plant’s developmental status. In this brief paper, we present data that describe the growth of maize leaf primordia in response to photoperiod treatments. The results show that the architecture of the shoot apical meristem is responsive to photoperiod and that a slow rate of leaf primordia elongation is coincident to tassel initiation.","container-title":"Proceedings of the 17th ASA Conference","event-place":"Hobart, Australia","event-title":"Building Productive, Diverse and Sustainable Landscapes","language":"en","publisher-place":"Hobart, Australia","source":"Zotero","title":"Floral initiation in maize is regulated by the growth of leaf primordia","author":[{"family":"Ockerby","given":"Stephen E"},{"family":"Yang","given":"Zongjian"}],"issued":{"date-parts":[["2015"]]}}}],"schema":"https://github.com/citation-style-language/schema/raw/master/csl-citation.json"} </w:instrText>
      </w:r>
      <w:r>
        <w:rPr>
          <w:rFonts w:ascii="Arial" w:hAnsi="Arial" w:cs="Arial"/>
          <w:color w:val="000000" w:themeColor="text1"/>
          <w:sz w:val="24"/>
          <w:szCs w:val="24"/>
        </w:rPr>
        <w:fldChar w:fldCharType="separate"/>
      </w:r>
      <w:r>
        <w:rPr>
          <w:rFonts w:ascii="Arial" w:hAnsi="Arial" w:cs="Arial"/>
          <w:sz w:val="24"/>
        </w:rPr>
        <w:t>Ockerby y</w:t>
      </w:r>
      <w:r w:rsidRPr="00AB4C8F">
        <w:rPr>
          <w:rFonts w:ascii="Arial" w:hAnsi="Arial" w:cs="Arial"/>
          <w:sz w:val="24"/>
        </w:rPr>
        <w:t xml:space="preserve"> Yang</w:t>
      </w:r>
      <w:r>
        <w:rPr>
          <w:rFonts w:ascii="Arial" w:hAnsi="Arial" w:cs="Arial"/>
          <w:sz w:val="24"/>
        </w:rPr>
        <w:t xml:space="preserve"> (</w:t>
      </w:r>
      <w:r w:rsidRPr="00AB4C8F">
        <w:rPr>
          <w:rFonts w:ascii="Arial" w:hAnsi="Arial" w:cs="Arial"/>
          <w:sz w:val="24"/>
        </w:rPr>
        <w:t>2015)</w:t>
      </w:r>
      <w:r>
        <w:rPr>
          <w:rFonts w:ascii="Arial" w:hAnsi="Arial" w:cs="Arial"/>
          <w:color w:val="000000" w:themeColor="text1"/>
          <w:sz w:val="24"/>
          <w:szCs w:val="24"/>
        </w:rPr>
        <w:fldChar w:fldCharType="end"/>
      </w:r>
      <w:r w:rsidRPr="00383040">
        <w:rPr>
          <w:rFonts w:ascii="Arial" w:hAnsi="Arial" w:cs="Arial"/>
          <w:color w:val="000000" w:themeColor="text1"/>
          <w:sz w:val="24"/>
          <w:szCs w:val="24"/>
        </w:rPr>
        <w:t xml:space="preserve">, donde luego de hacer una evaluación de diferentes materiales genéticos de maíz en el trópico, llegaron a la conclusión de que el grado de retaso en el desarrollo de la etapa vegetativa se encuentra entre 0,3 y 0,7.  </w:t>
      </w:r>
    </w:p>
    <w:p w14:paraId="5C065E28" w14:textId="77777777" w:rsidR="005D6EB7" w:rsidRPr="0046696E" w:rsidRDefault="005D6EB7" w:rsidP="005D6EB7">
      <w:pPr>
        <w:spacing w:after="0" w:line="480" w:lineRule="auto"/>
        <w:jc w:val="both"/>
        <w:rPr>
          <w:rFonts w:ascii="Arial" w:hAnsi="Arial" w:cs="Arial"/>
          <w:color w:val="000000" w:themeColor="text1"/>
          <w:sz w:val="24"/>
          <w:szCs w:val="24"/>
        </w:rPr>
      </w:pPr>
      <w:r w:rsidRPr="0046696E">
        <w:rPr>
          <w:rFonts w:ascii="Arial" w:hAnsi="Arial" w:cs="Arial"/>
          <w:color w:val="000000" w:themeColor="text1"/>
          <w:sz w:val="24"/>
          <w:szCs w:val="24"/>
        </w:rPr>
        <w:t xml:space="preserve">P5: Este coeficiente hace referencia al período de tiempo en que G2 y G3 se expresan y de donde se deriva el rendimiento. En las observaciones registradas en </w:t>
      </w:r>
      <w:r w:rsidRPr="0046696E">
        <w:rPr>
          <w:rFonts w:ascii="Arial" w:hAnsi="Arial" w:cs="Arial"/>
          <w:color w:val="000000" w:themeColor="text1"/>
          <w:sz w:val="24"/>
          <w:szCs w:val="24"/>
        </w:rPr>
        <w:lastRenderedPageBreak/>
        <w:t xml:space="preserve">campo el número de días entre floración y madurez fisiológica se dio entre los 30 y los 55 días. </w:t>
      </w:r>
      <w:r>
        <w:rPr>
          <w:rFonts w:ascii="Arial" w:hAnsi="Arial" w:cs="Arial"/>
          <w:color w:val="000000" w:themeColor="text1"/>
          <w:sz w:val="24"/>
          <w:szCs w:val="24"/>
        </w:rPr>
        <w:t>Se tomó entonces como valor mínimo 450 GDCA</w:t>
      </w:r>
      <w:r w:rsidRPr="0046696E">
        <w:rPr>
          <w:rFonts w:ascii="Arial" w:hAnsi="Arial" w:cs="Arial"/>
          <w:color w:val="000000" w:themeColor="text1"/>
          <w:sz w:val="24"/>
          <w:szCs w:val="24"/>
        </w:rPr>
        <w:t xml:space="preserve">. </w:t>
      </w:r>
    </w:p>
    <w:p w14:paraId="7B570BB4" w14:textId="77777777" w:rsidR="005D6EB7" w:rsidRPr="007C4035" w:rsidRDefault="005D6EB7" w:rsidP="005D6EB7">
      <w:pPr>
        <w:spacing w:after="0" w:line="480" w:lineRule="auto"/>
        <w:jc w:val="both"/>
        <w:rPr>
          <w:rFonts w:ascii="Arial" w:hAnsi="Arial" w:cs="Arial"/>
          <w:color w:val="FF0000"/>
          <w:sz w:val="24"/>
          <w:szCs w:val="24"/>
        </w:rPr>
      </w:pPr>
      <w:r w:rsidRPr="0046696E">
        <w:rPr>
          <w:rFonts w:ascii="Arial" w:hAnsi="Arial" w:cs="Arial"/>
          <w:color w:val="000000" w:themeColor="text1"/>
          <w:sz w:val="24"/>
          <w:szCs w:val="24"/>
        </w:rPr>
        <w:t xml:space="preserve">G2: La determinación del número máximo de granos por mazorca debe realizarse en laboratorio, </w:t>
      </w:r>
      <w:r>
        <w:rPr>
          <w:rFonts w:ascii="Arial" w:hAnsi="Arial" w:cs="Arial"/>
          <w:color w:val="000000" w:themeColor="text1"/>
          <w:sz w:val="24"/>
          <w:szCs w:val="24"/>
        </w:rPr>
        <w:t>se cuenta</w:t>
      </w:r>
      <w:r w:rsidRPr="0046696E">
        <w:rPr>
          <w:rFonts w:ascii="Arial" w:hAnsi="Arial" w:cs="Arial"/>
          <w:color w:val="000000" w:themeColor="text1"/>
          <w:sz w:val="24"/>
          <w:szCs w:val="24"/>
        </w:rPr>
        <w:t xml:space="preserve"> el máximo número de estilos en la flor femenina. Este dato no se registró. </w:t>
      </w:r>
      <w:r w:rsidRPr="00AD6661">
        <w:rPr>
          <w:rFonts w:ascii="Arial" w:hAnsi="Arial" w:cs="Arial"/>
          <w:color w:val="000000" w:themeColor="text1"/>
          <w:sz w:val="24"/>
          <w:szCs w:val="24"/>
        </w:rPr>
        <w:t xml:space="preserve">El número de granos máximo registrado en los experimentos fue de </w:t>
      </w:r>
      <w:r>
        <w:rPr>
          <w:rFonts w:ascii="Arial" w:hAnsi="Arial" w:cs="Arial"/>
          <w:color w:val="000000" w:themeColor="text1"/>
          <w:sz w:val="24"/>
          <w:szCs w:val="24"/>
        </w:rPr>
        <w:t>4</w:t>
      </w:r>
      <w:r w:rsidRPr="00AD6661">
        <w:rPr>
          <w:rFonts w:ascii="Arial" w:hAnsi="Arial" w:cs="Arial"/>
          <w:color w:val="000000" w:themeColor="text1"/>
          <w:sz w:val="24"/>
          <w:szCs w:val="24"/>
        </w:rPr>
        <w:t xml:space="preserve">00 granos por mazorca y esa fue la cantidad mínima utilizada para iterar este coeficiente. </w:t>
      </w:r>
    </w:p>
    <w:p w14:paraId="5568FD2A" w14:textId="77777777" w:rsidR="005D6EB7" w:rsidRPr="007C4035" w:rsidRDefault="005D6EB7" w:rsidP="005D6EB7">
      <w:pPr>
        <w:spacing w:after="0" w:line="480" w:lineRule="auto"/>
        <w:jc w:val="both"/>
        <w:rPr>
          <w:rFonts w:ascii="Arial" w:hAnsi="Arial" w:cs="Arial"/>
          <w:color w:val="FF0000"/>
          <w:sz w:val="24"/>
          <w:szCs w:val="24"/>
        </w:rPr>
      </w:pPr>
      <w:r w:rsidRPr="00AD6661">
        <w:rPr>
          <w:rFonts w:ascii="Arial" w:hAnsi="Arial" w:cs="Arial"/>
          <w:color w:val="000000" w:themeColor="text1"/>
          <w:sz w:val="24"/>
          <w:szCs w:val="24"/>
        </w:rPr>
        <w:t>G3: La tasa óptima de llenado del grano se tomó a partir de 10 mg de biomasa diaria según</w:t>
      </w:r>
      <w:r>
        <w:rPr>
          <w:rFonts w:ascii="Arial" w:hAnsi="Arial" w:cs="Arial"/>
          <w:color w:val="000000" w:themeColor="text1"/>
          <w:sz w:val="24"/>
          <w:szCs w:val="24"/>
        </w:rPr>
        <w:t xml:space="preserve"> </w:t>
      </w:r>
      <w:r>
        <w:rPr>
          <w:rFonts w:ascii="Arial" w:hAnsi="Arial" w:cs="Arial"/>
          <w:color w:val="000000" w:themeColor="text1"/>
          <w:sz w:val="24"/>
          <w:szCs w:val="24"/>
        </w:rPr>
        <w:fldChar w:fldCharType="begin"/>
      </w:r>
      <w:r>
        <w:rPr>
          <w:rFonts w:ascii="Arial" w:hAnsi="Arial" w:cs="Arial"/>
          <w:color w:val="000000" w:themeColor="text1"/>
          <w:sz w:val="24"/>
          <w:szCs w:val="24"/>
        </w:rPr>
        <w:instrText xml:space="preserve"> ADDIN ZOTERO_ITEM CSL_CITATION {"citationID":"XqXCnF68","properties":{"formattedCitation":"(\\uc0\\u193{}lvarez et\\uc0\\u160{}al., 2014)","plainCitation":"(Álvarez et al., 2014)","dontUpdate":true,"noteIndex":0},"citationItems":[{"id":286,"uris":["http://zotero.org/users/local/NeejuBUy/items/PKZQSMBG"],"itemData":{"id":286,"type":"article-journal","container-title":"G3: Genes, Genomes, Genetics","DOI":"10.1534/g3.114.013243","page":"1611-1621","title":"The genetic architecture of maize (Zea mays L.). Kernel weight determination","volume":"4","author":[{"family":"Álvarez","given":"Santiago"},{"family":"López","given":"César"},{"family":"Lynn","given":"M"},{"family":"Borrás","given":"Lucas"}],"issued":{"date-parts":[["2014"]]}}}],"schema":"https://github.com/citation-style-language/schema/raw/master/csl-citation.json"} </w:instrText>
      </w:r>
      <w:r>
        <w:rPr>
          <w:rFonts w:ascii="Arial" w:hAnsi="Arial" w:cs="Arial"/>
          <w:color w:val="000000" w:themeColor="text1"/>
          <w:sz w:val="24"/>
          <w:szCs w:val="24"/>
        </w:rPr>
        <w:fldChar w:fldCharType="separate"/>
      </w:r>
      <w:r w:rsidRPr="000217E4">
        <w:rPr>
          <w:rFonts w:ascii="Arial" w:hAnsi="Arial" w:cs="Arial"/>
          <w:sz w:val="24"/>
          <w:szCs w:val="24"/>
        </w:rPr>
        <w:t xml:space="preserve">Álvarez </w:t>
      </w:r>
      <w:r w:rsidRPr="000217E4">
        <w:rPr>
          <w:rFonts w:ascii="Arial" w:hAnsi="Arial" w:cs="Arial"/>
          <w:i/>
          <w:sz w:val="24"/>
          <w:szCs w:val="24"/>
        </w:rPr>
        <w:t>et al</w:t>
      </w:r>
      <w:r w:rsidRPr="000217E4">
        <w:rPr>
          <w:rFonts w:ascii="Arial" w:hAnsi="Arial" w:cs="Arial"/>
          <w:sz w:val="24"/>
          <w:szCs w:val="24"/>
        </w:rPr>
        <w:t>.</w:t>
      </w:r>
      <w:r>
        <w:rPr>
          <w:rFonts w:ascii="Arial" w:hAnsi="Arial" w:cs="Arial"/>
          <w:sz w:val="24"/>
          <w:szCs w:val="24"/>
        </w:rPr>
        <w:t xml:space="preserve"> (</w:t>
      </w:r>
      <w:r w:rsidRPr="000217E4">
        <w:rPr>
          <w:rFonts w:ascii="Arial" w:hAnsi="Arial" w:cs="Arial"/>
          <w:sz w:val="24"/>
          <w:szCs w:val="24"/>
        </w:rPr>
        <w:t>2014)</w:t>
      </w:r>
      <w:r>
        <w:rPr>
          <w:rFonts w:ascii="Arial" w:hAnsi="Arial" w:cs="Arial"/>
          <w:color w:val="000000" w:themeColor="text1"/>
          <w:sz w:val="24"/>
          <w:szCs w:val="24"/>
        </w:rPr>
        <w:fldChar w:fldCharType="end"/>
      </w:r>
      <w:r w:rsidRPr="000217E4">
        <w:rPr>
          <w:rFonts w:ascii="Arial" w:hAnsi="Arial" w:cs="Arial"/>
          <w:color w:val="000000" w:themeColor="text1"/>
          <w:sz w:val="24"/>
          <w:szCs w:val="24"/>
        </w:rPr>
        <w:t>.</w:t>
      </w:r>
      <w:r w:rsidRPr="007C4035">
        <w:rPr>
          <w:rFonts w:ascii="Arial" w:hAnsi="Arial" w:cs="Arial"/>
          <w:color w:val="FF0000"/>
          <w:sz w:val="24"/>
          <w:szCs w:val="24"/>
        </w:rPr>
        <w:t xml:space="preserve"> </w:t>
      </w:r>
    </w:p>
    <w:p w14:paraId="10C8B989" w14:textId="37C50901" w:rsidR="005D6EB7" w:rsidRDefault="005D6EB7" w:rsidP="005D6EB7">
      <w:pPr>
        <w:spacing w:before="120" w:line="360" w:lineRule="auto"/>
        <w:contextualSpacing/>
        <w:jc w:val="both"/>
        <w:rPr>
          <w:rFonts w:ascii="Arial" w:hAnsi="Arial" w:cs="Arial"/>
          <w:b/>
          <w:color w:val="000000"/>
          <w:sz w:val="24"/>
          <w:szCs w:val="24"/>
        </w:rPr>
      </w:pPr>
      <w:r w:rsidRPr="0046696E">
        <w:rPr>
          <w:rFonts w:ascii="Arial" w:hAnsi="Arial" w:cs="Arial"/>
          <w:color w:val="000000" w:themeColor="text1"/>
          <w:sz w:val="24"/>
          <w:szCs w:val="24"/>
        </w:rPr>
        <w:t xml:space="preserve">PHINT: Para el cálculo del filocrono se dividió el número total de hojas entre los días que les tomó su desarrollo y se multiplicó por el promedio de GDCA de la etapa vegetativa, </w:t>
      </w:r>
      <w:r>
        <w:rPr>
          <w:rFonts w:ascii="Arial" w:hAnsi="Arial" w:cs="Arial"/>
          <w:color w:val="000000" w:themeColor="text1"/>
          <w:sz w:val="24"/>
          <w:szCs w:val="24"/>
        </w:rPr>
        <w:t>los valores estuvieron</w:t>
      </w:r>
      <w:r w:rsidRPr="0046696E">
        <w:rPr>
          <w:rFonts w:ascii="Arial" w:hAnsi="Arial" w:cs="Arial"/>
          <w:color w:val="000000" w:themeColor="text1"/>
          <w:sz w:val="24"/>
          <w:szCs w:val="24"/>
        </w:rPr>
        <w:t xml:space="preserve"> entre 40 y 55 GDCA. Se tomó como valor inicial 40 DGCA</w:t>
      </w:r>
    </w:p>
    <w:p w14:paraId="7D023D8A" w14:textId="59FFD22A" w:rsidR="005D6EB7" w:rsidRDefault="005D6EB7" w:rsidP="00EE6312">
      <w:pPr>
        <w:spacing w:before="120" w:line="360" w:lineRule="auto"/>
        <w:contextualSpacing/>
        <w:jc w:val="both"/>
        <w:rPr>
          <w:rFonts w:ascii="Arial" w:hAnsi="Arial" w:cs="Arial"/>
          <w:b/>
          <w:color w:val="000000"/>
          <w:sz w:val="24"/>
          <w:szCs w:val="24"/>
        </w:rPr>
      </w:pPr>
    </w:p>
    <w:tbl>
      <w:tblPr>
        <w:tblStyle w:val="Tabladecuadrcula4-nfasis4"/>
        <w:tblW w:w="0" w:type="auto"/>
        <w:jc w:val="center"/>
        <w:tblLook w:val="04A0" w:firstRow="1" w:lastRow="0" w:firstColumn="1" w:lastColumn="0" w:noHBand="0" w:noVBand="1"/>
      </w:tblPr>
      <w:tblGrid>
        <w:gridCol w:w="1039"/>
        <w:gridCol w:w="1039"/>
        <w:gridCol w:w="1039"/>
        <w:gridCol w:w="1039"/>
        <w:gridCol w:w="1039"/>
        <w:gridCol w:w="1050"/>
      </w:tblGrid>
      <w:tr w:rsidR="00132B57" w14:paraId="6245A072" w14:textId="77777777" w:rsidTr="00252DF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9" w:type="dxa"/>
            <w:hideMark/>
          </w:tcPr>
          <w:p w14:paraId="57437216" w14:textId="77777777" w:rsidR="00132B57" w:rsidRPr="0063118B" w:rsidRDefault="00132B57" w:rsidP="00252DF7">
            <w:pPr>
              <w:autoSpaceDE w:val="0"/>
              <w:autoSpaceDN w:val="0"/>
              <w:adjustRightInd w:val="0"/>
              <w:spacing w:line="480" w:lineRule="auto"/>
              <w:jc w:val="center"/>
              <w:rPr>
                <w:rFonts w:ascii="Arial" w:hAnsi="Arial" w:cs="Arial"/>
                <w:color w:val="000000" w:themeColor="text1"/>
                <w:sz w:val="24"/>
                <w:szCs w:val="24"/>
              </w:rPr>
            </w:pPr>
            <w:r w:rsidRPr="0063118B">
              <w:rPr>
                <w:rFonts w:ascii="Arial" w:hAnsi="Arial" w:cs="Arial"/>
                <w:color w:val="000000" w:themeColor="text1"/>
                <w:sz w:val="24"/>
                <w:szCs w:val="24"/>
              </w:rPr>
              <w:t>P1</w:t>
            </w:r>
          </w:p>
        </w:tc>
        <w:tc>
          <w:tcPr>
            <w:tcW w:w="1039" w:type="dxa"/>
            <w:hideMark/>
          </w:tcPr>
          <w:p w14:paraId="517C906E"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P2</w:t>
            </w:r>
          </w:p>
        </w:tc>
        <w:tc>
          <w:tcPr>
            <w:tcW w:w="1039" w:type="dxa"/>
            <w:hideMark/>
          </w:tcPr>
          <w:p w14:paraId="32BDAF04"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P5</w:t>
            </w:r>
          </w:p>
        </w:tc>
        <w:tc>
          <w:tcPr>
            <w:tcW w:w="1039" w:type="dxa"/>
            <w:hideMark/>
          </w:tcPr>
          <w:p w14:paraId="31F00B3D"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G2</w:t>
            </w:r>
          </w:p>
        </w:tc>
        <w:tc>
          <w:tcPr>
            <w:tcW w:w="1039" w:type="dxa"/>
            <w:hideMark/>
          </w:tcPr>
          <w:p w14:paraId="60EBF461"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G3</w:t>
            </w:r>
          </w:p>
        </w:tc>
        <w:tc>
          <w:tcPr>
            <w:tcW w:w="1050" w:type="dxa"/>
            <w:hideMark/>
          </w:tcPr>
          <w:p w14:paraId="570B298B" w14:textId="77777777" w:rsidR="00132B57" w:rsidRPr="0063118B" w:rsidRDefault="00132B57" w:rsidP="00252DF7">
            <w:pPr>
              <w:autoSpaceDE w:val="0"/>
              <w:autoSpaceDN w:val="0"/>
              <w:adjustRightInd w:val="0"/>
              <w:spacing w:line="480" w:lineRule="auto"/>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PHINT</w:t>
            </w:r>
          </w:p>
        </w:tc>
      </w:tr>
      <w:tr w:rsidR="00132B57" w14:paraId="22D40301" w14:textId="77777777" w:rsidTr="00252DF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39" w:type="dxa"/>
            <w:hideMark/>
          </w:tcPr>
          <w:p w14:paraId="24292549" w14:textId="77777777" w:rsidR="00132B57" w:rsidRPr="0063118B" w:rsidRDefault="00132B57" w:rsidP="00252DF7">
            <w:pPr>
              <w:autoSpaceDE w:val="0"/>
              <w:autoSpaceDN w:val="0"/>
              <w:adjustRightInd w:val="0"/>
              <w:spacing w:line="480" w:lineRule="auto"/>
              <w:jc w:val="center"/>
              <w:rPr>
                <w:rFonts w:ascii="Arial" w:hAnsi="Arial" w:cs="Arial"/>
                <w:b w:val="0"/>
                <w:color w:val="000000" w:themeColor="text1"/>
                <w:sz w:val="24"/>
                <w:szCs w:val="24"/>
              </w:rPr>
            </w:pPr>
            <w:r w:rsidRPr="0063118B">
              <w:rPr>
                <w:rFonts w:ascii="Arial" w:hAnsi="Arial" w:cs="Arial"/>
                <w:b w:val="0"/>
                <w:color w:val="000000" w:themeColor="text1"/>
                <w:sz w:val="24"/>
                <w:szCs w:val="24"/>
              </w:rPr>
              <w:t>219</w:t>
            </w:r>
            <w:r>
              <w:rPr>
                <w:rFonts w:ascii="Arial" w:hAnsi="Arial" w:cs="Arial"/>
                <w:b w:val="0"/>
                <w:color w:val="000000" w:themeColor="text1"/>
                <w:sz w:val="24"/>
                <w:szCs w:val="24"/>
              </w:rPr>
              <w:t>,</w:t>
            </w:r>
            <w:r w:rsidRPr="0063118B">
              <w:rPr>
                <w:rFonts w:ascii="Arial" w:hAnsi="Arial" w:cs="Arial"/>
                <w:b w:val="0"/>
                <w:color w:val="000000" w:themeColor="text1"/>
                <w:sz w:val="24"/>
                <w:szCs w:val="24"/>
              </w:rPr>
              <w:t>1</w:t>
            </w:r>
          </w:p>
        </w:tc>
        <w:tc>
          <w:tcPr>
            <w:tcW w:w="1039" w:type="dxa"/>
            <w:hideMark/>
          </w:tcPr>
          <w:p w14:paraId="59881C43"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0</w:t>
            </w:r>
            <w:r>
              <w:rPr>
                <w:rFonts w:ascii="Arial" w:hAnsi="Arial" w:cs="Arial"/>
                <w:color w:val="000000" w:themeColor="text1"/>
                <w:sz w:val="24"/>
                <w:szCs w:val="24"/>
              </w:rPr>
              <w:t>,</w:t>
            </w:r>
            <w:r w:rsidRPr="0063118B">
              <w:rPr>
                <w:rFonts w:ascii="Arial" w:hAnsi="Arial" w:cs="Arial"/>
                <w:color w:val="000000" w:themeColor="text1"/>
                <w:sz w:val="24"/>
                <w:szCs w:val="24"/>
              </w:rPr>
              <w:t>694</w:t>
            </w:r>
          </w:p>
        </w:tc>
        <w:tc>
          <w:tcPr>
            <w:tcW w:w="1039" w:type="dxa"/>
            <w:hideMark/>
          </w:tcPr>
          <w:p w14:paraId="55B11FC3"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594</w:t>
            </w:r>
            <w:r>
              <w:rPr>
                <w:rFonts w:ascii="Arial" w:hAnsi="Arial" w:cs="Arial"/>
                <w:color w:val="000000" w:themeColor="text1"/>
                <w:sz w:val="24"/>
                <w:szCs w:val="24"/>
              </w:rPr>
              <w:t>,</w:t>
            </w:r>
            <w:r w:rsidRPr="0063118B">
              <w:rPr>
                <w:rFonts w:ascii="Arial" w:hAnsi="Arial" w:cs="Arial"/>
                <w:color w:val="000000" w:themeColor="text1"/>
                <w:sz w:val="24"/>
                <w:szCs w:val="24"/>
              </w:rPr>
              <w:t>3</w:t>
            </w:r>
          </w:p>
        </w:tc>
        <w:tc>
          <w:tcPr>
            <w:tcW w:w="1039" w:type="dxa"/>
            <w:hideMark/>
          </w:tcPr>
          <w:p w14:paraId="071C6B7D"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821</w:t>
            </w:r>
            <w:r>
              <w:rPr>
                <w:rFonts w:ascii="Arial" w:hAnsi="Arial" w:cs="Arial"/>
                <w:color w:val="000000" w:themeColor="text1"/>
                <w:sz w:val="24"/>
                <w:szCs w:val="24"/>
              </w:rPr>
              <w:t>,</w:t>
            </w:r>
            <w:r w:rsidRPr="0063118B">
              <w:rPr>
                <w:rFonts w:ascii="Arial" w:hAnsi="Arial" w:cs="Arial"/>
                <w:color w:val="000000" w:themeColor="text1"/>
                <w:sz w:val="24"/>
                <w:szCs w:val="24"/>
              </w:rPr>
              <w:t>1</w:t>
            </w:r>
          </w:p>
        </w:tc>
        <w:tc>
          <w:tcPr>
            <w:tcW w:w="1039" w:type="dxa"/>
            <w:hideMark/>
          </w:tcPr>
          <w:p w14:paraId="6854403F"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16</w:t>
            </w:r>
            <w:r>
              <w:rPr>
                <w:rFonts w:ascii="Arial" w:hAnsi="Arial" w:cs="Arial"/>
                <w:color w:val="000000" w:themeColor="text1"/>
                <w:sz w:val="24"/>
                <w:szCs w:val="24"/>
              </w:rPr>
              <w:t>,</w:t>
            </w:r>
            <w:r w:rsidRPr="0063118B">
              <w:rPr>
                <w:rFonts w:ascii="Arial" w:hAnsi="Arial" w:cs="Arial"/>
                <w:color w:val="000000" w:themeColor="text1"/>
                <w:sz w:val="24"/>
                <w:szCs w:val="24"/>
              </w:rPr>
              <w:t>11</w:t>
            </w:r>
          </w:p>
        </w:tc>
        <w:tc>
          <w:tcPr>
            <w:tcW w:w="1050" w:type="dxa"/>
            <w:hideMark/>
          </w:tcPr>
          <w:p w14:paraId="0331A6AE" w14:textId="77777777" w:rsidR="00132B57" w:rsidRPr="0063118B" w:rsidRDefault="00132B57" w:rsidP="00252DF7">
            <w:pPr>
              <w:autoSpaceDE w:val="0"/>
              <w:autoSpaceDN w:val="0"/>
              <w:adjustRightInd w:val="0"/>
              <w:spacing w:line="480"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themeColor="text1"/>
                <w:sz w:val="24"/>
                <w:szCs w:val="24"/>
              </w:rPr>
            </w:pPr>
            <w:r w:rsidRPr="0063118B">
              <w:rPr>
                <w:rFonts w:ascii="Arial" w:hAnsi="Arial" w:cs="Arial"/>
                <w:color w:val="000000" w:themeColor="text1"/>
                <w:sz w:val="24"/>
                <w:szCs w:val="24"/>
              </w:rPr>
              <w:t>55</w:t>
            </w:r>
            <w:r>
              <w:rPr>
                <w:rFonts w:ascii="Arial" w:hAnsi="Arial" w:cs="Arial"/>
                <w:color w:val="000000" w:themeColor="text1"/>
                <w:sz w:val="24"/>
                <w:szCs w:val="24"/>
              </w:rPr>
              <w:t>,</w:t>
            </w:r>
            <w:r w:rsidRPr="0063118B">
              <w:rPr>
                <w:rFonts w:ascii="Arial" w:hAnsi="Arial" w:cs="Arial"/>
                <w:color w:val="000000" w:themeColor="text1"/>
                <w:sz w:val="24"/>
                <w:szCs w:val="24"/>
              </w:rPr>
              <w:t>00</w:t>
            </w:r>
          </w:p>
        </w:tc>
      </w:tr>
    </w:tbl>
    <w:p w14:paraId="18671AF8" w14:textId="2A699886" w:rsidR="00A1112D" w:rsidRDefault="00A1112D" w:rsidP="00A1112D">
      <w:pPr>
        <w:pStyle w:val="Ttulo2"/>
        <w:rPr>
          <w:rFonts w:cs="Arial"/>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00711B6" w14:textId="5835E3A2" w:rsidR="00A16170" w:rsidRDefault="00A16170" w:rsidP="00FA1A3D">
      <w:pPr>
        <w:pStyle w:val="Ttulo2"/>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Estimación del rendimiento con la utilización del biofertilizantes EcoMic®</w:t>
      </w:r>
    </w:p>
    <w:p w14:paraId="19237989" w14:textId="60532669" w:rsidR="00915B86" w:rsidRDefault="00915B86" w:rsidP="00046453">
      <w:r>
        <w:t>Experimento 1</w:t>
      </w:r>
    </w:p>
    <w:p w14:paraId="266A9033" w14:textId="7650E9BA" w:rsidR="00046453" w:rsidRDefault="00046453" w:rsidP="00046453">
      <w:r>
        <w:t>La Tabla  X muestra  los resultados del rendimiento de la variedad P 7928 obtenidos en el experimento.</w:t>
      </w:r>
    </w:p>
    <w:p w14:paraId="4BFD89DC" w14:textId="4A472115" w:rsidR="00EA2C92" w:rsidRDefault="00EA2C92" w:rsidP="00046453">
      <w:r>
        <w:t>Tabla  X. Variables del rendimiento obtenido en el experimento para el cultivar de maíz P 7928</w:t>
      </w:r>
    </w:p>
    <w:tbl>
      <w:tblPr>
        <w:tblStyle w:val="Tablaconcuadrcula"/>
        <w:tblW w:w="0" w:type="auto"/>
        <w:tblLook w:val="04A0" w:firstRow="1" w:lastRow="0" w:firstColumn="1" w:lastColumn="0" w:noHBand="0" w:noVBand="1"/>
      </w:tblPr>
      <w:tblGrid>
        <w:gridCol w:w="1326"/>
        <w:gridCol w:w="980"/>
        <w:gridCol w:w="930"/>
        <w:gridCol w:w="1083"/>
        <w:gridCol w:w="1065"/>
        <w:gridCol w:w="977"/>
        <w:gridCol w:w="1099"/>
        <w:gridCol w:w="1368"/>
      </w:tblGrid>
      <w:tr w:rsidR="00EA2C92" w14:paraId="61092F69" w14:textId="77777777" w:rsidTr="00EA2C92">
        <w:tc>
          <w:tcPr>
            <w:tcW w:w="1103" w:type="dxa"/>
          </w:tcPr>
          <w:p w14:paraId="46521653" w14:textId="25CC681A" w:rsidR="00EA2C92" w:rsidRDefault="00EA2C92" w:rsidP="00046453">
            <w:pPr>
              <w:rPr>
                <w:lang w:val="es-ES_tradnl"/>
              </w:rPr>
            </w:pPr>
            <w:r>
              <w:rPr>
                <w:lang w:val="es-ES_tradnl"/>
              </w:rPr>
              <w:t>Tratamiento</w:t>
            </w:r>
          </w:p>
        </w:tc>
        <w:tc>
          <w:tcPr>
            <w:tcW w:w="1103" w:type="dxa"/>
          </w:tcPr>
          <w:p w14:paraId="562F3FF9" w14:textId="4B819EDE" w:rsidR="00EA2C92" w:rsidRDefault="00EA2C92" w:rsidP="00046453">
            <w:pPr>
              <w:rPr>
                <w:lang w:val="es-ES_tradnl"/>
              </w:rPr>
            </w:pPr>
            <w:r>
              <w:rPr>
                <w:lang w:val="es-ES_tradnl"/>
              </w:rPr>
              <w:t>Peso (g)</w:t>
            </w:r>
          </w:p>
        </w:tc>
        <w:tc>
          <w:tcPr>
            <w:tcW w:w="1103" w:type="dxa"/>
          </w:tcPr>
          <w:p w14:paraId="42955417" w14:textId="77777777" w:rsidR="00EA2C92" w:rsidRDefault="00EA2C92" w:rsidP="00046453">
            <w:pPr>
              <w:rPr>
                <w:lang w:val="es-ES_tradnl"/>
              </w:rPr>
            </w:pPr>
            <w:r>
              <w:rPr>
                <w:lang w:val="es-ES_tradnl"/>
              </w:rPr>
              <w:t>Largo</w:t>
            </w:r>
          </w:p>
          <w:p w14:paraId="6DB61AC8" w14:textId="4B1D6AC1" w:rsidR="00EA2C92" w:rsidRDefault="00EA2C92" w:rsidP="00046453">
            <w:pPr>
              <w:rPr>
                <w:lang w:val="es-ES_tradnl"/>
              </w:rPr>
            </w:pPr>
            <w:r>
              <w:rPr>
                <w:lang w:val="es-ES_tradnl"/>
              </w:rPr>
              <w:t>(cm)</w:t>
            </w:r>
          </w:p>
        </w:tc>
        <w:tc>
          <w:tcPr>
            <w:tcW w:w="1103" w:type="dxa"/>
          </w:tcPr>
          <w:p w14:paraId="1672628D" w14:textId="77777777" w:rsidR="00EA2C92" w:rsidRDefault="00EA2C92" w:rsidP="00046453">
            <w:pPr>
              <w:rPr>
                <w:lang w:val="es-ES_tradnl"/>
              </w:rPr>
            </w:pPr>
            <w:r>
              <w:rPr>
                <w:lang w:val="es-ES_tradnl"/>
              </w:rPr>
              <w:t>Diametro</w:t>
            </w:r>
          </w:p>
          <w:p w14:paraId="7E2E5700" w14:textId="3D3B82A1" w:rsidR="00EA2C92" w:rsidRDefault="00EA2C92" w:rsidP="00046453">
            <w:pPr>
              <w:rPr>
                <w:lang w:val="es-ES_tradnl"/>
              </w:rPr>
            </w:pPr>
            <w:r>
              <w:rPr>
                <w:lang w:val="es-ES_tradnl"/>
              </w:rPr>
              <w:t>(cm)</w:t>
            </w:r>
          </w:p>
        </w:tc>
        <w:tc>
          <w:tcPr>
            <w:tcW w:w="1104" w:type="dxa"/>
          </w:tcPr>
          <w:p w14:paraId="52CC8E04" w14:textId="1C0F52E2" w:rsidR="00EA2C92" w:rsidRDefault="00EA2C92" w:rsidP="00046453">
            <w:pPr>
              <w:rPr>
                <w:lang w:val="es-ES_tradnl"/>
              </w:rPr>
            </w:pPr>
            <w:r>
              <w:rPr>
                <w:lang w:val="es-ES_tradnl"/>
              </w:rPr>
              <w:t>Cantidad de hileras</w:t>
            </w:r>
          </w:p>
        </w:tc>
        <w:tc>
          <w:tcPr>
            <w:tcW w:w="1104" w:type="dxa"/>
          </w:tcPr>
          <w:p w14:paraId="0C710267" w14:textId="373F7B28" w:rsidR="00EA2C92" w:rsidRDefault="00EA2C92" w:rsidP="00046453">
            <w:pPr>
              <w:rPr>
                <w:lang w:val="es-ES_tradnl"/>
              </w:rPr>
            </w:pPr>
            <w:r>
              <w:rPr>
                <w:lang w:val="es-ES_tradnl"/>
              </w:rPr>
              <w:t>No. granos</w:t>
            </w:r>
          </w:p>
        </w:tc>
        <w:tc>
          <w:tcPr>
            <w:tcW w:w="1104" w:type="dxa"/>
          </w:tcPr>
          <w:p w14:paraId="20FDCE3C" w14:textId="77777777" w:rsidR="00EA2C92" w:rsidRDefault="00EA2C92" w:rsidP="00046453">
            <w:pPr>
              <w:rPr>
                <w:lang w:val="es-ES_tradnl"/>
              </w:rPr>
            </w:pPr>
            <w:r>
              <w:rPr>
                <w:lang w:val="es-ES_tradnl"/>
              </w:rPr>
              <w:t>P 100</w:t>
            </w:r>
          </w:p>
          <w:p w14:paraId="6675DFD0" w14:textId="28E34BBD" w:rsidR="00EA2C92" w:rsidRDefault="00EA2C92" w:rsidP="00046453">
            <w:pPr>
              <w:rPr>
                <w:lang w:val="es-ES_tradnl"/>
              </w:rPr>
            </w:pPr>
            <w:r>
              <w:rPr>
                <w:lang w:val="es-ES_tradnl"/>
              </w:rPr>
              <w:t>Granos(g)</w:t>
            </w:r>
          </w:p>
        </w:tc>
        <w:tc>
          <w:tcPr>
            <w:tcW w:w="1104" w:type="dxa"/>
          </w:tcPr>
          <w:p w14:paraId="75EFA555" w14:textId="77777777" w:rsidR="00EA2C92" w:rsidRDefault="00EA2C92" w:rsidP="00046453">
            <w:pPr>
              <w:rPr>
                <w:lang w:val="es-ES_tradnl"/>
              </w:rPr>
            </w:pPr>
            <w:r>
              <w:rPr>
                <w:lang w:val="es-ES_tradnl"/>
              </w:rPr>
              <w:t>Rendimiento</w:t>
            </w:r>
          </w:p>
          <w:p w14:paraId="531829D2" w14:textId="44E39732" w:rsidR="00EA2C92" w:rsidRDefault="00EA2C92" w:rsidP="00046453">
            <w:pPr>
              <w:rPr>
                <w:lang w:val="es-ES_tradnl"/>
              </w:rPr>
            </w:pPr>
            <w:r>
              <w:rPr>
                <w:lang w:val="es-ES_tradnl"/>
              </w:rPr>
              <w:t>(t.ha</w:t>
            </w:r>
            <w:r w:rsidRPr="00EA2C92">
              <w:rPr>
                <w:vertAlign w:val="superscript"/>
                <w:lang w:val="es-ES_tradnl"/>
              </w:rPr>
              <w:t>-1</w:t>
            </w:r>
            <w:r>
              <w:rPr>
                <w:lang w:val="es-ES_tradnl"/>
              </w:rPr>
              <w:t>)</w:t>
            </w:r>
          </w:p>
        </w:tc>
      </w:tr>
      <w:tr w:rsidR="00EA2C92" w14:paraId="2E61E307" w14:textId="77777777" w:rsidTr="00EA2C92">
        <w:tc>
          <w:tcPr>
            <w:tcW w:w="1103" w:type="dxa"/>
          </w:tcPr>
          <w:p w14:paraId="386CABFB" w14:textId="241B2260" w:rsidR="00EA2C92" w:rsidRDefault="00EA2C92" w:rsidP="00046453">
            <w:pPr>
              <w:rPr>
                <w:lang w:val="es-ES_tradnl"/>
              </w:rPr>
            </w:pPr>
            <w:r>
              <w:rPr>
                <w:lang w:val="es-ES_tradnl"/>
              </w:rPr>
              <w:t>Sin Ecomic</w:t>
            </w:r>
          </w:p>
        </w:tc>
        <w:tc>
          <w:tcPr>
            <w:tcW w:w="1103" w:type="dxa"/>
          </w:tcPr>
          <w:p w14:paraId="3C0E980C" w14:textId="6E7CCE21" w:rsidR="00EA2C92" w:rsidRDefault="00EA2C92" w:rsidP="00046453">
            <w:pPr>
              <w:rPr>
                <w:lang w:val="es-ES_tradnl"/>
              </w:rPr>
            </w:pPr>
            <w:r>
              <w:rPr>
                <w:lang w:val="es-ES_tradnl"/>
              </w:rPr>
              <w:t>136.22</w:t>
            </w:r>
          </w:p>
        </w:tc>
        <w:tc>
          <w:tcPr>
            <w:tcW w:w="1103" w:type="dxa"/>
          </w:tcPr>
          <w:p w14:paraId="16EBD25D" w14:textId="111ACC16" w:rsidR="00EA2C92" w:rsidRDefault="00EA2C92" w:rsidP="00046453">
            <w:pPr>
              <w:rPr>
                <w:lang w:val="es-ES_tradnl"/>
              </w:rPr>
            </w:pPr>
            <w:r>
              <w:rPr>
                <w:lang w:val="es-ES_tradnl"/>
              </w:rPr>
              <w:t>14.47</w:t>
            </w:r>
          </w:p>
        </w:tc>
        <w:tc>
          <w:tcPr>
            <w:tcW w:w="1103" w:type="dxa"/>
          </w:tcPr>
          <w:p w14:paraId="6FF1F0A1" w14:textId="4E706493" w:rsidR="00EA2C92" w:rsidRDefault="00EA2C92" w:rsidP="00046453">
            <w:pPr>
              <w:rPr>
                <w:lang w:val="es-ES_tradnl"/>
              </w:rPr>
            </w:pPr>
            <w:r>
              <w:rPr>
                <w:lang w:val="es-ES_tradnl"/>
              </w:rPr>
              <w:t>4.57</w:t>
            </w:r>
          </w:p>
        </w:tc>
        <w:tc>
          <w:tcPr>
            <w:tcW w:w="1104" w:type="dxa"/>
          </w:tcPr>
          <w:p w14:paraId="2FA94F31" w14:textId="2B31535B" w:rsidR="00EA2C92" w:rsidRDefault="00EA2C92" w:rsidP="00046453">
            <w:pPr>
              <w:rPr>
                <w:lang w:val="es-ES_tradnl"/>
              </w:rPr>
            </w:pPr>
            <w:r>
              <w:rPr>
                <w:lang w:val="es-ES_tradnl"/>
              </w:rPr>
              <w:t>13.90</w:t>
            </w:r>
          </w:p>
        </w:tc>
        <w:tc>
          <w:tcPr>
            <w:tcW w:w="1104" w:type="dxa"/>
          </w:tcPr>
          <w:p w14:paraId="0D4FEAA3" w14:textId="29702B15" w:rsidR="00EA2C92" w:rsidRDefault="00EA2C92" w:rsidP="00046453">
            <w:pPr>
              <w:rPr>
                <w:lang w:val="es-ES_tradnl"/>
              </w:rPr>
            </w:pPr>
            <w:r>
              <w:rPr>
                <w:lang w:val="es-ES_tradnl"/>
              </w:rPr>
              <w:t>422</w:t>
            </w:r>
          </w:p>
        </w:tc>
        <w:tc>
          <w:tcPr>
            <w:tcW w:w="1104" w:type="dxa"/>
          </w:tcPr>
          <w:p w14:paraId="4DE92EE7" w14:textId="1A65ECF7" w:rsidR="00EA2C92" w:rsidRDefault="00EA2C92" w:rsidP="00046453">
            <w:pPr>
              <w:rPr>
                <w:lang w:val="es-ES_tradnl"/>
              </w:rPr>
            </w:pPr>
            <w:r>
              <w:rPr>
                <w:lang w:val="es-ES_tradnl"/>
              </w:rPr>
              <w:t>29.93</w:t>
            </w:r>
          </w:p>
        </w:tc>
        <w:tc>
          <w:tcPr>
            <w:tcW w:w="1104" w:type="dxa"/>
          </w:tcPr>
          <w:p w14:paraId="05B93CE5" w14:textId="5F6EED71" w:rsidR="00EA2C92" w:rsidRDefault="00EA2C92" w:rsidP="00046453">
            <w:pPr>
              <w:rPr>
                <w:lang w:val="es-ES_tradnl"/>
              </w:rPr>
            </w:pPr>
            <w:r>
              <w:rPr>
                <w:lang w:val="es-ES_tradnl"/>
              </w:rPr>
              <w:t>4.68</w:t>
            </w:r>
          </w:p>
        </w:tc>
      </w:tr>
      <w:tr w:rsidR="00EA2C92" w14:paraId="39E3F11B" w14:textId="77777777" w:rsidTr="00EA2C92">
        <w:tc>
          <w:tcPr>
            <w:tcW w:w="1103" w:type="dxa"/>
          </w:tcPr>
          <w:p w14:paraId="7C4F421B" w14:textId="461CD0E6" w:rsidR="00EA2C92" w:rsidRDefault="00EA2C92" w:rsidP="00046453">
            <w:pPr>
              <w:rPr>
                <w:lang w:val="es-ES_tradnl"/>
              </w:rPr>
            </w:pPr>
            <w:r>
              <w:rPr>
                <w:lang w:val="es-ES_tradnl"/>
              </w:rPr>
              <w:t>Con Ecomic</w:t>
            </w:r>
          </w:p>
        </w:tc>
        <w:tc>
          <w:tcPr>
            <w:tcW w:w="1103" w:type="dxa"/>
          </w:tcPr>
          <w:p w14:paraId="07A7F95A" w14:textId="3DB66770" w:rsidR="00EA2C92" w:rsidRDefault="00EA2C92" w:rsidP="00046453">
            <w:pPr>
              <w:rPr>
                <w:lang w:val="es-ES_tradnl"/>
              </w:rPr>
            </w:pPr>
            <w:r>
              <w:rPr>
                <w:lang w:val="es-ES_tradnl"/>
              </w:rPr>
              <w:t>149.41</w:t>
            </w:r>
          </w:p>
        </w:tc>
        <w:tc>
          <w:tcPr>
            <w:tcW w:w="1103" w:type="dxa"/>
          </w:tcPr>
          <w:p w14:paraId="5215A8C4" w14:textId="0ED960A5" w:rsidR="00EA2C92" w:rsidRDefault="00EA2C92" w:rsidP="00046453">
            <w:pPr>
              <w:rPr>
                <w:lang w:val="es-ES_tradnl"/>
              </w:rPr>
            </w:pPr>
            <w:r>
              <w:rPr>
                <w:lang w:val="es-ES_tradnl"/>
              </w:rPr>
              <w:t>15.97</w:t>
            </w:r>
          </w:p>
        </w:tc>
        <w:tc>
          <w:tcPr>
            <w:tcW w:w="1103" w:type="dxa"/>
          </w:tcPr>
          <w:p w14:paraId="23F85473" w14:textId="0A74A88E" w:rsidR="00EA2C92" w:rsidRDefault="00EA2C92" w:rsidP="00046453">
            <w:pPr>
              <w:rPr>
                <w:lang w:val="es-ES_tradnl"/>
              </w:rPr>
            </w:pPr>
            <w:r>
              <w:rPr>
                <w:lang w:val="es-ES_tradnl"/>
              </w:rPr>
              <w:t>4.60</w:t>
            </w:r>
          </w:p>
        </w:tc>
        <w:tc>
          <w:tcPr>
            <w:tcW w:w="1104" w:type="dxa"/>
          </w:tcPr>
          <w:p w14:paraId="08CC932D" w14:textId="69D7A507" w:rsidR="00EA2C92" w:rsidRDefault="00EA2C92" w:rsidP="00046453">
            <w:pPr>
              <w:rPr>
                <w:lang w:val="es-ES_tradnl"/>
              </w:rPr>
            </w:pPr>
            <w:r>
              <w:rPr>
                <w:lang w:val="es-ES_tradnl"/>
              </w:rPr>
              <w:t>14.07</w:t>
            </w:r>
          </w:p>
        </w:tc>
        <w:tc>
          <w:tcPr>
            <w:tcW w:w="1104" w:type="dxa"/>
          </w:tcPr>
          <w:p w14:paraId="2B36DF32" w14:textId="071B6102" w:rsidR="00EA2C92" w:rsidRDefault="00EA2C92" w:rsidP="00046453">
            <w:pPr>
              <w:rPr>
                <w:lang w:val="es-ES_tradnl"/>
              </w:rPr>
            </w:pPr>
            <w:r>
              <w:rPr>
                <w:lang w:val="es-ES_tradnl"/>
              </w:rPr>
              <w:t>484</w:t>
            </w:r>
          </w:p>
        </w:tc>
        <w:tc>
          <w:tcPr>
            <w:tcW w:w="1104" w:type="dxa"/>
          </w:tcPr>
          <w:p w14:paraId="731D3D54" w14:textId="72D4A711" w:rsidR="00EA2C92" w:rsidRDefault="00EA2C92" w:rsidP="00046453">
            <w:pPr>
              <w:rPr>
                <w:lang w:val="es-ES_tradnl"/>
              </w:rPr>
            </w:pPr>
            <w:r>
              <w:rPr>
                <w:lang w:val="es-ES_tradnl"/>
              </w:rPr>
              <w:t>29.94</w:t>
            </w:r>
          </w:p>
        </w:tc>
        <w:tc>
          <w:tcPr>
            <w:tcW w:w="1104" w:type="dxa"/>
          </w:tcPr>
          <w:p w14:paraId="43C6BA40" w14:textId="1EC4F090" w:rsidR="00EA2C92" w:rsidRDefault="0056501D" w:rsidP="00046453">
            <w:pPr>
              <w:rPr>
                <w:lang w:val="es-ES_tradnl"/>
              </w:rPr>
            </w:pPr>
            <w:r>
              <w:rPr>
                <w:lang w:val="es-ES_tradnl"/>
              </w:rPr>
              <w:t>5.37</w:t>
            </w:r>
          </w:p>
        </w:tc>
      </w:tr>
    </w:tbl>
    <w:p w14:paraId="1ABAD885" w14:textId="53081795" w:rsidR="00EA2C92" w:rsidRDefault="00EA2C92" w:rsidP="00046453">
      <w:pPr>
        <w:rPr>
          <w:lang w:val="es-ES_tradnl"/>
        </w:rPr>
      </w:pPr>
    </w:p>
    <w:p w14:paraId="123D1E62" w14:textId="56F5B940" w:rsidR="00915B86" w:rsidRDefault="00915B86" w:rsidP="00046453">
      <w:pPr>
        <w:rPr>
          <w:lang w:val="es-ES_tradnl"/>
        </w:rPr>
      </w:pPr>
      <w:r>
        <w:rPr>
          <w:lang w:val="es-ES_tradnl"/>
        </w:rPr>
        <w:lastRenderedPageBreak/>
        <w:t>Experimento 2</w:t>
      </w:r>
    </w:p>
    <w:p w14:paraId="2BD0A57E" w14:textId="19DB4D66" w:rsidR="00915B86" w:rsidRDefault="00915B86" w:rsidP="00046453">
      <w:pPr>
        <w:rPr>
          <w:lang w:val="es-ES_tradnl"/>
        </w:rPr>
      </w:pPr>
      <w:r w:rsidRPr="00672A69">
        <w:rPr>
          <w:rFonts w:ascii="Arial" w:hAnsi="Arial" w:cs="Arial"/>
          <w:noProof/>
          <w:color w:val="000000" w:themeColor="text1"/>
          <w:sz w:val="24"/>
          <w:szCs w:val="24"/>
          <w:lang w:eastAsia="es-ES"/>
        </w:rPr>
        <w:drawing>
          <wp:inline distT="0" distB="0" distL="0" distR="0" wp14:anchorId="333BA0CF" wp14:editId="1194F081">
            <wp:extent cx="3305636" cy="1428949"/>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305636" cy="1428949"/>
                    </a:xfrm>
                    <a:prstGeom prst="rect">
                      <a:avLst/>
                    </a:prstGeom>
                  </pic:spPr>
                </pic:pic>
              </a:graphicData>
            </a:graphic>
          </wp:inline>
        </w:drawing>
      </w:r>
    </w:p>
    <w:p w14:paraId="0D34EEF1" w14:textId="77ED2255" w:rsidR="00915B86" w:rsidRDefault="00915B86" w:rsidP="00046453">
      <w:pPr>
        <w:rPr>
          <w:lang w:val="es-ES_tradnl"/>
        </w:rPr>
      </w:pPr>
      <w:r w:rsidRPr="00672A69">
        <w:rPr>
          <w:rFonts w:ascii="Arial" w:hAnsi="Arial" w:cs="Arial"/>
          <w:noProof/>
          <w:color w:val="000000" w:themeColor="text1"/>
          <w:sz w:val="24"/>
          <w:szCs w:val="24"/>
          <w:lang w:eastAsia="es-ES"/>
        </w:rPr>
        <w:drawing>
          <wp:inline distT="0" distB="0" distL="0" distR="0" wp14:anchorId="5F4B1D99" wp14:editId="5FBB6733">
            <wp:extent cx="3238952" cy="1209844"/>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8952" cy="1209844"/>
                    </a:xfrm>
                    <a:prstGeom prst="rect">
                      <a:avLst/>
                    </a:prstGeom>
                  </pic:spPr>
                </pic:pic>
              </a:graphicData>
            </a:graphic>
          </wp:inline>
        </w:drawing>
      </w:r>
    </w:p>
    <w:p w14:paraId="254A8091" w14:textId="13DF79F8" w:rsidR="008E3C27" w:rsidRPr="008E3C27" w:rsidRDefault="008E3C27" w:rsidP="008E3C27">
      <w:pPr>
        <w:jc w:val="both"/>
        <w:rPr>
          <w:lang w:val="es-ES_tradnl"/>
        </w:rPr>
      </w:pPr>
      <w:r>
        <w:rPr>
          <w:lang w:val="es-ES_tradnl"/>
        </w:rPr>
        <w:t>E</w:t>
      </w:r>
      <w:r w:rsidRPr="008E3C27">
        <w:rPr>
          <w:lang w:val="es-ES_tradnl"/>
        </w:rPr>
        <w:t>l coeficiente de correlación se representa con una</w:t>
      </w:r>
      <w:r>
        <w:rPr>
          <w:lang w:val="es-ES_tradnl"/>
        </w:rPr>
        <w:t xml:space="preserve"> </w:t>
      </w:r>
      <w:r w:rsidRPr="008E3C27">
        <w:rPr>
          <w:lang w:val="es-ES_tradnl"/>
        </w:rPr>
        <w:t>“r” y puede tomar valores que van entre −1 y + 1.</w:t>
      </w:r>
      <w:r>
        <w:rPr>
          <w:lang w:val="es-ES_tradnl"/>
        </w:rPr>
        <w:t xml:space="preserve"> </w:t>
      </w:r>
      <w:r w:rsidRPr="008E3C27">
        <w:rPr>
          <w:lang w:val="es-ES_tradnl"/>
        </w:rPr>
        <w:t>Un resultado de 0 significa que no hay correlación,</w:t>
      </w:r>
      <w:r>
        <w:rPr>
          <w:lang w:val="es-ES_tradnl"/>
        </w:rPr>
        <w:t xml:space="preserve"> </w:t>
      </w:r>
      <w:r w:rsidRPr="008E3C27">
        <w:rPr>
          <w:lang w:val="es-ES_tradnl"/>
        </w:rPr>
        <w:t>es decir, el comportamiento de una variable no se</w:t>
      </w:r>
      <w:r>
        <w:rPr>
          <w:lang w:val="es-ES_tradnl"/>
        </w:rPr>
        <w:t xml:space="preserve"> </w:t>
      </w:r>
      <w:r w:rsidRPr="008E3C27">
        <w:rPr>
          <w:lang w:val="es-ES_tradnl"/>
        </w:rPr>
        <w:t>relaciona con el comportamiento de la otra variable.</w:t>
      </w:r>
      <w:r>
        <w:rPr>
          <w:lang w:val="es-ES_tradnl"/>
        </w:rPr>
        <w:t xml:space="preserve"> </w:t>
      </w:r>
      <w:r w:rsidRPr="008E3C27">
        <w:rPr>
          <w:lang w:val="es-ES_tradnl"/>
        </w:rPr>
        <w:t>Una correlación perfecta implica un valor de −1 o</w:t>
      </w:r>
      <w:r>
        <w:rPr>
          <w:lang w:val="es-ES_tradnl"/>
        </w:rPr>
        <w:t xml:space="preserve"> </w:t>
      </w:r>
      <w:r w:rsidRPr="008E3C27">
        <w:rPr>
          <w:lang w:val="es-ES_tradnl"/>
        </w:rPr>
        <w:t>+ 1, lo cual indicaría que al conocer el valor de una</w:t>
      </w:r>
      <w:r>
        <w:rPr>
          <w:lang w:val="es-ES_tradnl"/>
        </w:rPr>
        <w:t xml:space="preserve"> variable sería posible </w:t>
      </w:r>
      <w:r w:rsidRPr="008E3C27">
        <w:rPr>
          <w:lang w:val="es-ES_tradnl"/>
        </w:rPr>
        <w:t>determinarse el valor de la</w:t>
      </w:r>
      <w:r>
        <w:rPr>
          <w:lang w:val="es-ES_tradnl"/>
        </w:rPr>
        <w:t xml:space="preserve"> </w:t>
      </w:r>
      <w:r w:rsidRPr="008E3C27">
        <w:rPr>
          <w:lang w:val="es-ES_tradnl"/>
        </w:rPr>
        <w:t>otra variable. Entre más cercano a 1 sea el coef</w:t>
      </w:r>
      <w:r>
        <w:rPr>
          <w:lang w:val="es-ES_tradnl"/>
        </w:rPr>
        <w:t>i</w:t>
      </w:r>
      <w:r w:rsidRPr="008E3C27">
        <w:rPr>
          <w:lang w:val="es-ES_tradnl"/>
        </w:rPr>
        <w:t>ciente de correlación, mayor la fuerza de asociación</w:t>
      </w:r>
      <w:r>
        <w:rPr>
          <w:lang w:val="es-ES_tradnl"/>
        </w:rPr>
        <w:t xml:space="preserve"> (</w:t>
      </w:r>
      <w:r w:rsidRPr="008E3C27">
        <w:rPr>
          <w:lang w:val="es-ES_tradnl"/>
        </w:rPr>
        <w:t>Ivonne Roy-García,</w:t>
      </w:r>
      <w:r>
        <w:rPr>
          <w:lang w:val="es-ES_tradnl"/>
        </w:rPr>
        <w:t xml:space="preserve"> 2019)</w:t>
      </w:r>
      <w:r w:rsidR="007C3032">
        <w:rPr>
          <w:lang w:val="es-ES_tradnl"/>
        </w:rPr>
        <w:t>(</w:t>
      </w:r>
      <w:r w:rsidR="007C3032" w:rsidRPr="007C3032">
        <w:t xml:space="preserve"> </w:t>
      </w:r>
      <w:r w:rsidR="007C3032" w:rsidRPr="007C3032">
        <w:rPr>
          <w:lang w:val="es-ES_tradnl"/>
        </w:rPr>
        <w:t>Rev Chil Anest 2014; 43: 150-153Jorge Dagnino S.</w:t>
      </w:r>
      <w:r w:rsidR="007C3032">
        <w:rPr>
          <w:lang w:val="es-ES_tradnl"/>
        </w:rPr>
        <w:t>)</w:t>
      </w:r>
    </w:p>
    <w:p w14:paraId="4EBBC468" w14:textId="77777777" w:rsidR="00915B86" w:rsidRPr="00046453" w:rsidRDefault="00915B86" w:rsidP="00046453">
      <w:pPr>
        <w:rPr>
          <w:lang w:val="es-ES_tradnl"/>
        </w:rPr>
      </w:pPr>
    </w:p>
    <w:p w14:paraId="20302F3B" w14:textId="77777777" w:rsidR="00A16170" w:rsidRDefault="00A16170" w:rsidP="001877EF">
      <w:pPr>
        <w:pStyle w:val="Ttulo1"/>
        <w:rPr>
          <w:sz w:val="24"/>
          <w:lang w:val="es-ES_tradnl"/>
        </w:rPr>
      </w:pPr>
      <w:r w:rsidRPr="001877EF">
        <w:t>CAPÍTULO</w:t>
      </w:r>
      <w:r w:rsidRPr="00FA1A3D">
        <w:rPr>
          <w:lang w:val="es-ES_tradnl"/>
        </w:rPr>
        <w:t xml:space="preserve"> 3. RESULTADOS Y DISCUSIÓN</w:t>
      </w:r>
      <w:r w:rsidRPr="00A16170">
        <w:rPr>
          <w:sz w:val="24"/>
          <w:lang w:val="es-ES_tradnl"/>
        </w:rPr>
        <w:t xml:space="preserve"> </w:t>
      </w:r>
    </w:p>
    <w:p w14:paraId="7390C04C"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Calibración</w:t>
      </w:r>
      <w:r>
        <w:rPr>
          <w:rFonts w:cs="Arial"/>
          <w:lang w:val="es-ES_tradnl"/>
        </w:rPr>
        <w:t xml:space="preserve"> </w:t>
      </w:r>
    </w:p>
    <w:p w14:paraId="132E29F5" w14:textId="77777777"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Estimación del rendimiento con la utilización del biofertilizantes EcoMic®</w:t>
      </w:r>
    </w:p>
    <w:p w14:paraId="6D0C69B4" w14:textId="77777777" w:rsidR="00A16170" w:rsidRPr="00FA1A3D" w:rsidRDefault="00A16170" w:rsidP="00FA1A3D">
      <w:pPr>
        <w:pStyle w:val="Ttulo2"/>
        <w:rPr>
          <w:rFonts w:cs="Arial"/>
          <w:b w:val="0"/>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Validación</w:t>
      </w:r>
    </w:p>
    <w:p w14:paraId="60222244" w14:textId="11F35274" w:rsidR="00A16170" w:rsidRDefault="00A16170" w:rsidP="00FA1A3D">
      <w:pPr>
        <w:pStyle w:val="Ttulo2"/>
        <w:rPr>
          <w:rFonts w:cs="Arial"/>
          <w:lang w:val="es-ES_tradnl"/>
        </w:rPr>
      </w:pPr>
      <w:r w:rsidRPr="00FA1A3D">
        <w:rPr>
          <w:rFonts w:cs="Arial"/>
          <w:color w:val="000000" w:themeColor="text1"/>
          <w:szCs w:val="24"/>
          <w:lang w:val="es-ES_tradnl"/>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Simulación</w:t>
      </w:r>
      <w:r>
        <w:rPr>
          <w:rFonts w:cs="Arial"/>
          <w:lang w:val="es-ES_tradnl"/>
        </w:rPr>
        <w:t xml:space="preserve"> </w:t>
      </w:r>
    </w:p>
    <w:p w14:paraId="3EAEF8B8" w14:textId="0C7678A3" w:rsidR="00C56C04" w:rsidRPr="00C56C04" w:rsidRDefault="00A1112D" w:rsidP="00C56C04">
      <w:pPr>
        <w:rPr>
          <w:lang w:val="es-ES_tradnl"/>
        </w:rPr>
      </w:pPr>
      <w:r>
        <w:t>En el presente estudio se midieron las variables agronómicas, climáticas en el invernadero, propiedades físicas del sustrato y volumen de agua aplicado a las plantas, y se desarrolló un modelo de simulación a partir de una función senoidal en Matlab.</w:t>
      </w:r>
    </w:p>
    <w:p w14:paraId="03451C96" w14:textId="77777777" w:rsidR="00A16170" w:rsidRDefault="00A16170" w:rsidP="001877EF">
      <w:pPr>
        <w:pStyle w:val="Ttulo1"/>
        <w:rPr>
          <w:sz w:val="24"/>
          <w:lang w:val="es-ES_tradnl"/>
        </w:rPr>
      </w:pPr>
      <w:r w:rsidRPr="001877EF">
        <w:t>CONCLUSIONES</w:t>
      </w:r>
    </w:p>
    <w:p w14:paraId="2D9A750E" w14:textId="77777777" w:rsidR="00A16170" w:rsidRPr="00FA1A3D" w:rsidRDefault="00A16170" w:rsidP="001877EF">
      <w:pPr>
        <w:pStyle w:val="Ttulo1"/>
        <w:rPr>
          <w:lang w:val="es-ES_tradnl"/>
        </w:rPr>
      </w:pPr>
      <w:r w:rsidRPr="001877EF">
        <w:t>RECOMENDACIONES</w:t>
      </w:r>
    </w:p>
    <w:p w14:paraId="01105DAB" w14:textId="28EDCCFE" w:rsidR="004B3728" w:rsidRDefault="004B3728" w:rsidP="001877EF">
      <w:pPr>
        <w:pStyle w:val="Ttulo1"/>
        <w:rPr>
          <w:sz w:val="24"/>
          <w:lang w:val="es-ES_tradnl"/>
        </w:rPr>
      </w:pPr>
      <w:r>
        <w:rPr>
          <w:sz w:val="24"/>
          <w:lang w:val="es-ES_tradnl"/>
        </w:rPr>
        <w:br w:type="page"/>
      </w:r>
    </w:p>
    <w:p w14:paraId="33D45823" w14:textId="77777777" w:rsidR="004F160A" w:rsidRDefault="004F160A" w:rsidP="00497013">
      <w:pPr>
        <w:spacing w:line="360" w:lineRule="auto"/>
        <w:jc w:val="both"/>
        <w:rPr>
          <w:rFonts w:ascii="Arial" w:hAnsi="Arial" w:cs="Arial"/>
          <w:sz w:val="24"/>
          <w:lang w:val="es-ES_tradnl"/>
        </w:rPr>
      </w:pPr>
    </w:p>
    <w:p w14:paraId="0BEDAC27" w14:textId="7A877688" w:rsidR="004F160A" w:rsidRPr="00963BA4" w:rsidRDefault="004F160A" w:rsidP="001877EF">
      <w:pPr>
        <w:pStyle w:val="Ttulo1"/>
      </w:pPr>
      <w:r w:rsidRPr="00963BA4">
        <w:t xml:space="preserve">REFERENCIAS </w:t>
      </w:r>
      <w:r w:rsidRPr="001877EF">
        <w:t>BIBLIOGRÁFICAS</w:t>
      </w:r>
      <w:r w:rsidRPr="00963BA4">
        <w:t xml:space="preserve"> </w:t>
      </w:r>
    </w:p>
    <w:p w14:paraId="4B89E0EF" w14:textId="77777777" w:rsidR="00A650E8" w:rsidRPr="00A650E8" w:rsidRDefault="000C6959" w:rsidP="00A650E8">
      <w:pPr>
        <w:pStyle w:val="Bibliografa"/>
        <w:rPr>
          <w:lang w:val="en-US"/>
        </w:rPr>
      </w:pPr>
      <w:r>
        <w:rPr>
          <w:lang w:val="es-ES_tradnl"/>
        </w:rPr>
        <w:fldChar w:fldCharType="begin"/>
      </w:r>
      <w:r w:rsidR="00633438" w:rsidRPr="0041551E">
        <w:instrText xml:space="preserve"> ADDIN ZOTERO_BIBL {"uncited":[],"omitted":[],"custom":[]} CSL_BIBLIOGRAPHY </w:instrText>
      </w:r>
      <w:r>
        <w:rPr>
          <w:lang w:val="es-ES_tradnl"/>
        </w:rPr>
        <w:fldChar w:fldCharType="separate"/>
      </w:r>
      <w:r w:rsidR="00A650E8" w:rsidRPr="0041551E">
        <w:t xml:space="preserve">Abou El-Enin, M. M., Abo-Remaila, S. I., &amp; Mahmoud, A. S. (2016). </w:t>
      </w:r>
      <w:r w:rsidR="00A650E8" w:rsidRPr="00A650E8">
        <w:rPr>
          <w:lang w:val="en-US"/>
        </w:rPr>
        <w:t xml:space="preserve">Application and Evaluation of DSSAT V.4.6.1 Program for Simulation of Wheat and Soybean yields in Egypt. </w:t>
      </w:r>
      <w:r w:rsidR="00A650E8" w:rsidRPr="00A650E8">
        <w:rPr>
          <w:i/>
          <w:iCs/>
          <w:lang w:val="en-US"/>
        </w:rPr>
        <w:t>Journal of Basic and Environmental Sciences</w:t>
      </w:r>
      <w:r w:rsidR="00A650E8" w:rsidRPr="00A650E8">
        <w:rPr>
          <w:lang w:val="en-US"/>
        </w:rPr>
        <w:t xml:space="preserve">, </w:t>
      </w:r>
      <w:r w:rsidR="00A650E8" w:rsidRPr="00A650E8">
        <w:rPr>
          <w:i/>
          <w:iCs/>
          <w:lang w:val="en-US"/>
        </w:rPr>
        <w:t>3</w:t>
      </w:r>
      <w:r w:rsidR="00A650E8" w:rsidRPr="00A650E8">
        <w:rPr>
          <w:lang w:val="en-US"/>
        </w:rPr>
        <w:t>, 85-97.</w:t>
      </w:r>
    </w:p>
    <w:p w14:paraId="03870D24" w14:textId="77777777" w:rsidR="00A650E8" w:rsidRPr="00A650E8" w:rsidRDefault="00A650E8" w:rsidP="00A650E8">
      <w:pPr>
        <w:pStyle w:val="Bibliografa"/>
        <w:rPr>
          <w:lang w:val="en-US"/>
        </w:rPr>
      </w:pPr>
      <w:r w:rsidRPr="00A650E8">
        <w:rPr>
          <w:lang w:val="en-US"/>
        </w:rPr>
        <w:t xml:space="preserve">Acosta, R., Colomer, A., Ríos, H., &amp; Martínez, M. (2013). </w:t>
      </w:r>
      <w:r>
        <w:t xml:space="preserve">Evaluación morfoagronómica de una población de maíz (Zea mays, L.) en condiciones de polinización abierta en el municipio Batabanó, provincia Mayabeque. </w:t>
      </w:r>
      <w:r w:rsidRPr="00A650E8">
        <w:rPr>
          <w:i/>
          <w:iCs/>
          <w:lang w:val="en-US"/>
        </w:rPr>
        <w:t>Cultivos Tropicales</w:t>
      </w:r>
      <w:r w:rsidRPr="00A650E8">
        <w:rPr>
          <w:lang w:val="en-US"/>
        </w:rPr>
        <w:t xml:space="preserve">, </w:t>
      </w:r>
      <w:r w:rsidRPr="00A650E8">
        <w:rPr>
          <w:i/>
          <w:iCs/>
          <w:lang w:val="en-US"/>
        </w:rPr>
        <w:t>34</w:t>
      </w:r>
      <w:r w:rsidRPr="00A650E8">
        <w:rPr>
          <w:lang w:val="en-US"/>
        </w:rPr>
        <w:t>(2), 52-60.</w:t>
      </w:r>
    </w:p>
    <w:p w14:paraId="6F0FC929" w14:textId="77777777" w:rsidR="00A650E8" w:rsidRPr="00A650E8" w:rsidRDefault="00A650E8" w:rsidP="00A650E8">
      <w:pPr>
        <w:pStyle w:val="Bibliografa"/>
        <w:rPr>
          <w:lang w:val="en-US"/>
        </w:rPr>
      </w:pPr>
      <w:r w:rsidRPr="00A650E8">
        <w:rPr>
          <w:lang w:val="en-US"/>
        </w:rPr>
        <w:t xml:space="preserve">Ahmed, M., Akram, M. N., Asim, M., Aslam, M., Hassan, F., Higgins, S., Stöckle, C. O., &amp; Hoogenboom, G. (2016). Calibration and validation of APSIM-Wheat and CERES-Wheat for spring wheat under rainfed conditions: Models evaluation and application. </w:t>
      </w:r>
      <w:r w:rsidRPr="00A650E8">
        <w:rPr>
          <w:i/>
          <w:iCs/>
          <w:lang w:val="en-US"/>
        </w:rPr>
        <w:t>Computers and Electronics in Agriculture</w:t>
      </w:r>
      <w:r w:rsidRPr="00A650E8">
        <w:rPr>
          <w:lang w:val="en-US"/>
        </w:rPr>
        <w:t xml:space="preserve">, </w:t>
      </w:r>
      <w:r w:rsidRPr="00A650E8">
        <w:rPr>
          <w:i/>
          <w:iCs/>
          <w:lang w:val="en-US"/>
        </w:rPr>
        <w:t>123</w:t>
      </w:r>
      <w:r w:rsidRPr="00A650E8">
        <w:rPr>
          <w:lang w:val="en-US"/>
        </w:rPr>
        <w:t>, 384-401. https://doi.org/10.1016/j.compag.2016.03.015</w:t>
      </w:r>
    </w:p>
    <w:p w14:paraId="4BA514BE" w14:textId="77777777" w:rsidR="00A650E8" w:rsidRPr="00A650E8" w:rsidRDefault="00A650E8" w:rsidP="00A650E8">
      <w:pPr>
        <w:pStyle w:val="Bibliografa"/>
        <w:rPr>
          <w:lang w:val="en-US"/>
        </w:rPr>
      </w:pPr>
      <w:r w:rsidRPr="00A650E8">
        <w:rPr>
          <w:lang w:val="en-US"/>
        </w:rPr>
        <w:t xml:space="preserve">Anwar, M. R., Liu, D. L., Farquharson, R., Macadam, I., Abadi, A., Finlayson, J., Wang, B., &amp; Ramilan, T. (2015). Climate change impacts on phenology and yields of five broadacre crops at four climatologically distinct locations in Australia. </w:t>
      </w:r>
      <w:r w:rsidRPr="00A650E8">
        <w:rPr>
          <w:i/>
          <w:iCs/>
          <w:lang w:val="en-US"/>
        </w:rPr>
        <w:t>Agricultural Systems</w:t>
      </w:r>
      <w:r w:rsidRPr="00A650E8">
        <w:rPr>
          <w:lang w:val="en-US"/>
        </w:rPr>
        <w:t xml:space="preserve">, </w:t>
      </w:r>
      <w:r w:rsidRPr="00A650E8">
        <w:rPr>
          <w:i/>
          <w:iCs/>
          <w:lang w:val="en-US"/>
        </w:rPr>
        <w:t>132</w:t>
      </w:r>
      <w:r w:rsidRPr="00A650E8">
        <w:rPr>
          <w:lang w:val="en-US"/>
        </w:rPr>
        <w:t>, 133-144. https://doi.org/10.1016/j.agsy.2014.09.010</w:t>
      </w:r>
    </w:p>
    <w:p w14:paraId="171997C4" w14:textId="77777777" w:rsidR="00A650E8" w:rsidRPr="00A650E8" w:rsidRDefault="00A650E8" w:rsidP="00A650E8">
      <w:pPr>
        <w:pStyle w:val="Bibliografa"/>
        <w:rPr>
          <w:lang w:val="en-US"/>
        </w:rPr>
      </w:pPr>
      <w:r w:rsidRPr="00A650E8">
        <w:rPr>
          <w:lang w:val="en-US"/>
        </w:rPr>
        <w:t xml:space="preserve">Arias, P., Bellouin, N., Coppola, E., Jones, R., Krinner, G., Marotzke, J., Naik, V., Palmer, M., Plattner, G.-K., Rogelj, J., Rojas, M., Sillmann, J., Storelvmo, T., Thorne, P., Trewin, B., Achutarao, K., Adhikary, B., Allan, R., Armour, K., … Zickfeld, K. (2021). </w:t>
      </w:r>
      <w:r w:rsidRPr="00A650E8">
        <w:rPr>
          <w:i/>
          <w:iCs/>
          <w:lang w:val="en-US"/>
        </w:rPr>
        <w:t>Climate Change 2021: The Physical Science Basis. Contribution of Working Group I to the Sixth Assessment Report of the Intergovernmental Panel on Climate Change; Technical Summary</w:t>
      </w:r>
      <w:r w:rsidRPr="00A650E8">
        <w:rPr>
          <w:lang w:val="en-US"/>
        </w:rPr>
        <w:t xml:space="preserve"> (V. Masson-Delmotte, P. Zhai, A. Pirani, S. L. Conners, C. Péan, S. Berger, N. Caud, Y. Chen, L. Goldfarb, M. I. Gomis, M. Huang, K. Leitzell, E. Lonnoy, J. B. R. Matthews, T. K. Maycock, T. Waterfield, O. Yelekçi, R. Yu, &amp; B. Zhou, Eds.). https://www.ipcc.ch/report/ar6/wg1/</w:t>
      </w:r>
    </w:p>
    <w:p w14:paraId="4BDFEC68" w14:textId="77777777" w:rsidR="00A650E8" w:rsidRPr="00A650E8" w:rsidRDefault="00A650E8" w:rsidP="00A650E8">
      <w:pPr>
        <w:pStyle w:val="Bibliografa"/>
        <w:rPr>
          <w:lang w:val="en-US"/>
        </w:rPr>
      </w:pPr>
      <w:r w:rsidRPr="00A650E8">
        <w:rPr>
          <w:lang w:val="en-US"/>
        </w:rPr>
        <w:lastRenderedPageBreak/>
        <w:t xml:space="preserve">Asseng, S., Ewert, F., Martre, P., Rötter, R. P., Lobell, D. B., Cammarano, D., Kimball, B. A., Ottman, M. J., Wall, G. W., White, J. W., Reynolds, M. P., Alderman, P. D., Prasad, P. V. V., Aggarwal, P. K., Anothai, J., Basso, B., Biernath, C., Challinor, A. J., De Sanctis, G., … Zhu, Y. (2015). Rising temperatures reduce global wheat production. </w:t>
      </w:r>
      <w:r w:rsidRPr="00A650E8">
        <w:rPr>
          <w:i/>
          <w:iCs/>
          <w:lang w:val="en-US"/>
        </w:rPr>
        <w:t>Nature Climate Change</w:t>
      </w:r>
      <w:r w:rsidRPr="00A650E8">
        <w:rPr>
          <w:lang w:val="en-US"/>
        </w:rPr>
        <w:t xml:space="preserve">, </w:t>
      </w:r>
      <w:r w:rsidRPr="00A650E8">
        <w:rPr>
          <w:i/>
          <w:iCs/>
          <w:lang w:val="en-US"/>
        </w:rPr>
        <w:t>5</w:t>
      </w:r>
      <w:r w:rsidRPr="00A650E8">
        <w:rPr>
          <w:lang w:val="en-US"/>
        </w:rPr>
        <w:t>, 143.</w:t>
      </w:r>
    </w:p>
    <w:p w14:paraId="687D2014" w14:textId="77777777" w:rsidR="00A650E8" w:rsidRDefault="00A650E8" w:rsidP="00A650E8">
      <w:pPr>
        <w:pStyle w:val="Bibliografa"/>
      </w:pPr>
      <w:r w:rsidRPr="00A650E8">
        <w:rPr>
          <w:lang w:val="en-US"/>
        </w:rPr>
        <w:t xml:space="preserve">Asseng, S., Zhu, Y., Wang, E., &amp; Zhang, W. (2015). Crop modeling for climate change impact and adaptation. </w:t>
      </w:r>
      <w:r>
        <w:t xml:space="preserve">En </w:t>
      </w:r>
      <w:r>
        <w:rPr>
          <w:i/>
          <w:iCs/>
        </w:rPr>
        <w:t>Crop Physiology</w:t>
      </w:r>
      <w:r>
        <w:t xml:space="preserve"> (pp. 505-546). Elsevier. https://doi.org/10.1016/B978-0-12-417104-6.00020-0</w:t>
      </w:r>
    </w:p>
    <w:p w14:paraId="2344985A" w14:textId="77777777" w:rsidR="00A650E8" w:rsidRDefault="00A650E8" w:rsidP="00A650E8">
      <w:pPr>
        <w:pStyle w:val="Bibliografa"/>
      </w:pPr>
      <w:r>
        <w:t xml:space="preserve">Ávila Pérez, L., &amp; Pérez Zaldiva, J. C. (2017). Evaluación de cultivares de Sorgo (Sorghum Vulgares, l. Moench) en la CCS “José Manuel Rodríguez” del municipio Jesús Menéndez. </w:t>
      </w:r>
      <w:r>
        <w:rPr>
          <w:i/>
          <w:iCs/>
        </w:rPr>
        <w:t>Ojeando la Agenda</w:t>
      </w:r>
      <w:r>
        <w:t xml:space="preserve">, </w:t>
      </w:r>
      <w:r>
        <w:rPr>
          <w:i/>
          <w:iCs/>
        </w:rPr>
        <w:t>47</w:t>
      </w:r>
      <w:r>
        <w:t>, 4.</w:t>
      </w:r>
    </w:p>
    <w:p w14:paraId="19957C8E" w14:textId="77777777" w:rsidR="00A650E8" w:rsidRPr="00A650E8" w:rsidRDefault="00A650E8" w:rsidP="00A650E8">
      <w:pPr>
        <w:pStyle w:val="Bibliografa"/>
        <w:rPr>
          <w:lang w:val="en-US"/>
        </w:rPr>
      </w:pPr>
      <w:r>
        <w:t xml:space="preserve">Ayala, C., &amp; Dabdab, P. (2020). Factores que influyen en la recomendación de uso del maíz criollo: Un estudio para extensionistas salvadoreños. </w:t>
      </w:r>
      <w:r w:rsidRPr="00A650E8">
        <w:rPr>
          <w:i/>
          <w:iCs/>
          <w:lang w:val="en-US"/>
        </w:rPr>
        <w:t>Trabajo y Sociedad</w:t>
      </w:r>
      <w:r w:rsidRPr="00A650E8">
        <w:rPr>
          <w:lang w:val="en-US"/>
        </w:rPr>
        <w:t xml:space="preserve">, </w:t>
      </w:r>
      <w:r w:rsidRPr="00A650E8">
        <w:rPr>
          <w:i/>
          <w:iCs/>
          <w:lang w:val="en-US"/>
        </w:rPr>
        <w:t>21</w:t>
      </w:r>
      <w:r w:rsidRPr="00A650E8">
        <w:rPr>
          <w:lang w:val="en-US"/>
        </w:rPr>
        <w:t>(34), 211-220.</w:t>
      </w:r>
    </w:p>
    <w:p w14:paraId="16D80E7B" w14:textId="77777777" w:rsidR="00A650E8" w:rsidRPr="00A650E8" w:rsidRDefault="00A650E8" w:rsidP="00A650E8">
      <w:pPr>
        <w:pStyle w:val="Bibliografa"/>
        <w:rPr>
          <w:lang w:val="en-US"/>
        </w:rPr>
      </w:pPr>
      <w:r w:rsidRPr="00A650E8">
        <w:rPr>
          <w:lang w:val="en-US"/>
        </w:rPr>
        <w:t xml:space="preserve">Barrett, J. R., &amp; Nearing, M. A. (1998). Humanization of decision support using information from simulations. </w:t>
      </w:r>
      <w:r w:rsidRPr="00A650E8">
        <w:rPr>
          <w:i/>
          <w:iCs/>
          <w:lang w:val="en-US"/>
        </w:rPr>
        <w:t>Agricultural systems modeling and simulation</w:t>
      </w:r>
      <w:r w:rsidRPr="00A650E8">
        <w:rPr>
          <w:lang w:val="en-US"/>
        </w:rPr>
        <w:t>, 1-17.</w:t>
      </w:r>
    </w:p>
    <w:p w14:paraId="79B055AE" w14:textId="77777777" w:rsidR="00A650E8" w:rsidRPr="00A650E8" w:rsidRDefault="00A650E8" w:rsidP="00A650E8">
      <w:pPr>
        <w:pStyle w:val="Bibliografa"/>
        <w:rPr>
          <w:lang w:val="en-US"/>
        </w:rPr>
      </w:pPr>
      <w:r w:rsidRPr="00A650E8">
        <w:rPr>
          <w:lang w:val="en-US"/>
        </w:rPr>
        <w:t xml:space="preserve">Bouman, B. A. M. (2001). </w:t>
      </w:r>
      <w:r w:rsidRPr="00A650E8">
        <w:rPr>
          <w:i/>
          <w:iCs/>
          <w:lang w:val="en-US"/>
        </w:rPr>
        <w:t>ORYZA2000: Modeling lowland rice</w:t>
      </w:r>
      <w:r w:rsidRPr="00A650E8">
        <w:rPr>
          <w:lang w:val="en-US"/>
        </w:rPr>
        <w:t>. IRRI.</w:t>
      </w:r>
    </w:p>
    <w:p w14:paraId="7CD3DB9C" w14:textId="77777777" w:rsidR="00A650E8" w:rsidRPr="00A650E8" w:rsidRDefault="00A650E8" w:rsidP="00A650E8">
      <w:pPr>
        <w:pStyle w:val="Bibliografa"/>
        <w:rPr>
          <w:lang w:val="en-US"/>
        </w:rPr>
      </w:pPr>
      <w:r w:rsidRPr="00A650E8">
        <w:rPr>
          <w:lang w:val="en-US"/>
        </w:rPr>
        <w:t xml:space="preserve">Brisson, N., Mary, B., Ripoche, D., Jeuffroy, M. H., Ruget, F., Nicoullaud, B., Gate, P., Devienne-Barret, F., Antonioletti, R., Durr, C., Richard, G., Beaudoin, N., Recous, S., Tayot, X., Plenet, D., Cellier, P., Machet, J.-M., Meynard, J. M., &amp; Delécolle, R. (1998). STICS: A generic model for the simulation of crops and their water and nitrogen balances. I. Theory and parameterization applied to wheat and corn. </w:t>
      </w:r>
      <w:r w:rsidRPr="00A650E8">
        <w:rPr>
          <w:i/>
          <w:iCs/>
          <w:lang w:val="en-US"/>
        </w:rPr>
        <w:t>Agronomie</w:t>
      </w:r>
      <w:r w:rsidRPr="00A650E8">
        <w:rPr>
          <w:lang w:val="en-US"/>
        </w:rPr>
        <w:t xml:space="preserve">, </w:t>
      </w:r>
      <w:r w:rsidRPr="00A650E8">
        <w:rPr>
          <w:i/>
          <w:iCs/>
          <w:lang w:val="en-US"/>
        </w:rPr>
        <w:t>18</w:t>
      </w:r>
      <w:r w:rsidRPr="00A650E8">
        <w:rPr>
          <w:lang w:val="en-US"/>
        </w:rPr>
        <w:t>(5-6), 311-346. https://doi.org/10.1051/agro:19980501</w:t>
      </w:r>
    </w:p>
    <w:p w14:paraId="669CE2FC" w14:textId="77777777" w:rsidR="00A650E8" w:rsidRDefault="00A650E8" w:rsidP="00A650E8">
      <w:pPr>
        <w:pStyle w:val="Bibliografa"/>
      </w:pPr>
      <w:r>
        <w:t xml:space="preserve">Cabrales H, E. M., Toro, M., &amp; López Hernández, D. (2017). </w:t>
      </w:r>
      <w:r>
        <w:rPr>
          <w:i/>
          <w:iCs/>
        </w:rPr>
        <w:t>Efecto de micorrizas nativas y fósforo en los rendimientos del maíz en Guárico, Venezuela</w:t>
      </w:r>
      <w:r>
        <w:t>. https://repositorio.unicordoba.edu.co/handle/ucordoba/312</w:t>
      </w:r>
    </w:p>
    <w:p w14:paraId="2BBCCC5E" w14:textId="77777777" w:rsidR="00A650E8" w:rsidRDefault="00A650E8" w:rsidP="00A650E8">
      <w:pPr>
        <w:pStyle w:val="Bibliografa"/>
      </w:pPr>
      <w:r>
        <w:lastRenderedPageBreak/>
        <w:t xml:space="preserve">CEPAL, N. (2022). </w:t>
      </w:r>
      <w:r>
        <w:rPr>
          <w:i/>
          <w:iCs/>
        </w:rPr>
        <w:t>Informe de la Cuarta Reunión de la Conferencia Regional sobre Desarrollo Social de América Latina y el Caribe</w:t>
      </w:r>
      <w:r>
        <w:t>. https://repositorio.cepal.org/server/api/core/bitstreams/4db5c492-307c-471f-8165-97b0785c625e/content</w:t>
      </w:r>
    </w:p>
    <w:p w14:paraId="04F8FE6E" w14:textId="77777777" w:rsidR="00A650E8" w:rsidRPr="00A650E8" w:rsidRDefault="00A650E8" w:rsidP="00A650E8">
      <w:pPr>
        <w:pStyle w:val="Bibliografa"/>
        <w:rPr>
          <w:lang w:val="en-US"/>
        </w:rPr>
      </w:pPr>
      <w:r w:rsidRPr="00A650E8">
        <w:rPr>
          <w:lang w:val="en-US"/>
        </w:rPr>
        <w:t xml:space="preserve">CONACYT. (2019). </w:t>
      </w:r>
      <w:r w:rsidRPr="00A650E8">
        <w:rPr>
          <w:i/>
          <w:iCs/>
          <w:lang w:val="en-US"/>
        </w:rPr>
        <w:t>Maíz</w:t>
      </w:r>
      <w:r w:rsidRPr="00A650E8">
        <w:rPr>
          <w:lang w:val="en-US"/>
        </w:rPr>
        <w:t>. https://conacyt.mx/cibiogem/index.php/maiz</w:t>
      </w:r>
    </w:p>
    <w:p w14:paraId="5F4571FD" w14:textId="77777777" w:rsidR="00A650E8" w:rsidRPr="00A650E8" w:rsidRDefault="00A650E8" w:rsidP="00A650E8">
      <w:pPr>
        <w:pStyle w:val="Bibliografa"/>
        <w:rPr>
          <w:lang w:val="en-US"/>
        </w:rPr>
      </w:pPr>
      <w:r w:rsidRPr="00A650E8">
        <w:rPr>
          <w:lang w:val="en-US"/>
        </w:rPr>
        <w:t xml:space="preserve">Corbeels, M., Chirat, G., Messad, S., &amp; Thierfelder, C. (2016). Performance and sensitivity of the DSSAT crop growth model in simulating maize yield under conservation agriculture. </w:t>
      </w:r>
      <w:r w:rsidRPr="00A650E8">
        <w:rPr>
          <w:i/>
          <w:iCs/>
          <w:lang w:val="en-US"/>
        </w:rPr>
        <w:t>European Journal of Agronomy</w:t>
      </w:r>
      <w:r w:rsidRPr="00A650E8">
        <w:rPr>
          <w:lang w:val="en-US"/>
        </w:rPr>
        <w:t xml:space="preserve">, </w:t>
      </w:r>
      <w:r w:rsidRPr="00A650E8">
        <w:rPr>
          <w:i/>
          <w:iCs/>
          <w:lang w:val="en-US"/>
        </w:rPr>
        <w:t>76</w:t>
      </w:r>
      <w:r w:rsidRPr="00A650E8">
        <w:rPr>
          <w:lang w:val="en-US"/>
        </w:rPr>
        <w:t>, 41-53. https://doi.org/10.1016/j.eja.2016.02.001</w:t>
      </w:r>
    </w:p>
    <w:p w14:paraId="0632E150" w14:textId="77777777" w:rsidR="00A650E8" w:rsidRPr="00A650E8" w:rsidRDefault="00A650E8" w:rsidP="00A650E8">
      <w:pPr>
        <w:pStyle w:val="Bibliografa"/>
        <w:rPr>
          <w:lang w:val="en-US"/>
        </w:rPr>
      </w:pPr>
      <w:r w:rsidRPr="00A650E8">
        <w:rPr>
          <w:lang w:val="en-US"/>
        </w:rPr>
        <w:t xml:space="preserve">De Wit, C. T. (1986). Modelling Agricultural Production. </w:t>
      </w:r>
      <w:r w:rsidRPr="00A650E8">
        <w:rPr>
          <w:i/>
          <w:iCs/>
          <w:lang w:val="en-US"/>
        </w:rPr>
        <w:t>Acta Horticulturae</w:t>
      </w:r>
      <w:r w:rsidRPr="00A650E8">
        <w:rPr>
          <w:lang w:val="en-US"/>
        </w:rPr>
        <w:t xml:space="preserve">, </w:t>
      </w:r>
      <w:r w:rsidRPr="00A650E8">
        <w:rPr>
          <w:i/>
          <w:iCs/>
          <w:lang w:val="en-US"/>
        </w:rPr>
        <w:t>184</w:t>
      </w:r>
      <w:r w:rsidRPr="00A650E8">
        <w:rPr>
          <w:lang w:val="en-US"/>
        </w:rPr>
        <w:t>, 59-70.</w:t>
      </w:r>
    </w:p>
    <w:p w14:paraId="68FA6AD7" w14:textId="77777777" w:rsidR="00A650E8" w:rsidRPr="00A650E8" w:rsidRDefault="00A650E8" w:rsidP="00A650E8">
      <w:pPr>
        <w:pStyle w:val="Bibliografa"/>
        <w:rPr>
          <w:lang w:val="en-US"/>
        </w:rPr>
      </w:pPr>
      <w:r w:rsidRPr="00A650E8">
        <w:rPr>
          <w:lang w:val="en-US"/>
        </w:rPr>
        <w:t xml:space="preserve">Dong, C., Hu, D., Fu, Y., Wang, M., &amp; Liu, H. (2014). Analysis and optimization of the effect of light and nutrient solution on wheat growth and development using an inverse system model strategy. </w:t>
      </w:r>
      <w:r w:rsidRPr="00A650E8">
        <w:rPr>
          <w:i/>
          <w:iCs/>
          <w:lang w:val="en-US"/>
        </w:rPr>
        <w:t>Computers and Electronics in Agriculture</w:t>
      </w:r>
      <w:r w:rsidRPr="00A650E8">
        <w:rPr>
          <w:lang w:val="en-US"/>
        </w:rPr>
        <w:t xml:space="preserve">, </w:t>
      </w:r>
      <w:r w:rsidRPr="00A650E8">
        <w:rPr>
          <w:i/>
          <w:iCs/>
          <w:lang w:val="en-US"/>
        </w:rPr>
        <w:t>109</w:t>
      </w:r>
      <w:r w:rsidRPr="00A650E8">
        <w:rPr>
          <w:lang w:val="en-US"/>
        </w:rPr>
        <w:t>, 221-231. https://doi.org/10.1016/j.compag.2014.10.013</w:t>
      </w:r>
    </w:p>
    <w:p w14:paraId="69E19D75" w14:textId="77777777" w:rsidR="00A650E8" w:rsidRDefault="00A650E8" w:rsidP="00A650E8">
      <w:pPr>
        <w:pStyle w:val="Bibliografa"/>
      </w:pPr>
      <w:r>
        <w:t xml:space="preserve">Duran-Peralta, E., Acuayte-Valdes, E., Acuayte-Valdes, M. del C., Hernández-López, J. C., López-Cruz, I. L., Duran-Peralta, E., Acuayte-Valdes, E., Acuayte-Valdes, M. del C., Hernández-López, J. C., &amp; López-Cruz, I. L. (2022). La modelación y simulación matemáticas: Una herramienta para la protección de cultivos. </w:t>
      </w:r>
      <w:r>
        <w:rPr>
          <w:i/>
          <w:iCs/>
        </w:rPr>
        <w:t>Revista mexicana de ciencias agrícolas</w:t>
      </w:r>
      <w:r>
        <w:t xml:space="preserve">, </w:t>
      </w:r>
      <w:r>
        <w:rPr>
          <w:i/>
          <w:iCs/>
        </w:rPr>
        <w:t>13</w:t>
      </w:r>
      <w:r>
        <w:t>(6), 1129-1140. https://doi.org/10.29312/remexca.v13i6.2922</w:t>
      </w:r>
    </w:p>
    <w:p w14:paraId="0F628C2A" w14:textId="77777777" w:rsidR="00A650E8" w:rsidRPr="00A650E8" w:rsidRDefault="00A650E8" w:rsidP="00A650E8">
      <w:pPr>
        <w:pStyle w:val="Bibliografa"/>
        <w:rPr>
          <w:lang w:val="en-US"/>
        </w:rPr>
      </w:pPr>
      <w:r w:rsidRPr="00A650E8">
        <w:rPr>
          <w:lang w:val="en-US"/>
        </w:rPr>
        <w:t xml:space="preserve">Fageria, N. (2007). Yield physiology of rice. </w:t>
      </w:r>
      <w:r w:rsidRPr="00A650E8">
        <w:rPr>
          <w:i/>
          <w:iCs/>
          <w:lang w:val="en-US"/>
        </w:rPr>
        <w:t>Journal of Plant Nutrition</w:t>
      </w:r>
      <w:r w:rsidRPr="00A650E8">
        <w:rPr>
          <w:lang w:val="en-US"/>
        </w:rPr>
        <w:t xml:space="preserve">, </w:t>
      </w:r>
      <w:r w:rsidRPr="00A650E8">
        <w:rPr>
          <w:i/>
          <w:iCs/>
          <w:lang w:val="en-US"/>
        </w:rPr>
        <w:t>30</w:t>
      </w:r>
      <w:r w:rsidRPr="00A650E8">
        <w:rPr>
          <w:lang w:val="en-US"/>
        </w:rPr>
        <w:t>, 843-879. https://doi.org/10.1080/15226510701374831</w:t>
      </w:r>
    </w:p>
    <w:p w14:paraId="52A7E7FF" w14:textId="77777777" w:rsidR="00A650E8" w:rsidRPr="00A650E8" w:rsidRDefault="00A650E8" w:rsidP="00A650E8">
      <w:pPr>
        <w:pStyle w:val="Bibliografa"/>
        <w:rPr>
          <w:lang w:val="en-US"/>
        </w:rPr>
      </w:pPr>
      <w:r w:rsidRPr="00A650E8">
        <w:rPr>
          <w:lang w:val="en-US"/>
        </w:rPr>
        <w:t xml:space="preserve">FAOSTAT. (2020). </w:t>
      </w:r>
      <w:r w:rsidRPr="00A650E8">
        <w:rPr>
          <w:i/>
          <w:iCs/>
          <w:lang w:val="en-US"/>
        </w:rPr>
        <w:t>Crops</w:t>
      </w:r>
      <w:r w:rsidRPr="00A650E8">
        <w:rPr>
          <w:lang w:val="en-US"/>
        </w:rPr>
        <w:t>. Food and Agriculture Organization of the United Nations. https://www.fao.org/faostat/</w:t>
      </w:r>
    </w:p>
    <w:p w14:paraId="0E7BF915" w14:textId="77777777" w:rsidR="00A650E8" w:rsidRDefault="00A650E8" w:rsidP="00A650E8">
      <w:pPr>
        <w:pStyle w:val="Bibliografa"/>
      </w:pPr>
      <w:r>
        <w:t xml:space="preserve">Gálvez, G. (2008). Modelación del crecimiento de las plantas. Modelación de cultivos agrícolas. </w:t>
      </w:r>
      <w:r>
        <w:rPr>
          <w:i/>
          <w:iCs/>
        </w:rPr>
        <w:t>Seminario de modelación de cultivos.(1: 2008 mar. 13-14)</w:t>
      </w:r>
      <w:r>
        <w:t>.</w:t>
      </w:r>
    </w:p>
    <w:p w14:paraId="450F4D21" w14:textId="77777777" w:rsidR="00A650E8" w:rsidRDefault="00A650E8" w:rsidP="00A650E8">
      <w:pPr>
        <w:pStyle w:val="Bibliografa"/>
      </w:pPr>
      <w:r>
        <w:lastRenderedPageBreak/>
        <w:t xml:space="preserve">Gálvez, G., Sigarroa, A., López, T., &amp; Fernández, J. (2010). MODELACIÓN DE CULTIVOS AGRÍCOLAS. ALGUNOS EJEMPLOS. </w:t>
      </w:r>
      <w:r>
        <w:rPr>
          <w:i/>
          <w:iCs/>
        </w:rPr>
        <w:t>Cultivos Tropicales</w:t>
      </w:r>
      <w:r>
        <w:t xml:space="preserve">, </w:t>
      </w:r>
      <w:r>
        <w:rPr>
          <w:i/>
          <w:iCs/>
        </w:rPr>
        <w:t>31</w:t>
      </w:r>
      <w:r>
        <w:t>(3), 60-65.</w:t>
      </w:r>
    </w:p>
    <w:p w14:paraId="770ED529" w14:textId="77777777" w:rsidR="00A650E8" w:rsidRDefault="00A650E8" w:rsidP="00A650E8">
      <w:pPr>
        <w:pStyle w:val="Bibliografa"/>
      </w:pPr>
      <w:r>
        <w:t xml:space="preserve">Giménez, L. (2012). Producción de maíz con estrés hídrico provocado en diferentes etapas de desarrollo. </w:t>
      </w:r>
      <w:r>
        <w:rPr>
          <w:i/>
          <w:iCs/>
        </w:rPr>
        <w:t>Agrociencia</w:t>
      </w:r>
      <w:r>
        <w:t xml:space="preserve">, </w:t>
      </w:r>
      <w:r>
        <w:rPr>
          <w:i/>
          <w:iCs/>
        </w:rPr>
        <w:t>16</w:t>
      </w:r>
      <w:r>
        <w:t>(2), 92-102. https://doi.org/10.31285/AGRO.17.544</w:t>
      </w:r>
    </w:p>
    <w:p w14:paraId="0F146E7F" w14:textId="77777777" w:rsidR="00A650E8" w:rsidRDefault="00A650E8" w:rsidP="00A650E8">
      <w:pPr>
        <w:pStyle w:val="Bibliografa"/>
      </w:pPr>
      <w:r>
        <w:t xml:space="preserve">Guevara, E. (2007). </w:t>
      </w:r>
      <w:r>
        <w:rPr>
          <w:i/>
          <w:iCs/>
        </w:rPr>
        <w:t>La simulación del desarrollo, crecimiento y rendimiento en maíz</w:t>
      </w:r>
      <w:r>
        <w:t>. 37.</w:t>
      </w:r>
    </w:p>
    <w:p w14:paraId="1DDFC77E" w14:textId="77777777" w:rsidR="00A650E8" w:rsidRDefault="00A650E8" w:rsidP="00A650E8">
      <w:pPr>
        <w:pStyle w:val="Bibliografa"/>
      </w:pPr>
      <w:r>
        <w:t xml:space="preserve">Hernández, N., Soto, F., &amp; Caballero, A. (2009). Modelos de simulación de cultivos: Características y usos. </w:t>
      </w:r>
      <w:r>
        <w:rPr>
          <w:i/>
          <w:iCs/>
        </w:rPr>
        <w:t>Cultivos Tropicales</w:t>
      </w:r>
      <w:r>
        <w:t xml:space="preserve">, </w:t>
      </w:r>
      <w:r>
        <w:rPr>
          <w:i/>
          <w:iCs/>
        </w:rPr>
        <w:t>30</w:t>
      </w:r>
      <w:r>
        <w:t>(1), 00-00.</w:t>
      </w:r>
    </w:p>
    <w:p w14:paraId="2CF4FFF2" w14:textId="77777777" w:rsidR="00A650E8" w:rsidRPr="00A650E8" w:rsidRDefault="00A650E8" w:rsidP="00A650E8">
      <w:pPr>
        <w:pStyle w:val="Bibliografa"/>
        <w:rPr>
          <w:lang w:val="en-US"/>
        </w:rPr>
      </w:pPr>
      <w:r>
        <w:t xml:space="preserve">Hernández, N., Soto, F., Florido, R., Plana, R., Caballero, A., Maqueira, L. A., Cid, G., López, T., Chaterlan, Y., García, A., Solano, O., Vázquez, R., Otero, L., &amp; Vantour, A. (2016). Utilización de un modelo de simulación para la predicción del comportamiento de algunos cereales en las condiciones de Cuba. </w:t>
      </w:r>
      <w:r w:rsidRPr="00A650E8">
        <w:rPr>
          <w:i/>
          <w:iCs/>
          <w:lang w:val="en-US"/>
        </w:rPr>
        <w:t>Cultivos Tropicales</w:t>
      </w:r>
      <w:r w:rsidRPr="00A650E8">
        <w:rPr>
          <w:lang w:val="en-US"/>
        </w:rPr>
        <w:t xml:space="preserve">, </w:t>
      </w:r>
      <w:r w:rsidRPr="00A650E8">
        <w:rPr>
          <w:i/>
          <w:iCs/>
          <w:lang w:val="en-US"/>
        </w:rPr>
        <w:t>37</w:t>
      </w:r>
      <w:r w:rsidRPr="00A650E8">
        <w:rPr>
          <w:lang w:val="en-US"/>
        </w:rPr>
        <w:t>(1), 7.</w:t>
      </w:r>
    </w:p>
    <w:p w14:paraId="4E0BB237" w14:textId="77777777" w:rsidR="00A650E8" w:rsidRPr="00A650E8" w:rsidRDefault="00A650E8" w:rsidP="00A650E8">
      <w:pPr>
        <w:pStyle w:val="Bibliografa"/>
        <w:rPr>
          <w:lang w:val="en-US"/>
        </w:rPr>
      </w:pPr>
      <w:r w:rsidRPr="00A650E8">
        <w:rPr>
          <w:lang w:val="en-US"/>
        </w:rPr>
        <w:t xml:space="preserve">Hodges, T., &amp; Ritchie, J. T. (1991). The CERES-Wheat phenology model. </w:t>
      </w:r>
      <w:r w:rsidRPr="00A650E8">
        <w:rPr>
          <w:i/>
          <w:iCs/>
          <w:lang w:val="en-US"/>
        </w:rPr>
        <w:t>Predicting crop phenology</w:t>
      </w:r>
      <w:r w:rsidRPr="00A650E8">
        <w:rPr>
          <w:lang w:val="en-US"/>
        </w:rPr>
        <w:t>, 133-141.</w:t>
      </w:r>
    </w:p>
    <w:p w14:paraId="31C0D6E0" w14:textId="77777777" w:rsidR="00A650E8" w:rsidRDefault="00A650E8" w:rsidP="00A650E8">
      <w:pPr>
        <w:pStyle w:val="Bibliografa"/>
      </w:pPr>
      <w:r w:rsidRPr="00A650E8">
        <w:rPr>
          <w:lang w:val="en-US"/>
        </w:rPr>
        <w:t xml:space="preserve">Hunt, L. A., Jones, J. W., Ritchie, J. T., &amp; Teng, P. S. (1989). Genetic coefficients for the IBSNAT crop models. </w:t>
      </w:r>
      <w:r w:rsidRPr="00A650E8">
        <w:rPr>
          <w:i/>
          <w:iCs/>
          <w:lang w:val="en-US"/>
        </w:rPr>
        <w:t xml:space="preserve">Proceedings of IBSNAT Symposium, 81st Ann. </w:t>
      </w:r>
      <w:r>
        <w:rPr>
          <w:i/>
          <w:iCs/>
        </w:rPr>
        <w:t>Meeting of Amer. Soc. Agronomy, Las Vegas</w:t>
      </w:r>
      <w:r>
        <w:t>, 15-30.</w:t>
      </w:r>
    </w:p>
    <w:p w14:paraId="4E00229F" w14:textId="77777777" w:rsidR="00A650E8" w:rsidRDefault="00A650E8" w:rsidP="00A650E8">
      <w:pPr>
        <w:pStyle w:val="Bibliografa"/>
      </w:pPr>
      <w:r>
        <w:t xml:space="preserve">I. L. López-Cruz, A Ramírez-Arias, &amp; Rojano-Aguilar, A. (2005, diciembre). Modelos matemáticos de hortalizas en invernadero: Trascendiendo la contemplación de la dinámica de cultivos. </w:t>
      </w:r>
      <w:r>
        <w:rPr>
          <w:i/>
          <w:iCs/>
        </w:rPr>
        <w:t>REVISTA CHAPINGO SERIE HORTICULTURA,</w:t>
      </w:r>
      <w:r>
        <w:t xml:space="preserve"> </w:t>
      </w:r>
      <w:r>
        <w:rPr>
          <w:i/>
          <w:iCs/>
        </w:rPr>
        <w:t>11</w:t>
      </w:r>
      <w:r>
        <w:t>(2), 257-267.</w:t>
      </w:r>
    </w:p>
    <w:p w14:paraId="763D0008" w14:textId="77777777" w:rsidR="00A650E8" w:rsidRDefault="00A650E8" w:rsidP="00A650E8">
      <w:pPr>
        <w:pStyle w:val="Bibliografa"/>
      </w:pPr>
      <w:r>
        <w:t xml:space="preserve">IIG. (2020). </w:t>
      </w:r>
      <w:r>
        <w:rPr>
          <w:i/>
          <w:iCs/>
        </w:rPr>
        <w:t>Guía técnica para la producción de maíz</w:t>
      </w:r>
      <w:r>
        <w:t>.</w:t>
      </w:r>
    </w:p>
    <w:p w14:paraId="1D371DAE" w14:textId="77777777" w:rsidR="00A650E8" w:rsidRDefault="00A650E8" w:rsidP="00A650E8">
      <w:pPr>
        <w:pStyle w:val="Bibliografa"/>
      </w:pPr>
      <w:r>
        <w:t xml:space="preserve">Irizar Garza, M. B. G., González Molina, L., Larqué Saavedra, B. S., Martínez Trejo, G., Díaz Valasis, M., &amp; Muñiz Reyes, É. (2016). </w:t>
      </w:r>
      <w:r>
        <w:rPr>
          <w:i/>
          <w:iCs/>
        </w:rPr>
        <w:t>Uso de micorriza y abonos orgánicos en el cultivo de maíz</w:t>
      </w:r>
      <w:r>
        <w:t>.</w:t>
      </w:r>
    </w:p>
    <w:p w14:paraId="667A6FE7" w14:textId="77777777" w:rsidR="00A650E8" w:rsidRPr="00A650E8" w:rsidRDefault="00A650E8" w:rsidP="00A650E8">
      <w:pPr>
        <w:pStyle w:val="Bibliografa"/>
        <w:rPr>
          <w:lang w:val="en-US"/>
        </w:rPr>
      </w:pPr>
      <w:r w:rsidRPr="00A650E8">
        <w:rPr>
          <w:lang w:val="en-US"/>
        </w:rPr>
        <w:lastRenderedPageBreak/>
        <w:t xml:space="preserve">Jones, C. A., Dyke, P. T., Williams, J. R., Kiniry, J. R., Benson, V. W., &amp; Griggs, R. H. (1991). EPIC: An operational model for evaluation of agricultural sustainability. </w:t>
      </w:r>
      <w:r w:rsidRPr="00A650E8">
        <w:rPr>
          <w:i/>
          <w:iCs/>
          <w:lang w:val="en-US"/>
        </w:rPr>
        <w:t>Agricultural Systems</w:t>
      </w:r>
      <w:r w:rsidRPr="00A650E8">
        <w:rPr>
          <w:lang w:val="en-US"/>
        </w:rPr>
        <w:t xml:space="preserve">, </w:t>
      </w:r>
      <w:r w:rsidRPr="00A650E8">
        <w:rPr>
          <w:i/>
          <w:iCs/>
          <w:lang w:val="en-US"/>
        </w:rPr>
        <w:t>37</w:t>
      </w:r>
      <w:r w:rsidRPr="00A650E8">
        <w:rPr>
          <w:lang w:val="en-US"/>
        </w:rPr>
        <w:t>(4), 341-350. https://doi.org/10.1016/0308-521X(91)90057-H</w:t>
      </w:r>
    </w:p>
    <w:p w14:paraId="0223ED01" w14:textId="77777777" w:rsidR="00A650E8" w:rsidRPr="00A650E8" w:rsidRDefault="00A650E8" w:rsidP="00A650E8">
      <w:pPr>
        <w:pStyle w:val="Bibliografa"/>
        <w:rPr>
          <w:lang w:val="en-US"/>
        </w:rPr>
      </w:pPr>
      <w:r w:rsidRPr="00A650E8">
        <w:rPr>
          <w:lang w:val="en-US"/>
        </w:rPr>
        <w:t xml:space="preserve">Jones, J., Hoogenboom, G., Porter, C., Boote, K., Batchelor, W., Hunt, L., Wilkens, P., Singh, U., Gijsman, A., &amp; Ritchie, J. (2003a).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3747EB0C" w14:textId="77777777" w:rsidR="00A650E8" w:rsidRPr="00A650E8" w:rsidRDefault="00A650E8" w:rsidP="00A650E8">
      <w:pPr>
        <w:pStyle w:val="Bibliografa"/>
        <w:rPr>
          <w:lang w:val="en-US"/>
        </w:rPr>
      </w:pPr>
      <w:r w:rsidRPr="00A650E8">
        <w:rPr>
          <w:lang w:val="en-US"/>
        </w:rPr>
        <w:t xml:space="preserve">Jones, J., Hoogenboom, G., Porter, C., Boote, K., Batchelor, W., Hunt, L., Wilkens, P., Singh, U., Gijsman, A., &amp; Ritchie, J. (2003b). The DSSAT cropping model. </w:t>
      </w:r>
      <w:r w:rsidRPr="00A650E8">
        <w:rPr>
          <w:i/>
          <w:iCs/>
          <w:lang w:val="en-US"/>
        </w:rPr>
        <w:t>European Journal of Agronomy</w:t>
      </w:r>
      <w:r w:rsidRPr="00A650E8">
        <w:rPr>
          <w:lang w:val="en-US"/>
        </w:rPr>
        <w:t xml:space="preserve">, </w:t>
      </w:r>
      <w:r w:rsidRPr="00A650E8">
        <w:rPr>
          <w:i/>
          <w:iCs/>
          <w:lang w:val="en-US"/>
        </w:rPr>
        <w:t>18</w:t>
      </w:r>
      <w:r w:rsidRPr="00A650E8">
        <w:rPr>
          <w:lang w:val="en-US"/>
        </w:rPr>
        <w:t>, 235-265.</w:t>
      </w:r>
    </w:p>
    <w:p w14:paraId="5D11013A" w14:textId="77777777" w:rsidR="00A650E8" w:rsidRPr="00A650E8" w:rsidRDefault="00A650E8" w:rsidP="00A650E8">
      <w:pPr>
        <w:pStyle w:val="Bibliografa"/>
        <w:rPr>
          <w:lang w:val="en-US"/>
        </w:rPr>
      </w:pPr>
      <w:r w:rsidRPr="00A650E8">
        <w:rPr>
          <w:lang w:val="en-US"/>
        </w:rPr>
        <w:t xml:space="preserve">Keating, B. A., Carberry, P. S., Hammer, G. L., Probert, M. E., Robertson, M. J., Holzworth, D., Huth, N. I., Hargreaves, J. N. G., Meinke, H., Hochman, Z., McLean, G., Verburg, K., Snow, V., Dimes, J. P., Silburn, M., Wang, E., Brown, S., Bristow, K. L., Asseng, S., … Smith, C. J. (2003). An overview of APSIM, a model designed for farming systems simulation. </w:t>
      </w:r>
      <w:r w:rsidRPr="00A650E8">
        <w:rPr>
          <w:i/>
          <w:iCs/>
          <w:lang w:val="en-US"/>
        </w:rPr>
        <w:t>European Journal of Agronomy</w:t>
      </w:r>
      <w:r w:rsidRPr="00A650E8">
        <w:rPr>
          <w:lang w:val="en-US"/>
        </w:rPr>
        <w:t xml:space="preserve">, </w:t>
      </w:r>
      <w:r w:rsidRPr="00A650E8">
        <w:rPr>
          <w:i/>
          <w:iCs/>
          <w:lang w:val="en-US"/>
        </w:rPr>
        <w:t>18</w:t>
      </w:r>
      <w:r w:rsidRPr="00A650E8">
        <w:rPr>
          <w:lang w:val="en-US"/>
        </w:rPr>
        <w:t>(3-4), 267-288. https://doi.org/10.1016/S1161-0301(02)00108-9</w:t>
      </w:r>
    </w:p>
    <w:p w14:paraId="7069050E" w14:textId="77777777" w:rsidR="00A650E8" w:rsidRDefault="00A650E8" w:rsidP="00A650E8">
      <w:pPr>
        <w:pStyle w:val="Bibliografa"/>
      </w:pPr>
      <w:r w:rsidRPr="00A650E8">
        <w:rPr>
          <w:lang w:val="en-US"/>
        </w:rPr>
        <w:t xml:space="preserve">Link, E. J. (2005). </w:t>
      </w:r>
      <w:r w:rsidRPr="00A650E8">
        <w:rPr>
          <w:i/>
          <w:iCs/>
          <w:lang w:val="en-US"/>
        </w:rPr>
        <w:t>Investigation and modeling of the optimization potential of adapted nitrogen fertilization strategies in corn cropping system with regard to minimize nitrogen losses</w:t>
      </w:r>
      <w:r w:rsidRPr="00A650E8">
        <w:rPr>
          <w:lang w:val="en-US"/>
        </w:rPr>
        <w:t xml:space="preserve"> [Tesis Doctoral]. </w:t>
      </w:r>
      <w:r>
        <w:t>Institut fur  Pflanzenbau und Grunland. Universitat  Hohenheim.</w:t>
      </w:r>
    </w:p>
    <w:p w14:paraId="07F3D503" w14:textId="77777777" w:rsidR="00A650E8" w:rsidRDefault="00A650E8" w:rsidP="00A650E8">
      <w:pPr>
        <w:pStyle w:val="Bibliografa"/>
      </w:pPr>
      <w:r>
        <w:t xml:space="preserve">Martín Alonso, G. M., Rivera Espinosa, R., Arias Pérez, L., &amp; Pérez Díaz, A. (2012). Respuesta de la Canavalia ensiformis a la inoculación micorrízica con Glomus cubense (cepa INCAM-4), su efecto de permanencia en el cultivo del maíz. </w:t>
      </w:r>
      <w:r>
        <w:rPr>
          <w:i/>
          <w:iCs/>
        </w:rPr>
        <w:t>Cultivos Tropicales</w:t>
      </w:r>
      <w:r>
        <w:t xml:space="preserve">, </w:t>
      </w:r>
      <w:r>
        <w:rPr>
          <w:i/>
          <w:iCs/>
        </w:rPr>
        <w:t>33</w:t>
      </w:r>
      <w:r>
        <w:t>(2), 20-28.</w:t>
      </w:r>
    </w:p>
    <w:p w14:paraId="303F8F5C" w14:textId="77777777" w:rsidR="00A650E8" w:rsidRDefault="00A650E8" w:rsidP="00A650E8">
      <w:pPr>
        <w:pStyle w:val="Bibliografa"/>
      </w:pPr>
      <w:r>
        <w:t xml:space="preserve">Martín, G. M., &amp; Rivera, R. (2015). Influencia de la inoculación micorrízica en los abonos verdes. Efecto sobre el cultivo principal. Estudio de caso: El maíz. </w:t>
      </w:r>
      <w:r>
        <w:rPr>
          <w:i/>
          <w:iCs/>
        </w:rPr>
        <w:t>Cultivos tropicales</w:t>
      </w:r>
      <w:r>
        <w:t xml:space="preserve">, </w:t>
      </w:r>
      <w:r>
        <w:rPr>
          <w:i/>
          <w:iCs/>
        </w:rPr>
        <w:t>36</w:t>
      </w:r>
      <w:r>
        <w:t>, 34-50.</w:t>
      </w:r>
    </w:p>
    <w:p w14:paraId="116B89E7" w14:textId="77777777" w:rsidR="00A650E8" w:rsidRDefault="00A650E8" w:rsidP="00A650E8">
      <w:pPr>
        <w:pStyle w:val="Bibliografa"/>
      </w:pPr>
      <w:r>
        <w:lastRenderedPageBreak/>
        <w:t xml:space="preserve">Martín, M. M.-S., Olesen, J. E., &amp; Porter, J. R. (2014). </w:t>
      </w:r>
      <w:r w:rsidRPr="00A650E8">
        <w:rPr>
          <w:lang w:val="en-US"/>
        </w:rPr>
        <w:t xml:space="preserve">A genotype, environment and management (GxExM) analysis of adaptation in winter wheat to climate change in Denmark. </w:t>
      </w:r>
      <w:r>
        <w:rPr>
          <w:i/>
          <w:iCs/>
        </w:rPr>
        <w:t>Agricultural and Forest Meteorology</w:t>
      </w:r>
      <w:r>
        <w:t xml:space="preserve">, </w:t>
      </w:r>
      <w:r>
        <w:rPr>
          <w:i/>
          <w:iCs/>
        </w:rPr>
        <w:t>187</w:t>
      </w:r>
      <w:r>
        <w:t>, 1-13. https://doi.org/10.1016/j.agrformet.2013.11.009</w:t>
      </w:r>
    </w:p>
    <w:p w14:paraId="65960F59" w14:textId="77777777" w:rsidR="00A650E8" w:rsidRDefault="00A650E8" w:rsidP="00A650E8">
      <w:pPr>
        <w:pStyle w:val="Bibliografa"/>
      </w:pPr>
      <w:r>
        <w:t xml:space="preserve">Martínez, M., Ortiz, R., Ríos, H., &amp; Acosta, R. (2011). Evaluación de la variabilidad morfoagronómica de una colección cubana de maíz (Zea mays L.). </w:t>
      </w:r>
      <w:r>
        <w:rPr>
          <w:i/>
          <w:iCs/>
        </w:rPr>
        <w:t>Cultivos Tropicales</w:t>
      </w:r>
      <w:r>
        <w:t xml:space="preserve">, </w:t>
      </w:r>
      <w:r>
        <w:rPr>
          <w:i/>
          <w:iCs/>
        </w:rPr>
        <w:t>32</w:t>
      </w:r>
      <w:r>
        <w:t>(4), 35-43.</w:t>
      </w:r>
    </w:p>
    <w:p w14:paraId="48D7BE85" w14:textId="77777777" w:rsidR="00A650E8" w:rsidRDefault="00A650E8" w:rsidP="00A650E8">
      <w:pPr>
        <w:pStyle w:val="Bibliografa"/>
      </w:pPr>
      <w:r>
        <w:t xml:space="preserve">Meira, S., &amp; Guevara, E. (2000). Uso de modelos de simulación de cultivos como herramienta para la toma de decisiones en el cultivo de soja. </w:t>
      </w:r>
      <w:r>
        <w:rPr>
          <w:i/>
          <w:iCs/>
        </w:rPr>
        <w:t>Potash &amp; Phosphate Institute, http://www. ppi-ppic. org</w:t>
      </w:r>
      <w:r>
        <w:t>.</w:t>
      </w:r>
    </w:p>
    <w:p w14:paraId="17B4D174" w14:textId="77777777" w:rsidR="00A650E8" w:rsidRDefault="00A650E8" w:rsidP="00A650E8">
      <w:pPr>
        <w:pStyle w:val="Bibliografa"/>
      </w:pPr>
      <w:r>
        <w:t xml:space="preserve">MINAG. (2012). </w:t>
      </w:r>
      <w:r>
        <w:rPr>
          <w:i/>
          <w:iCs/>
        </w:rPr>
        <w:t>Guía Técnica para el cultivo del maíz</w:t>
      </w:r>
      <w:r>
        <w:t>. Ministerio de Agricultura.</w:t>
      </w:r>
    </w:p>
    <w:p w14:paraId="0ED42084" w14:textId="77777777" w:rsidR="00A650E8" w:rsidRDefault="00A650E8" w:rsidP="00A650E8">
      <w:pPr>
        <w:pStyle w:val="Bibliografa"/>
      </w:pPr>
      <w:r>
        <w:t xml:space="preserve">MINAG. (2015). </w:t>
      </w:r>
      <w:r>
        <w:rPr>
          <w:i/>
          <w:iCs/>
        </w:rPr>
        <w:t>Lista oficial de variedades comerciales. Registro de variedades comerciales</w:t>
      </w:r>
      <w:r>
        <w:t>. Ministerio de Agricultura.</w:t>
      </w:r>
    </w:p>
    <w:p w14:paraId="7AF02577" w14:textId="77777777" w:rsidR="00A650E8" w:rsidRPr="00F26CEC" w:rsidRDefault="00A650E8" w:rsidP="00A650E8">
      <w:pPr>
        <w:pStyle w:val="Bibliografa"/>
        <w:rPr>
          <w:lang w:val="en-US"/>
        </w:rPr>
      </w:pPr>
      <w:r w:rsidRPr="00A650E8">
        <w:rPr>
          <w:lang w:val="en-US"/>
        </w:rPr>
        <w:t xml:space="preserve">Mohanty, M., Probert, M. E., Reddy, K. S., Dalal, R. C., Mishra, A. K., Subba Rao, A., Singh, M., &amp; Menzies, N. W. (2012). Simulating soybean–wheat cropping system: APSIM model parameterization and validation. </w:t>
      </w:r>
      <w:r w:rsidRPr="00F26CEC">
        <w:rPr>
          <w:i/>
          <w:iCs/>
          <w:lang w:val="en-US"/>
        </w:rPr>
        <w:t>Agriculture, Ecosystems &amp; Environment</w:t>
      </w:r>
      <w:r w:rsidRPr="00F26CEC">
        <w:rPr>
          <w:lang w:val="en-US"/>
        </w:rPr>
        <w:t xml:space="preserve">, </w:t>
      </w:r>
      <w:r w:rsidRPr="00F26CEC">
        <w:rPr>
          <w:i/>
          <w:iCs/>
          <w:lang w:val="en-US"/>
        </w:rPr>
        <w:t>152</w:t>
      </w:r>
      <w:r w:rsidRPr="00F26CEC">
        <w:rPr>
          <w:lang w:val="en-US"/>
        </w:rPr>
        <w:t>, 68-78. https://doi.org/10.1016/j.agee.2012.02.013</w:t>
      </w:r>
    </w:p>
    <w:p w14:paraId="69DA4B4D" w14:textId="77777777" w:rsidR="00A650E8" w:rsidRPr="00F26CEC" w:rsidRDefault="00A650E8" w:rsidP="00A650E8">
      <w:pPr>
        <w:pStyle w:val="Bibliografa"/>
        <w:rPr>
          <w:lang w:val="en-US"/>
        </w:rPr>
      </w:pPr>
      <w:r w:rsidRPr="00F26CEC">
        <w:rPr>
          <w:lang w:val="en-US"/>
        </w:rPr>
        <w:t xml:space="preserve">Muchow, R., &amp; Davis, R. (1988). Effect of nitrogen supply on the comparative productivity of maize and sorghum in a semi-arid tropical environment II. Radiation interception and biomass accumulation. </w:t>
      </w:r>
      <w:r w:rsidRPr="00F26CEC">
        <w:rPr>
          <w:i/>
          <w:iCs/>
          <w:lang w:val="en-US"/>
        </w:rPr>
        <w:t>Field Crops Research</w:t>
      </w:r>
      <w:r w:rsidRPr="00F26CEC">
        <w:rPr>
          <w:lang w:val="en-US"/>
        </w:rPr>
        <w:t xml:space="preserve">, </w:t>
      </w:r>
      <w:r w:rsidRPr="00F26CEC">
        <w:rPr>
          <w:i/>
          <w:iCs/>
          <w:lang w:val="en-US"/>
        </w:rPr>
        <w:t>18</w:t>
      </w:r>
      <w:r w:rsidRPr="00F26CEC">
        <w:rPr>
          <w:lang w:val="en-US"/>
        </w:rPr>
        <w:t>(1), 17-30. https://doi.org/10.1016/0378-4290(88)90056-1</w:t>
      </w:r>
    </w:p>
    <w:p w14:paraId="7687B996" w14:textId="77777777" w:rsidR="00A650E8" w:rsidRPr="00F26CEC" w:rsidRDefault="00A650E8" w:rsidP="00A650E8">
      <w:pPr>
        <w:pStyle w:val="Bibliografa"/>
        <w:rPr>
          <w:lang w:val="en-US"/>
        </w:rPr>
      </w:pPr>
      <w:r w:rsidRPr="00F26CEC">
        <w:rPr>
          <w:lang w:val="en-US"/>
        </w:rPr>
        <w:t xml:space="preserve">Murthy, V. R. K. (2011). Crop growth modeling and its applications in agricultural meteorology. En </w:t>
      </w:r>
      <w:r w:rsidRPr="00F26CEC">
        <w:rPr>
          <w:i/>
          <w:iCs/>
          <w:lang w:val="en-US"/>
        </w:rPr>
        <w:t>Satellite Remote Sensing and GIS Applications in Agricultural Meteorology</w:t>
      </w:r>
      <w:r w:rsidRPr="00F26CEC">
        <w:rPr>
          <w:lang w:val="en-US"/>
        </w:rPr>
        <w:t xml:space="preserve"> (Vol. 1, pp. 235-261).</w:t>
      </w:r>
    </w:p>
    <w:p w14:paraId="4FE7AFEB" w14:textId="77777777" w:rsidR="00A650E8" w:rsidRDefault="00A650E8" w:rsidP="00A650E8">
      <w:pPr>
        <w:pStyle w:val="Bibliografa"/>
      </w:pPr>
      <w:r w:rsidRPr="00F26CEC">
        <w:rPr>
          <w:lang w:val="en-US"/>
        </w:rPr>
        <w:lastRenderedPageBreak/>
        <w:t xml:space="preserve">Nleya, T. (2019). Corn Growth and Development. En </w:t>
      </w:r>
      <w:r w:rsidRPr="00F26CEC">
        <w:rPr>
          <w:i/>
          <w:iCs/>
          <w:lang w:val="en-US"/>
        </w:rPr>
        <w:t>Corn best management practices</w:t>
      </w:r>
      <w:r w:rsidRPr="00F26CEC">
        <w:rPr>
          <w:lang w:val="en-US"/>
        </w:rPr>
        <w:t xml:space="preserve">. </w:t>
      </w:r>
      <w:r>
        <w:t>South Dakota State University.</w:t>
      </w:r>
    </w:p>
    <w:p w14:paraId="0654B11A" w14:textId="77777777" w:rsidR="00A650E8" w:rsidRDefault="00A650E8" w:rsidP="00A650E8">
      <w:pPr>
        <w:pStyle w:val="Bibliografa"/>
      </w:pPr>
      <w:r>
        <w:t xml:space="preserve">ONEI. (2022). </w:t>
      </w:r>
      <w:r>
        <w:rPr>
          <w:i/>
          <w:iCs/>
        </w:rPr>
        <w:t>Anuario estadístico de Cuba, 2020</w:t>
      </w:r>
      <w:r>
        <w:t>.</w:t>
      </w:r>
    </w:p>
    <w:p w14:paraId="7A1AE70B" w14:textId="77777777" w:rsidR="00A650E8" w:rsidRDefault="00A650E8" w:rsidP="00A650E8">
      <w:pPr>
        <w:pStyle w:val="Bibliografa"/>
      </w:pPr>
      <w:r>
        <w:t xml:space="preserve">PIONEER. (2015). </w:t>
      </w:r>
      <w:r>
        <w:rPr>
          <w:i/>
          <w:iCs/>
        </w:rPr>
        <w:t>Maíz. Crecimiento y desarrollo</w:t>
      </w:r>
      <w:r>
        <w:t>.</w:t>
      </w:r>
    </w:p>
    <w:p w14:paraId="751E7E77" w14:textId="77777777" w:rsidR="00A650E8" w:rsidRDefault="00A650E8" w:rsidP="00A650E8">
      <w:pPr>
        <w:pStyle w:val="Bibliografa"/>
      </w:pPr>
      <w:r>
        <w:t xml:space="preserve">Ritchie, J. T., Singh, U., Godwin, D., &amp; Hunt, L. (1989). </w:t>
      </w:r>
      <w:r w:rsidRPr="00F26CEC">
        <w:rPr>
          <w:lang w:val="en-US"/>
        </w:rPr>
        <w:t xml:space="preserve">A user’s guide to CERES-Maize V2. 10. </w:t>
      </w:r>
      <w:r>
        <w:rPr>
          <w:i/>
          <w:iCs/>
        </w:rPr>
        <w:t>International Fertilizer Development Center, Muscle Shoals, AL</w:t>
      </w:r>
      <w:r>
        <w:t>.</w:t>
      </w:r>
    </w:p>
    <w:p w14:paraId="2DE6839B" w14:textId="77777777" w:rsidR="00A650E8" w:rsidRPr="00F26CEC" w:rsidRDefault="00A650E8" w:rsidP="00A650E8">
      <w:pPr>
        <w:pStyle w:val="Bibliografa"/>
        <w:rPr>
          <w:lang w:val="en-US"/>
        </w:rPr>
      </w:pPr>
      <w:r>
        <w:t xml:space="preserve">Rodríguez González, O., Florido Bacallao, R., Hernández Córdova, N., Soto Carreño, F., Jeréz Mompié, E. I., González Viera, D., Vázquez Montenegro, R. J., Rodríguez González, O., Florido Bacallao, R., Hernández Córdova, N., Soto Carreño, F., Jeréz Mompié, E. I., González Viera, D., &amp; Vázquez Montenegro, R. J. (2021). Simulación de estrategias de manejo a partir del modelo DSSAT para incrementar los rendimientos de un cultivar de maíz. </w:t>
      </w:r>
      <w:r w:rsidRPr="00F26CEC">
        <w:rPr>
          <w:i/>
          <w:iCs/>
          <w:lang w:val="en-US"/>
        </w:rPr>
        <w:t>Cuban Journal of Agricultural Science</w:t>
      </w:r>
      <w:r w:rsidRPr="00F26CEC">
        <w:rPr>
          <w:lang w:val="en-US"/>
        </w:rPr>
        <w:t xml:space="preserve">, </w:t>
      </w:r>
      <w:r w:rsidRPr="00F26CEC">
        <w:rPr>
          <w:i/>
          <w:iCs/>
          <w:lang w:val="en-US"/>
        </w:rPr>
        <w:t>55</w:t>
      </w:r>
      <w:r w:rsidRPr="00F26CEC">
        <w:rPr>
          <w:lang w:val="en-US"/>
        </w:rPr>
        <w:t>(2). http://scielo.sld.cu/scielo.php?script=sci_abstract&amp;pid=S2079-34802021000200008&amp;lng=es&amp;nrm=iso&amp;tlng=en</w:t>
      </w:r>
    </w:p>
    <w:p w14:paraId="7F53AC31" w14:textId="77777777" w:rsidR="00A650E8" w:rsidRDefault="00A650E8" w:rsidP="00A650E8">
      <w:pPr>
        <w:pStyle w:val="Bibliografa"/>
      </w:pPr>
      <w:r>
        <w:t xml:space="preserve">Ruiz-Rodríguez, M., Pulido-Velázquez, M., &amp; García-Prats, A. (s. f.). Desafíos del regadío español frente al cambio climático y consecuencias para el viñedo. </w:t>
      </w:r>
      <w:r>
        <w:rPr>
          <w:i/>
          <w:iCs/>
        </w:rPr>
        <w:t>El sector vitivinícola frente al desafío del cambio climático</w:t>
      </w:r>
      <w:r>
        <w:t>, 221.</w:t>
      </w:r>
    </w:p>
    <w:p w14:paraId="4801E0AA" w14:textId="77777777" w:rsidR="00A650E8" w:rsidRDefault="00A650E8" w:rsidP="00A650E8">
      <w:pPr>
        <w:pStyle w:val="Bibliografa"/>
      </w:pPr>
      <w:r>
        <w:t xml:space="preserve">Santiago, J. M., Ibarra, E. S., Cervantes, J. M., Pablo,  de J. M., González, J. S. N., &amp; Muñoz, A. I. R. (2022, noviembre 23). </w:t>
      </w:r>
      <w:r>
        <w:rPr>
          <w:i/>
          <w:iCs/>
        </w:rPr>
        <w:t>Ajuste de los requerimientos hídricos de dos genotipos de maíz, apoyado con drones</w:t>
      </w:r>
      <w:r>
        <w:t>. VII Congreso nacional de riego, drenaje y biosistemas, Teziutlán, Puebla.</w:t>
      </w:r>
    </w:p>
    <w:p w14:paraId="0B14C62F" w14:textId="77777777" w:rsidR="00A650E8" w:rsidRPr="00F26CEC" w:rsidRDefault="00A650E8" w:rsidP="00A650E8">
      <w:pPr>
        <w:pStyle w:val="Bibliografa"/>
        <w:rPr>
          <w:lang w:val="en-US"/>
        </w:rPr>
      </w:pPr>
      <w:r w:rsidRPr="00F26CEC">
        <w:rPr>
          <w:lang w:val="en-US"/>
        </w:rPr>
        <w:t xml:space="preserve">Singh, U., Godwin, D. C., &amp; Ritchie, J. T. (1988). Modeling growth and Development of rice under upland lowland conditions. </w:t>
      </w:r>
      <w:r w:rsidRPr="00F26CEC">
        <w:rPr>
          <w:i/>
          <w:iCs/>
          <w:lang w:val="en-US"/>
        </w:rPr>
        <w:t>Agronomy Abs</w:t>
      </w:r>
      <w:r w:rsidRPr="00F26CEC">
        <w:rPr>
          <w:lang w:val="en-US"/>
        </w:rPr>
        <w:t xml:space="preserve">, </w:t>
      </w:r>
      <w:r w:rsidRPr="00F26CEC">
        <w:rPr>
          <w:i/>
          <w:iCs/>
          <w:lang w:val="en-US"/>
        </w:rPr>
        <w:t>80</w:t>
      </w:r>
      <w:r w:rsidRPr="00F26CEC">
        <w:rPr>
          <w:lang w:val="en-US"/>
        </w:rPr>
        <w:t>, 27.</w:t>
      </w:r>
    </w:p>
    <w:p w14:paraId="3703A62F" w14:textId="77777777" w:rsidR="00A650E8" w:rsidRPr="00F26CEC" w:rsidRDefault="00A650E8" w:rsidP="00A650E8">
      <w:pPr>
        <w:pStyle w:val="Bibliografa"/>
        <w:rPr>
          <w:lang w:val="en-US"/>
        </w:rPr>
      </w:pPr>
      <w:r w:rsidRPr="00F26CEC">
        <w:rPr>
          <w:lang w:val="en-US"/>
        </w:rPr>
        <w:lastRenderedPageBreak/>
        <w:t xml:space="preserve">Singh, U., Ritchie, J. T., &amp; Godwin, D. C. (1993). </w:t>
      </w:r>
      <w:r w:rsidRPr="00F26CEC">
        <w:rPr>
          <w:i/>
          <w:iCs/>
          <w:lang w:val="en-US"/>
        </w:rPr>
        <w:t>A User’s Guide to CERES Rice, V2. 10</w:t>
      </w:r>
      <w:r w:rsidRPr="00F26CEC">
        <w:rPr>
          <w:lang w:val="en-US"/>
        </w:rPr>
        <w:t>. International Fertilizer Development Center Muscle Schoals.</w:t>
      </w:r>
    </w:p>
    <w:p w14:paraId="220B19E4" w14:textId="77777777" w:rsidR="00A650E8" w:rsidRDefault="00A650E8" w:rsidP="00A650E8">
      <w:pPr>
        <w:pStyle w:val="Bibliografa"/>
      </w:pPr>
      <w:r w:rsidRPr="00F26CEC">
        <w:rPr>
          <w:lang w:val="en-US"/>
        </w:rPr>
        <w:t xml:space="preserve">Stöckle, C. O., Donatelli, M., &amp; Nelson, R. (2003). CropSyst, a cropping systems simulation model. </w:t>
      </w:r>
      <w:r>
        <w:rPr>
          <w:i/>
          <w:iCs/>
        </w:rPr>
        <w:t>European Journal of Agronomy</w:t>
      </w:r>
      <w:r>
        <w:t xml:space="preserve">, </w:t>
      </w:r>
      <w:r>
        <w:rPr>
          <w:i/>
          <w:iCs/>
        </w:rPr>
        <w:t>18</w:t>
      </w:r>
      <w:r>
        <w:t>(3), 289-307. https://doi.org/10.1016/S1161-0301(02)00109-0</w:t>
      </w:r>
    </w:p>
    <w:p w14:paraId="1EECF7E0" w14:textId="77777777" w:rsidR="00A650E8" w:rsidRDefault="00A650E8" w:rsidP="00A650E8">
      <w:pPr>
        <w:pStyle w:val="Bibliografa"/>
      </w:pPr>
      <w:r>
        <w:t xml:space="preserve">Torres, V., Ortíz, J., Crespo, G., Rodríguez, I., &amp; Medero, R. (2002). SIMULACIÓN DEL BALANCE ANUAL EN SISTEMAS DE PASTOREO BOVINO. </w:t>
      </w:r>
      <w:r>
        <w:rPr>
          <w:i/>
          <w:iCs/>
        </w:rPr>
        <w:t>Revista Ingeniería Industrial</w:t>
      </w:r>
      <w:r>
        <w:t xml:space="preserve">, </w:t>
      </w:r>
      <w:r>
        <w:rPr>
          <w:i/>
          <w:iCs/>
        </w:rPr>
        <w:t>1</w:t>
      </w:r>
      <w:r>
        <w:t>(1), 27-32.</w:t>
      </w:r>
    </w:p>
    <w:p w14:paraId="03EE211F" w14:textId="77777777" w:rsidR="00A650E8" w:rsidRPr="00F26CEC" w:rsidRDefault="00A650E8" w:rsidP="00A650E8">
      <w:pPr>
        <w:pStyle w:val="Bibliografa"/>
        <w:rPr>
          <w:lang w:val="en-US"/>
        </w:rPr>
      </w:pPr>
      <w:r>
        <w:t xml:space="preserve">Trombetta, A., Iacobellis, V., Tarantino, E., &amp; Gentile, F. (2016). </w:t>
      </w:r>
      <w:r w:rsidRPr="00F26CEC">
        <w:rPr>
          <w:lang w:val="en-US"/>
        </w:rPr>
        <w:t xml:space="preserve">Calibration of the AquaCrop model for winter wheat using MODIS LAI images. </w:t>
      </w:r>
      <w:r w:rsidRPr="00F26CEC">
        <w:rPr>
          <w:i/>
          <w:iCs/>
          <w:lang w:val="en-US"/>
        </w:rPr>
        <w:t>Agricultural Water Management</w:t>
      </w:r>
      <w:r w:rsidRPr="00F26CEC">
        <w:rPr>
          <w:lang w:val="en-US"/>
        </w:rPr>
        <w:t xml:space="preserve">, </w:t>
      </w:r>
      <w:r w:rsidRPr="00F26CEC">
        <w:rPr>
          <w:i/>
          <w:iCs/>
          <w:lang w:val="en-US"/>
        </w:rPr>
        <w:t>164</w:t>
      </w:r>
      <w:r w:rsidRPr="00F26CEC">
        <w:rPr>
          <w:lang w:val="en-US"/>
        </w:rPr>
        <w:t>, 304-316. https://doi.org/10.1016/j.agwat.2015.10.013</w:t>
      </w:r>
    </w:p>
    <w:p w14:paraId="61796672" w14:textId="77777777" w:rsidR="00A650E8" w:rsidRDefault="00A650E8" w:rsidP="00A650E8">
      <w:pPr>
        <w:pStyle w:val="Bibliografa"/>
      </w:pPr>
      <w:r w:rsidRPr="00F26CEC">
        <w:rPr>
          <w:lang w:val="en-US"/>
        </w:rPr>
        <w:t xml:space="preserve">Tuero, L., Díaz, J., García, J., &amp; Gómez, S. (2018). </w:t>
      </w:r>
      <w:r>
        <w:t xml:space="preserve">Valoración de estrategias de riego para el cultivo de la soya usando el modelo DSSAT-CROPGRO. </w:t>
      </w:r>
      <w:r>
        <w:rPr>
          <w:i/>
          <w:iCs/>
        </w:rPr>
        <w:t>Revist a C iencias Técnicas Agropecuarias</w:t>
      </w:r>
      <w:r>
        <w:t xml:space="preserve">, </w:t>
      </w:r>
      <w:r>
        <w:rPr>
          <w:i/>
          <w:iCs/>
        </w:rPr>
        <w:t>27</w:t>
      </w:r>
      <w:r>
        <w:t>(3).</w:t>
      </w:r>
    </w:p>
    <w:p w14:paraId="095C087F" w14:textId="77777777" w:rsidR="00A650E8" w:rsidRDefault="00A650E8" w:rsidP="00A650E8">
      <w:pPr>
        <w:pStyle w:val="Bibliografa"/>
      </w:pPr>
      <w:r>
        <w:t xml:space="preserve">Vanderlip, R., &amp; Fjell, D. (2007). </w:t>
      </w:r>
      <w:r w:rsidRPr="00F26CEC">
        <w:rPr>
          <w:lang w:val="en-US"/>
        </w:rPr>
        <w:t xml:space="preserve">Corn growth and development. En </w:t>
      </w:r>
      <w:r w:rsidRPr="00F26CEC">
        <w:rPr>
          <w:i/>
          <w:iCs/>
          <w:lang w:val="en-US"/>
        </w:rPr>
        <w:t>Crop production handbook</w:t>
      </w:r>
      <w:r w:rsidRPr="00F26CEC">
        <w:rPr>
          <w:lang w:val="en-US"/>
        </w:rPr>
        <w:t xml:space="preserve">. </w:t>
      </w:r>
      <w:r>
        <w:t>Kansas State University.</w:t>
      </w:r>
    </w:p>
    <w:p w14:paraId="2ABEA4E3" w14:textId="77777777" w:rsidR="00A650E8" w:rsidRDefault="00A650E8" w:rsidP="00A650E8">
      <w:pPr>
        <w:pStyle w:val="Bibliografa"/>
      </w:pPr>
      <w:r>
        <w:t xml:space="preserve">Villegas, J. R., González, V. A., &amp; Salazar, J. A. C. (2004). MODELOS EMPÍRICOS DEL CRECIMIENTO Y RENDIMIENTO DE TOMATE PODADO A TRES RACIMOS. </w:t>
      </w:r>
      <w:r>
        <w:rPr>
          <w:i/>
          <w:iCs/>
        </w:rPr>
        <w:t>Revista Fitotecnia Mexicana</w:t>
      </w:r>
      <w:r>
        <w:t xml:space="preserve">, </w:t>
      </w:r>
      <w:r>
        <w:rPr>
          <w:i/>
          <w:iCs/>
        </w:rPr>
        <w:t>27</w:t>
      </w:r>
      <w:r>
        <w:t>(1), 63-67.</w:t>
      </w:r>
    </w:p>
    <w:p w14:paraId="460A4150" w14:textId="6E0E25A7" w:rsidR="001877EF" w:rsidRDefault="000C6959">
      <w:pPr>
        <w:rPr>
          <w:lang w:val="es-ES_tradnl"/>
        </w:rPr>
      </w:pPr>
      <w:r>
        <w:rPr>
          <w:lang w:val="es-ES_tradnl"/>
        </w:rPr>
        <w:fldChar w:fldCharType="end"/>
      </w:r>
    </w:p>
    <w:p w14:paraId="2FC77CAB" w14:textId="77777777" w:rsidR="001877EF" w:rsidRDefault="001877EF">
      <w:pPr>
        <w:rPr>
          <w:lang w:val="es-ES_tradnl"/>
        </w:rPr>
      </w:pPr>
      <w:r>
        <w:rPr>
          <w:lang w:val="es-ES_tradnl"/>
        </w:rPr>
        <w:br w:type="page"/>
      </w:r>
    </w:p>
    <w:p w14:paraId="7165EBA6" w14:textId="5E6AA3B4" w:rsidR="00481A01" w:rsidRPr="00497013" w:rsidRDefault="001877EF" w:rsidP="001877EF">
      <w:pPr>
        <w:pStyle w:val="Ttulo1"/>
        <w:rPr>
          <w:lang w:val="es-ES_tradnl"/>
        </w:rPr>
      </w:pPr>
      <w:r>
        <w:rPr>
          <w:lang w:val="es-ES_tradnl"/>
        </w:rPr>
        <w:lastRenderedPageBreak/>
        <w:t>Anexos</w:t>
      </w:r>
    </w:p>
    <w:sectPr w:rsidR="00481A01" w:rsidRPr="00497013">
      <w:pgSz w:w="12240" w:h="15840"/>
      <w:pgMar w:top="1417" w:right="1701" w:bottom="1417" w:left="1701"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1" w:author="Autoría desconocida" w:date="2025-04-02T10:05:00Z" w:initials="">
    <w:p w14:paraId="09155970"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De maíz</w:t>
      </w:r>
    </w:p>
    <w:p w14:paraId="1314D01E"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(Para evaluar esto vamos a decir que se montó el experimento que está en el artículo como si lo hubiese hecho él???)</w:t>
      </w:r>
    </w:p>
  </w:comment>
  <w:comment w:id="18" w:author="Autoría desconocida" w:date="2025-04-02T10:13:00Z" w:initials="">
    <w:p w14:paraId="2080CBBE" w14:textId="77777777" w:rsidR="007C3032" w:rsidRDefault="007C3032" w:rsidP="000630B1">
      <w:pPr>
        <w:overflowPunct w:val="0"/>
        <w:spacing w:after="0" w:line="240" w:lineRule="auto"/>
      </w:pPr>
      <w:r w:rsidRPr="001E5715">
        <w:rPr>
          <w:rFonts w:ascii="Liberation Serif" w:eastAsia="Segoe UI" w:hAnsi="Liberation Serif" w:cs="Tahoma"/>
          <w:sz w:val="24"/>
          <w:szCs w:val="24"/>
          <w:lang w:bidi="en-US"/>
        </w:rPr>
        <w:t>Aquí creo que se debería incluir los beneficios del EcoMic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314D01E" w15:done="0"/>
  <w15:commentEx w15:paraId="2080CB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TimesNewRoman">
    <w:altName w:val="Malgun Gothic"/>
    <w:panose1 w:val="00000000000000000000"/>
    <w:charset w:val="81"/>
    <w:family w:val="auto"/>
    <w:notTrueType/>
    <w:pitch w:val="default"/>
    <w:sig w:usb0="00000000" w:usb1="09060000" w:usb2="00000010" w:usb3="00000000" w:csb0="00080000" w:csb1="00000000"/>
  </w:font>
  <w:font w:name="Times New Roman PSMT">
    <w:altName w:val="Times New Roman"/>
    <w:panose1 w:val="00000000000000000000"/>
    <w:charset w:val="00"/>
    <w:family w:val="roman"/>
    <w:notTrueType/>
    <w:pitch w:val="default"/>
    <w:sig w:usb0="00000003" w:usb1="00000000" w:usb2="00000000" w:usb3="00000000" w:csb0="00000001" w:csb1="00000000"/>
  </w:font>
  <w:font w:name="TimesNewRoman,Bold">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66232D"/>
    <w:multiLevelType w:val="hybridMultilevel"/>
    <w:tmpl w:val="CB1EE39E"/>
    <w:lvl w:ilvl="0" w:tplc="CC7E9D9E">
      <w:start w:val="1"/>
      <w:numFmt w:val="decimal"/>
      <w:lvlText w:val="%1."/>
      <w:lvlJc w:val="left"/>
      <w:pPr>
        <w:ind w:left="720" w:hanging="360"/>
      </w:pPr>
      <w:rPr>
        <w:rFonts w:ascii="Arial" w:hAnsi="Arial" w:cs="Aria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7491FDE"/>
    <w:multiLevelType w:val="hybridMultilevel"/>
    <w:tmpl w:val="742416B0"/>
    <w:lvl w:ilvl="0" w:tplc="A8509404">
      <w:start w:val="1"/>
      <w:numFmt w:val="decimal"/>
      <w:lvlText w:val="%1."/>
      <w:lvlJc w:val="left"/>
      <w:pPr>
        <w:tabs>
          <w:tab w:val="num" w:pos="720"/>
        </w:tabs>
        <w:ind w:left="720" w:hanging="360"/>
      </w:pPr>
    </w:lvl>
    <w:lvl w:ilvl="1" w:tplc="C5E45A52" w:tentative="1">
      <w:start w:val="1"/>
      <w:numFmt w:val="decimal"/>
      <w:lvlText w:val="%2."/>
      <w:lvlJc w:val="left"/>
      <w:pPr>
        <w:tabs>
          <w:tab w:val="num" w:pos="1440"/>
        </w:tabs>
        <w:ind w:left="1440" w:hanging="360"/>
      </w:pPr>
    </w:lvl>
    <w:lvl w:ilvl="2" w:tplc="52A020BE" w:tentative="1">
      <w:start w:val="1"/>
      <w:numFmt w:val="decimal"/>
      <w:lvlText w:val="%3."/>
      <w:lvlJc w:val="left"/>
      <w:pPr>
        <w:tabs>
          <w:tab w:val="num" w:pos="2160"/>
        </w:tabs>
        <w:ind w:left="2160" w:hanging="360"/>
      </w:pPr>
    </w:lvl>
    <w:lvl w:ilvl="3" w:tplc="68226492" w:tentative="1">
      <w:start w:val="1"/>
      <w:numFmt w:val="decimal"/>
      <w:lvlText w:val="%4."/>
      <w:lvlJc w:val="left"/>
      <w:pPr>
        <w:tabs>
          <w:tab w:val="num" w:pos="2880"/>
        </w:tabs>
        <w:ind w:left="2880" w:hanging="360"/>
      </w:pPr>
    </w:lvl>
    <w:lvl w:ilvl="4" w:tplc="C6C62C0A" w:tentative="1">
      <w:start w:val="1"/>
      <w:numFmt w:val="decimal"/>
      <w:lvlText w:val="%5."/>
      <w:lvlJc w:val="left"/>
      <w:pPr>
        <w:tabs>
          <w:tab w:val="num" w:pos="3600"/>
        </w:tabs>
        <w:ind w:left="3600" w:hanging="360"/>
      </w:pPr>
    </w:lvl>
    <w:lvl w:ilvl="5" w:tplc="CC1E4B8C" w:tentative="1">
      <w:start w:val="1"/>
      <w:numFmt w:val="decimal"/>
      <w:lvlText w:val="%6."/>
      <w:lvlJc w:val="left"/>
      <w:pPr>
        <w:tabs>
          <w:tab w:val="num" w:pos="4320"/>
        </w:tabs>
        <w:ind w:left="4320" w:hanging="360"/>
      </w:pPr>
    </w:lvl>
    <w:lvl w:ilvl="6" w:tplc="B686D716" w:tentative="1">
      <w:start w:val="1"/>
      <w:numFmt w:val="decimal"/>
      <w:lvlText w:val="%7."/>
      <w:lvlJc w:val="left"/>
      <w:pPr>
        <w:tabs>
          <w:tab w:val="num" w:pos="5040"/>
        </w:tabs>
        <w:ind w:left="5040" w:hanging="360"/>
      </w:pPr>
    </w:lvl>
    <w:lvl w:ilvl="7" w:tplc="0BB2287E" w:tentative="1">
      <w:start w:val="1"/>
      <w:numFmt w:val="decimal"/>
      <w:lvlText w:val="%8."/>
      <w:lvlJc w:val="left"/>
      <w:pPr>
        <w:tabs>
          <w:tab w:val="num" w:pos="5760"/>
        </w:tabs>
        <w:ind w:left="5760" w:hanging="360"/>
      </w:pPr>
    </w:lvl>
    <w:lvl w:ilvl="8" w:tplc="BB36A162" w:tentative="1">
      <w:start w:val="1"/>
      <w:numFmt w:val="decimal"/>
      <w:lvlText w:val="%9."/>
      <w:lvlJc w:val="left"/>
      <w:pPr>
        <w:tabs>
          <w:tab w:val="num" w:pos="6480"/>
        </w:tabs>
        <w:ind w:left="6480" w:hanging="360"/>
      </w:pPr>
    </w:lvl>
  </w:abstractNum>
  <w:abstractNum w:abstractNumId="2" w15:restartNumberingAfterBreak="0">
    <w:nsid w:val="7D061D42"/>
    <w:multiLevelType w:val="multilevel"/>
    <w:tmpl w:val="3B3263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displayBackgroundShap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013"/>
    <w:rsid w:val="0000087A"/>
    <w:rsid w:val="000453DA"/>
    <w:rsid w:val="00046453"/>
    <w:rsid w:val="000630B1"/>
    <w:rsid w:val="00073DE4"/>
    <w:rsid w:val="000767F6"/>
    <w:rsid w:val="000A5207"/>
    <w:rsid w:val="000C6959"/>
    <w:rsid w:val="000F6792"/>
    <w:rsid w:val="000F6E65"/>
    <w:rsid w:val="00132B57"/>
    <w:rsid w:val="00137927"/>
    <w:rsid w:val="001877EF"/>
    <w:rsid w:val="001B075B"/>
    <w:rsid w:val="001B6351"/>
    <w:rsid w:val="00252DF7"/>
    <w:rsid w:val="00257E56"/>
    <w:rsid w:val="002920C4"/>
    <w:rsid w:val="002B0084"/>
    <w:rsid w:val="002B3CA8"/>
    <w:rsid w:val="00303142"/>
    <w:rsid w:val="00315322"/>
    <w:rsid w:val="003216E1"/>
    <w:rsid w:val="0035449F"/>
    <w:rsid w:val="00386826"/>
    <w:rsid w:val="003D2BE6"/>
    <w:rsid w:val="0041551E"/>
    <w:rsid w:val="00480D10"/>
    <w:rsid w:val="00481A01"/>
    <w:rsid w:val="00497013"/>
    <w:rsid w:val="004A25AD"/>
    <w:rsid w:val="004B3728"/>
    <w:rsid w:val="004D3BF2"/>
    <w:rsid w:val="004D47B0"/>
    <w:rsid w:val="004F160A"/>
    <w:rsid w:val="005249EC"/>
    <w:rsid w:val="00532166"/>
    <w:rsid w:val="0055400C"/>
    <w:rsid w:val="0056501D"/>
    <w:rsid w:val="005873E4"/>
    <w:rsid w:val="005D6EB7"/>
    <w:rsid w:val="005F4E32"/>
    <w:rsid w:val="006076D2"/>
    <w:rsid w:val="00633438"/>
    <w:rsid w:val="00656B51"/>
    <w:rsid w:val="00672A69"/>
    <w:rsid w:val="006A377C"/>
    <w:rsid w:val="006A4740"/>
    <w:rsid w:val="006B46FE"/>
    <w:rsid w:val="007370C6"/>
    <w:rsid w:val="007A1346"/>
    <w:rsid w:val="007A23D1"/>
    <w:rsid w:val="007C3032"/>
    <w:rsid w:val="007C533B"/>
    <w:rsid w:val="00827D5F"/>
    <w:rsid w:val="00852C68"/>
    <w:rsid w:val="008B4890"/>
    <w:rsid w:val="008B4F15"/>
    <w:rsid w:val="008E012D"/>
    <w:rsid w:val="008E1F11"/>
    <w:rsid w:val="008E3AD8"/>
    <w:rsid w:val="008E3C27"/>
    <w:rsid w:val="008E48CA"/>
    <w:rsid w:val="008F1D40"/>
    <w:rsid w:val="00910009"/>
    <w:rsid w:val="0091067A"/>
    <w:rsid w:val="00915B86"/>
    <w:rsid w:val="009234E1"/>
    <w:rsid w:val="0093634A"/>
    <w:rsid w:val="0094027D"/>
    <w:rsid w:val="00963BA4"/>
    <w:rsid w:val="00975304"/>
    <w:rsid w:val="00992695"/>
    <w:rsid w:val="009C09B4"/>
    <w:rsid w:val="00A1112D"/>
    <w:rsid w:val="00A16170"/>
    <w:rsid w:val="00A57E4C"/>
    <w:rsid w:val="00A6097C"/>
    <w:rsid w:val="00A650E8"/>
    <w:rsid w:val="00A77DDE"/>
    <w:rsid w:val="00A874FA"/>
    <w:rsid w:val="00AB5322"/>
    <w:rsid w:val="00AC0D07"/>
    <w:rsid w:val="00AE7722"/>
    <w:rsid w:val="00B23BF3"/>
    <w:rsid w:val="00B73FAE"/>
    <w:rsid w:val="00B944A2"/>
    <w:rsid w:val="00BC1925"/>
    <w:rsid w:val="00BD1E72"/>
    <w:rsid w:val="00BF07CB"/>
    <w:rsid w:val="00BF4609"/>
    <w:rsid w:val="00C15C45"/>
    <w:rsid w:val="00C56C04"/>
    <w:rsid w:val="00C94912"/>
    <w:rsid w:val="00CC3CFF"/>
    <w:rsid w:val="00CF1EE0"/>
    <w:rsid w:val="00CF47D4"/>
    <w:rsid w:val="00D06BE4"/>
    <w:rsid w:val="00D1093D"/>
    <w:rsid w:val="00D7244C"/>
    <w:rsid w:val="00D84FCB"/>
    <w:rsid w:val="00D869BC"/>
    <w:rsid w:val="00DA07D0"/>
    <w:rsid w:val="00DA17E7"/>
    <w:rsid w:val="00DC7253"/>
    <w:rsid w:val="00E01AB7"/>
    <w:rsid w:val="00E36226"/>
    <w:rsid w:val="00E67C88"/>
    <w:rsid w:val="00E73FD5"/>
    <w:rsid w:val="00EA2C92"/>
    <w:rsid w:val="00EA3EA3"/>
    <w:rsid w:val="00EE6312"/>
    <w:rsid w:val="00EF799D"/>
    <w:rsid w:val="00F1421C"/>
    <w:rsid w:val="00F26CEC"/>
    <w:rsid w:val="00F550C5"/>
    <w:rsid w:val="00F554F0"/>
    <w:rsid w:val="00F725CE"/>
    <w:rsid w:val="00FA1A3D"/>
    <w:rsid w:val="00FB5B41"/>
    <w:rsid w:val="00FD3866"/>
    <w:rsid w:val="00FE0F3F"/>
    <w:rsid w:val="00FE2817"/>
    <w:rsid w:val="00FF27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16008"/>
  <w15:chartTrackingRefBased/>
  <w15:docId w15:val="{0AF759E0-8907-485D-9F09-47F06DC43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97013"/>
    <w:rPr>
      <w:lang w:val="es-ES"/>
    </w:rPr>
  </w:style>
  <w:style w:type="paragraph" w:styleId="Ttulo1">
    <w:name w:val="heading 1"/>
    <w:basedOn w:val="Normal"/>
    <w:next w:val="Normal"/>
    <w:link w:val="Ttulo1Car"/>
    <w:uiPriority w:val="9"/>
    <w:qFormat/>
    <w:rsid w:val="002B0084"/>
    <w:pPr>
      <w:keepNext/>
      <w:keepLines/>
      <w:spacing w:before="480" w:after="0"/>
      <w:outlineLvl w:val="0"/>
    </w:pPr>
    <w:rPr>
      <w:rFonts w:ascii="Arial" w:eastAsiaTheme="majorEastAsia" w:hAnsi="Arial" w:cstheme="majorBidi"/>
      <w:b/>
      <w:bCs/>
      <w:sz w:val="28"/>
      <w:szCs w:val="28"/>
    </w:rPr>
  </w:style>
  <w:style w:type="paragraph" w:styleId="Ttulo2">
    <w:name w:val="heading 2"/>
    <w:basedOn w:val="Normal"/>
    <w:next w:val="Normal"/>
    <w:link w:val="Ttulo2Car"/>
    <w:uiPriority w:val="9"/>
    <w:unhideWhenUsed/>
    <w:qFormat/>
    <w:rsid w:val="001877EF"/>
    <w:pPr>
      <w:keepNext/>
      <w:keepLines/>
      <w:spacing w:before="160" w:after="120"/>
      <w:outlineLvl w:val="1"/>
    </w:pPr>
    <w:rPr>
      <w:rFonts w:ascii="Arial" w:eastAsiaTheme="majorEastAsia" w:hAnsi="Arial" w:cstheme="majorBidi"/>
      <w:b/>
      <w:sz w:val="24"/>
      <w:szCs w:val="26"/>
    </w:rPr>
  </w:style>
  <w:style w:type="paragraph" w:styleId="Ttulo3">
    <w:name w:val="heading 3"/>
    <w:basedOn w:val="Normal"/>
    <w:next w:val="Normal"/>
    <w:link w:val="Ttulo3Car"/>
    <w:uiPriority w:val="9"/>
    <w:unhideWhenUsed/>
    <w:qFormat/>
    <w:rsid w:val="001877EF"/>
    <w:pPr>
      <w:keepNext/>
      <w:keepLines/>
      <w:spacing w:before="160" w:after="120"/>
      <w:outlineLvl w:val="2"/>
    </w:pPr>
    <w:rPr>
      <w:rFonts w:ascii="Arial" w:eastAsiaTheme="majorEastAsia" w:hAnsi="Arial" w:cstheme="majorBidi"/>
      <w:sz w:val="24"/>
      <w:szCs w:val="24"/>
    </w:rPr>
  </w:style>
  <w:style w:type="paragraph" w:styleId="Ttulo4">
    <w:name w:val="heading 4"/>
    <w:basedOn w:val="Normal"/>
    <w:next w:val="Normal"/>
    <w:link w:val="Ttulo4Car"/>
    <w:uiPriority w:val="9"/>
    <w:semiHidden/>
    <w:unhideWhenUsed/>
    <w:qFormat/>
    <w:rsid w:val="00AC0D0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0084"/>
    <w:rPr>
      <w:rFonts w:ascii="Arial" w:eastAsiaTheme="majorEastAsia" w:hAnsi="Arial" w:cstheme="majorBidi"/>
      <w:b/>
      <w:bCs/>
      <w:sz w:val="28"/>
      <w:szCs w:val="28"/>
      <w:lang w:val="es-ES"/>
    </w:rPr>
  </w:style>
  <w:style w:type="paragraph" w:customStyle="1" w:styleId="Default">
    <w:name w:val="Default"/>
    <w:qFormat/>
    <w:rsid w:val="00497013"/>
    <w:pPr>
      <w:autoSpaceDE w:val="0"/>
      <w:autoSpaceDN w:val="0"/>
      <w:adjustRightInd w:val="0"/>
      <w:spacing w:after="0" w:line="240" w:lineRule="auto"/>
    </w:pPr>
    <w:rPr>
      <w:rFonts w:ascii="Arial" w:hAnsi="Arial" w:cs="Arial"/>
      <w:color w:val="000000"/>
      <w:sz w:val="24"/>
      <w:szCs w:val="24"/>
      <w:lang w:val="es-ES"/>
    </w:rPr>
  </w:style>
  <w:style w:type="table" w:styleId="Tablaconcuadrcula">
    <w:name w:val="Table Grid"/>
    <w:basedOn w:val="Tablanormal"/>
    <w:uiPriority w:val="39"/>
    <w:rsid w:val="00497013"/>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97013"/>
    <w:pPr>
      <w:ind w:left="720"/>
      <w:contextualSpacing/>
    </w:pPr>
  </w:style>
  <w:style w:type="character" w:customStyle="1" w:styleId="tlid-translation">
    <w:name w:val="tlid-translation"/>
    <w:basedOn w:val="Fuentedeprrafopredeter"/>
    <w:qFormat/>
    <w:rsid w:val="00497013"/>
  </w:style>
  <w:style w:type="character" w:customStyle="1" w:styleId="object">
    <w:name w:val="object"/>
    <w:basedOn w:val="Fuentedeprrafopredeter"/>
    <w:qFormat/>
    <w:rsid w:val="00497013"/>
  </w:style>
  <w:style w:type="paragraph" w:styleId="Textodeglobo">
    <w:name w:val="Balloon Text"/>
    <w:basedOn w:val="Normal"/>
    <w:link w:val="TextodegloboCar"/>
    <w:uiPriority w:val="99"/>
    <w:semiHidden/>
    <w:unhideWhenUsed/>
    <w:rsid w:val="004970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97013"/>
    <w:rPr>
      <w:rFonts w:ascii="Segoe UI" w:hAnsi="Segoe UI" w:cs="Segoe UI"/>
      <w:sz w:val="18"/>
      <w:szCs w:val="18"/>
      <w:lang w:val="es-ES"/>
    </w:rPr>
  </w:style>
  <w:style w:type="paragraph" w:styleId="Bibliografa">
    <w:name w:val="Bibliography"/>
    <w:basedOn w:val="Normal"/>
    <w:next w:val="Normal"/>
    <w:uiPriority w:val="37"/>
    <w:unhideWhenUsed/>
    <w:rsid w:val="004F160A"/>
    <w:pPr>
      <w:spacing w:after="0" w:line="480" w:lineRule="auto"/>
      <w:ind w:left="720" w:hanging="720"/>
    </w:pPr>
  </w:style>
  <w:style w:type="paragraph" w:styleId="NormalWeb">
    <w:name w:val="Normal (Web)"/>
    <w:basedOn w:val="Normal"/>
    <w:uiPriority w:val="99"/>
    <w:semiHidden/>
    <w:unhideWhenUsed/>
    <w:qFormat/>
    <w:rsid w:val="00E67C8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1877EF"/>
    <w:rPr>
      <w:rFonts w:ascii="Arial" w:eastAsiaTheme="majorEastAsia" w:hAnsi="Arial" w:cstheme="majorBidi"/>
      <w:b/>
      <w:sz w:val="24"/>
      <w:szCs w:val="26"/>
      <w:lang w:val="es-ES"/>
    </w:rPr>
  </w:style>
  <w:style w:type="character" w:customStyle="1" w:styleId="Ttulo3Car">
    <w:name w:val="Título 3 Car"/>
    <w:basedOn w:val="Fuentedeprrafopredeter"/>
    <w:link w:val="Ttulo3"/>
    <w:uiPriority w:val="9"/>
    <w:rsid w:val="001877EF"/>
    <w:rPr>
      <w:rFonts w:ascii="Arial" w:eastAsiaTheme="majorEastAsia" w:hAnsi="Arial" w:cstheme="majorBidi"/>
      <w:sz w:val="24"/>
      <w:szCs w:val="24"/>
      <w:lang w:val="es-ES"/>
    </w:rPr>
  </w:style>
  <w:style w:type="character" w:customStyle="1" w:styleId="Ttulo4Car">
    <w:name w:val="Título 4 Car"/>
    <w:basedOn w:val="Fuentedeprrafopredeter"/>
    <w:link w:val="Ttulo4"/>
    <w:uiPriority w:val="9"/>
    <w:semiHidden/>
    <w:rsid w:val="00AC0D07"/>
    <w:rPr>
      <w:rFonts w:asciiTheme="majorHAnsi" w:eastAsiaTheme="majorEastAsia" w:hAnsiTheme="majorHAnsi" w:cstheme="majorBidi"/>
      <w:i/>
      <w:iCs/>
      <w:color w:val="2E74B5" w:themeColor="accent1" w:themeShade="BF"/>
      <w:lang w:val="es-ES"/>
    </w:rPr>
  </w:style>
  <w:style w:type="character" w:customStyle="1" w:styleId="hwtze">
    <w:name w:val="hwtze"/>
    <w:basedOn w:val="Fuentedeprrafopredeter"/>
    <w:qFormat/>
    <w:rsid w:val="00AC0D07"/>
  </w:style>
  <w:style w:type="character" w:customStyle="1" w:styleId="rynqvb">
    <w:name w:val="rynqvb"/>
    <w:basedOn w:val="Fuentedeprrafopredeter"/>
    <w:qFormat/>
    <w:rsid w:val="00AC0D07"/>
  </w:style>
  <w:style w:type="character" w:styleId="Hipervnculo">
    <w:name w:val="Hyperlink"/>
    <w:basedOn w:val="Fuentedeprrafopredeter"/>
    <w:uiPriority w:val="99"/>
    <w:unhideWhenUsed/>
    <w:rsid w:val="00315322"/>
    <w:rPr>
      <w:color w:val="0563C1" w:themeColor="hyperlink"/>
      <w:u w:val="single"/>
    </w:rPr>
  </w:style>
  <w:style w:type="table" w:styleId="Tabladecuadrcula5oscura-nfasis4">
    <w:name w:val="Grid Table 5 Dark Accent 4"/>
    <w:basedOn w:val="Tablanormal"/>
    <w:uiPriority w:val="50"/>
    <w:rsid w:val="00386826"/>
    <w:pPr>
      <w:spacing w:after="0" w:line="240" w:lineRule="auto"/>
    </w:pPr>
    <w:rPr>
      <w:lang w:val="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Tabladecuadrcula4-nfasis4">
    <w:name w:val="Grid Table 4 Accent 4"/>
    <w:basedOn w:val="Tablanormal"/>
    <w:uiPriority w:val="49"/>
    <w:rsid w:val="00132B57"/>
    <w:pPr>
      <w:spacing w:after="0" w:line="240" w:lineRule="auto"/>
    </w:pPr>
    <w:rPr>
      <w:lang w:val="es-E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Contenidodelmarco">
    <w:name w:val="Contenido del marco"/>
    <w:basedOn w:val="Normal"/>
    <w:qFormat/>
    <w:rsid w:val="000630B1"/>
    <w:pPr>
      <w:suppressAutoHyphens/>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lang w:val="es-ES"/>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11087">
      <w:bodyDiv w:val="1"/>
      <w:marLeft w:val="0"/>
      <w:marRight w:val="0"/>
      <w:marTop w:val="0"/>
      <w:marBottom w:val="0"/>
      <w:divBdr>
        <w:top w:val="none" w:sz="0" w:space="0" w:color="auto"/>
        <w:left w:val="none" w:sz="0" w:space="0" w:color="auto"/>
        <w:bottom w:val="none" w:sz="0" w:space="0" w:color="auto"/>
        <w:right w:val="none" w:sz="0" w:space="0" w:color="auto"/>
      </w:divBdr>
    </w:div>
    <w:div w:id="468523291">
      <w:bodyDiv w:val="1"/>
      <w:marLeft w:val="0"/>
      <w:marRight w:val="0"/>
      <w:marTop w:val="0"/>
      <w:marBottom w:val="0"/>
      <w:divBdr>
        <w:top w:val="none" w:sz="0" w:space="0" w:color="auto"/>
        <w:left w:val="none" w:sz="0" w:space="0" w:color="auto"/>
        <w:bottom w:val="none" w:sz="0" w:space="0" w:color="auto"/>
        <w:right w:val="none" w:sz="0" w:space="0" w:color="auto"/>
      </w:divBdr>
    </w:div>
    <w:div w:id="876310899">
      <w:bodyDiv w:val="1"/>
      <w:marLeft w:val="0"/>
      <w:marRight w:val="0"/>
      <w:marTop w:val="0"/>
      <w:marBottom w:val="0"/>
      <w:divBdr>
        <w:top w:val="none" w:sz="0" w:space="0" w:color="auto"/>
        <w:left w:val="none" w:sz="0" w:space="0" w:color="auto"/>
        <w:bottom w:val="none" w:sz="0" w:space="0" w:color="auto"/>
        <w:right w:val="none" w:sz="0" w:space="0" w:color="auto"/>
      </w:divBdr>
    </w:div>
    <w:div w:id="1230773341">
      <w:bodyDiv w:val="1"/>
      <w:marLeft w:val="0"/>
      <w:marRight w:val="0"/>
      <w:marTop w:val="0"/>
      <w:marBottom w:val="0"/>
      <w:divBdr>
        <w:top w:val="none" w:sz="0" w:space="0" w:color="auto"/>
        <w:left w:val="none" w:sz="0" w:space="0" w:color="auto"/>
        <w:bottom w:val="none" w:sz="0" w:space="0" w:color="auto"/>
        <w:right w:val="none" w:sz="0" w:space="0" w:color="auto"/>
      </w:divBdr>
      <w:divsChild>
        <w:div w:id="51852035">
          <w:marLeft w:val="806"/>
          <w:marRight w:val="0"/>
          <w:marTop w:val="0"/>
          <w:marBottom w:val="0"/>
          <w:divBdr>
            <w:top w:val="none" w:sz="0" w:space="0" w:color="auto"/>
            <w:left w:val="none" w:sz="0" w:space="0" w:color="auto"/>
            <w:bottom w:val="none" w:sz="0" w:space="0" w:color="auto"/>
            <w:right w:val="none" w:sz="0" w:space="0" w:color="auto"/>
          </w:divBdr>
        </w:div>
        <w:div w:id="378096285">
          <w:marLeft w:val="806"/>
          <w:marRight w:val="0"/>
          <w:marTop w:val="0"/>
          <w:marBottom w:val="0"/>
          <w:divBdr>
            <w:top w:val="none" w:sz="0" w:space="0" w:color="auto"/>
            <w:left w:val="none" w:sz="0" w:space="0" w:color="auto"/>
            <w:bottom w:val="none" w:sz="0" w:space="0" w:color="auto"/>
            <w:right w:val="none" w:sz="0" w:space="0" w:color="auto"/>
          </w:divBdr>
        </w:div>
        <w:div w:id="1852641106">
          <w:marLeft w:val="806"/>
          <w:marRight w:val="0"/>
          <w:marTop w:val="0"/>
          <w:marBottom w:val="0"/>
          <w:divBdr>
            <w:top w:val="none" w:sz="0" w:space="0" w:color="auto"/>
            <w:left w:val="none" w:sz="0" w:space="0" w:color="auto"/>
            <w:bottom w:val="none" w:sz="0" w:space="0" w:color="auto"/>
            <w:right w:val="none" w:sz="0" w:space="0" w:color="auto"/>
          </w:divBdr>
        </w:div>
      </w:divsChild>
    </w:div>
    <w:div w:id="1525513565">
      <w:bodyDiv w:val="1"/>
      <w:marLeft w:val="0"/>
      <w:marRight w:val="0"/>
      <w:marTop w:val="0"/>
      <w:marBottom w:val="0"/>
      <w:divBdr>
        <w:top w:val="none" w:sz="0" w:space="0" w:color="auto"/>
        <w:left w:val="none" w:sz="0" w:space="0" w:color="auto"/>
        <w:bottom w:val="none" w:sz="0" w:space="0" w:color="auto"/>
        <w:right w:val="none" w:sz="0" w:space="0" w:color="auto"/>
      </w:divBdr>
    </w:div>
    <w:div w:id="1617249383">
      <w:bodyDiv w:val="1"/>
      <w:marLeft w:val="0"/>
      <w:marRight w:val="0"/>
      <w:marTop w:val="0"/>
      <w:marBottom w:val="0"/>
      <w:divBdr>
        <w:top w:val="none" w:sz="0" w:space="0" w:color="auto"/>
        <w:left w:val="none" w:sz="0" w:space="0" w:color="auto"/>
        <w:bottom w:val="none" w:sz="0" w:space="0" w:color="auto"/>
        <w:right w:val="none" w:sz="0" w:space="0" w:color="auto"/>
      </w:divBdr>
    </w:div>
    <w:div w:id="1647972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conicet.gov.ar/handle/11336/162758" TargetMode="External"/><Relationship Id="rId13" Type="http://schemas.openxmlformats.org/officeDocument/2006/relationships/theme" Target="theme/theme1.xml"/><Relationship Id="rId3" Type="http://schemas.openxmlformats.org/officeDocument/2006/relationships/styles" Target="styles.xml"/><Relationship Id="rId7" Type="http://schemas.microsoft.com/office/2011/relationships/commentsExtended" Target="commentsExtended.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ri.conicet.gov.ar/handle/11336/16275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F7B57-C042-4273-A398-168AC6111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39</Pages>
  <Words>26293</Words>
  <Characters>144614</Characters>
  <Application>Microsoft Office Word</Application>
  <DocSecurity>0</DocSecurity>
  <Lines>1205</Lines>
  <Paragraphs>341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Yuniel</dc:creator>
  <cp:keywords/>
  <dc:description/>
  <cp:lastModifiedBy>Admin</cp:lastModifiedBy>
  <cp:revision>8</cp:revision>
  <cp:lastPrinted>2023-07-11T03:47:00Z</cp:lastPrinted>
  <dcterms:created xsi:type="dcterms:W3CDTF">2025-04-03T15:05:00Z</dcterms:created>
  <dcterms:modified xsi:type="dcterms:W3CDTF">2025-04-10T23:22:00Z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id="UJQ2oGUC"/&gt;&lt;style id="http://www.zotero.org/styles/apa" locale="es-ES"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