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1A9698DB" w14:textId="77777777" w:rsidTr="008E3AD8">
        <w:trPr>
          <w:trHeight w:val="1837"/>
        </w:trPr>
        <w:tc>
          <w:tcPr>
            <w:tcW w:w="1560" w:type="dxa"/>
          </w:tcPr>
          <w:p w14:paraId="071CF1DD" w14:textId="77777777" w:rsidR="00497013" w:rsidRDefault="00497013" w:rsidP="008E3AD8">
            <w:pPr>
              <w:autoSpaceDE w:val="0"/>
              <w:autoSpaceDN w:val="0"/>
              <w:adjustRightInd w:val="0"/>
              <w:spacing w:after="120" w:line="276" w:lineRule="auto"/>
              <w:rPr>
                <w:rFonts w:ascii="Arial" w:eastAsia="Times New Roman" w:hAnsi="Arial" w:cs="Arial"/>
                <w:b/>
                <w:bCs/>
                <w:sz w:val="32"/>
                <w:szCs w:val="24"/>
                <w:lang w:val="es-ES_tradnl" w:eastAsia="es-ES_tradnl"/>
              </w:rPr>
            </w:pPr>
          </w:p>
        </w:tc>
        <w:tc>
          <w:tcPr>
            <w:tcW w:w="7087" w:type="dxa"/>
          </w:tcPr>
          <w:p w14:paraId="7C776BDF"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0C7239E2"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UNIVERSIDAD AGRARIA DE LA HABANA</w:t>
            </w:r>
          </w:p>
          <w:p w14:paraId="15234DEC"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“Fructuoso Rodríguez Pérez”</w:t>
            </w:r>
          </w:p>
          <w:p w14:paraId="067120C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3D02C45D"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2E33F05D"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Pr>
          <w:p w14:paraId="1998EBB1"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32"/>
                <w:szCs w:val="24"/>
                <w:lang w:val="es-ES_tradnl" w:eastAsia="es-ES_tradnl"/>
              </w:rPr>
            </w:pPr>
          </w:p>
        </w:tc>
      </w:tr>
    </w:tbl>
    <w:p w14:paraId="1E72BBD6" w14:textId="77777777" w:rsidR="00497013" w:rsidRPr="008772F3" w:rsidRDefault="00497013" w:rsidP="00497013">
      <w:pPr>
        <w:autoSpaceDE w:val="0"/>
        <w:autoSpaceDN w:val="0"/>
        <w:adjustRightInd w:val="0"/>
        <w:spacing w:after="120" w:line="276" w:lineRule="auto"/>
        <w:ind w:hanging="567"/>
        <w:jc w:val="both"/>
        <w:rPr>
          <w:rFonts w:ascii="Arial" w:eastAsia="Times New Roman" w:hAnsi="Arial" w:cs="Arial"/>
          <w:b/>
          <w:bCs/>
          <w:sz w:val="32"/>
          <w:szCs w:val="24"/>
          <w:lang w:val="es-ES_tradnl" w:eastAsia="es-ES_tradnl"/>
        </w:rPr>
      </w:pPr>
    </w:p>
    <w:p w14:paraId="329CD603" w14:textId="77777777" w:rsidR="00497013" w:rsidRPr="00CA1AF8" w:rsidRDefault="00497013" w:rsidP="00497013">
      <w:pPr>
        <w:autoSpaceDE w:val="0"/>
        <w:autoSpaceDN w:val="0"/>
        <w:adjustRightInd w:val="0"/>
        <w:spacing w:after="120" w:line="276" w:lineRule="auto"/>
        <w:jc w:val="both"/>
        <w:rPr>
          <w:rFonts w:ascii="Arial" w:eastAsia="Times New Roman" w:hAnsi="Arial" w:cs="Arial"/>
          <w:b/>
          <w:bCs/>
          <w:sz w:val="16"/>
          <w:szCs w:val="16"/>
          <w:lang w:val="es-ES_tradnl" w:eastAsia="es-ES_tradnl"/>
        </w:rPr>
      </w:pPr>
    </w:p>
    <w:p w14:paraId="45CAFFB1" w14:textId="77777777" w:rsidR="0049701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17BFF189"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39A1CC24"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4"/>
          <w:szCs w:val="24"/>
          <w:lang w:val="es-ES_tradnl" w:eastAsia="es-ES_tradnl"/>
        </w:rPr>
      </w:pPr>
    </w:p>
    <w:p w14:paraId="0F2163D6" w14:textId="7DC2090D" w:rsidR="00497013" w:rsidRPr="00E67C88" w:rsidRDefault="00497013" w:rsidP="00E67C88">
      <w:pPr>
        <w:pStyle w:val="Default"/>
        <w:ind w:left="-142" w:right="-377"/>
        <w:jc w:val="both"/>
        <w:rPr>
          <w:b/>
          <w:bCs/>
          <w:sz w:val="40"/>
          <w:szCs w:val="40"/>
          <w:lang w:eastAsia="es-ES_tradnl"/>
        </w:rPr>
      </w:pPr>
      <w:r>
        <w:rPr>
          <w:rFonts w:eastAsia="Times New Roman"/>
          <w:b/>
          <w:bCs/>
          <w:sz w:val="40"/>
          <w:szCs w:val="40"/>
          <w:lang w:val="es-ES_tradnl" w:eastAsia="es-ES_tradnl"/>
        </w:rPr>
        <w:t xml:space="preserve">Título: </w:t>
      </w:r>
      <w:r w:rsidRPr="000C08CF">
        <w:rPr>
          <w:rFonts w:eastAsia="Times New Roman"/>
          <w:b/>
          <w:bCs/>
          <w:sz w:val="40"/>
          <w:szCs w:val="40"/>
          <w:lang w:val="es-ES_tradnl" w:eastAsia="es-ES_tradnl"/>
        </w:rPr>
        <w:t>“</w:t>
      </w:r>
      <w:r w:rsidR="00E67C88" w:rsidRPr="00E67C88">
        <w:rPr>
          <w:rFonts w:eastAsia="Times New Roman"/>
          <w:b/>
          <w:bCs/>
          <w:sz w:val="40"/>
          <w:szCs w:val="40"/>
          <w:lang w:eastAsia="es-ES_tradnl"/>
        </w:rPr>
        <w:t xml:space="preserve">Estimación de rendimiento del cultivar P-7928 con </w:t>
      </w:r>
      <w:proofErr w:type="spellStart"/>
      <w:r w:rsidR="00EA3EA3" w:rsidRPr="00137927">
        <w:rPr>
          <w:rFonts w:eastAsia="Times New Roman"/>
          <w:b/>
          <w:bCs/>
          <w:sz w:val="40"/>
          <w:szCs w:val="40"/>
          <w:lang w:eastAsia="es-ES_tradnl"/>
        </w:rPr>
        <w:t>EcoMic</w:t>
      </w:r>
      <w:proofErr w:type="spellEnd"/>
      <w:r w:rsidR="00EA3EA3" w:rsidRPr="00137927">
        <w:rPr>
          <w:rFonts w:eastAsia="Times New Roman"/>
          <w:b/>
          <w:bCs/>
          <w:sz w:val="40"/>
          <w:szCs w:val="40"/>
          <w:lang w:eastAsia="es-ES_tradnl"/>
        </w:rPr>
        <w:t>®</w:t>
      </w:r>
      <w:r w:rsidR="00E67C88" w:rsidRPr="00E67C88">
        <w:rPr>
          <w:rFonts w:eastAsia="Times New Roman"/>
          <w:b/>
          <w:bCs/>
          <w:sz w:val="40"/>
          <w:szCs w:val="40"/>
          <w:lang w:eastAsia="es-ES_tradnl"/>
        </w:rPr>
        <w:t xml:space="preserve"> utilizando el modelo DSSAT.</w:t>
      </w:r>
      <w:r w:rsidRPr="000C08CF">
        <w:rPr>
          <w:rFonts w:eastAsia="Times New Roman"/>
          <w:b/>
          <w:bCs/>
          <w:sz w:val="40"/>
          <w:szCs w:val="40"/>
          <w:lang w:val="es-ES_tradnl" w:eastAsia="es-ES_tradnl"/>
        </w:rPr>
        <w:t>”</w:t>
      </w:r>
    </w:p>
    <w:p w14:paraId="0EFFCBA8"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0634A761"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2D05E252"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55C83276" w14:textId="44C406E4"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Autor: </w:t>
      </w:r>
      <w:r w:rsidR="00E67C88">
        <w:rPr>
          <w:rFonts w:ascii="Arial" w:eastAsia="Times New Roman" w:hAnsi="Arial" w:cs="Arial"/>
          <w:b/>
          <w:bCs/>
          <w:sz w:val="28"/>
          <w:szCs w:val="28"/>
          <w:lang w:val="es-ES_tradnl" w:eastAsia="es-ES_tradnl"/>
        </w:rPr>
        <w:t>Ing. Daniel Fernandez Sotolongo</w:t>
      </w:r>
    </w:p>
    <w:p w14:paraId="7C44CE6D"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76B02B92"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5F848988"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A9D0C3B"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 xml:space="preserve">Tesis presentada en opción de título de Master en </w:t>
      </w:r>
      <w:proofErr w:type="spellStart"/>
      <w:r>
        <w:rPr>
          <w:rFonts w:ascii="Arial" w:eastAsia="Times New Roman" w:hAnsi="Arial" w:cs="Arial"/>
          <w:b/>
          <w:bCs/>
          <w:sz w:val="28"/>
          <w:szCs w:val="28"/>
          <w:lang w:val="es-ES_tradnl" w:eastAsia="es-ES_tradnl"/>
        </w:rPr>
        <w:t>Biomatemática</w:t>
      </w:r>
      <w:proofErr w:type="spellEnd"/>
    </w:p>
    <w:p w14:paraId="75EB2DDD"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5A4B6FFE"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1B145518"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61129D2" w14:textId="0D1C12C6" w:rsidR="000C6959" w:rsidRDefault="00497013" w:rsidP="00497013">
      <w:pPr>
        <w:spacing w:after="120"/>
        <w:jc w:val="center"/>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Mayabeque, </w:t>
      </w:r>
      <w:r>
        <w:rPr>
          <w:rFonts w:ascii="Arial" w:eastAsia="Times New Roman" w:hAnsi="Arial" w:cs="Arial"/>
          <w:b/>
          <w:bCs/>
          <w:sz w:val="28"/>
          <w:szCs w:val="28"/>
          <w:lang w:val="es-ES_tradnl" w:eastAsia="es-ES_tradnl"/>
        </w:rPr>
        <w:t>202</w:t>
      </w:r>
      <w:r w:rsidR="008E1F11">
        <w:rPr>
          <w:rFonts w:ascii="Arial" w:eastAsia="Times New Roman" w:hAnsi="Arial" w:cs="Arial"/>
          <w:b/>
          <w:bCs/>
          <w:sz w:val="28"/>
          <w:szCs w:val="28"/>
          <w:lang w:val="es-ES_tradnl" w:eastAsia="es-ES_tradnl"/>
        </w:rPr>
        <w:t>4</w:t>
      </w:r>
    </w:p>
    <w:p w14:paraId="577919E6" w14:textId="77777777" w:rsidR="000C6959" w:rsidRDefault="000C6959">
      <w:pPr>
        <w:rPr>
          <w:rFonts w:ascii="Arial" w:eastAsia="Times New Roman" w:hAnsi="Arial" w:cs="Arial"/>
          <w:b/>
          <w:bCs/>
          <w:sz w:val="28"/>
          <w:szCs w:val="28"/>
          <w:lang w:val="es-ES_tradnl" w:eastAsia="es-ES_tradnl"/>
        </w:rPr>
        <w:sectPr w:rsidR="000C6959">
          <w:pgSz w:w="12240" w:h="15840"/>
          <w:pgMar w:top="1417" w:right="1701" w:bottom="1417" w:left="1701" w:header="720" w:footer="720" w:gutter="0"/>
          <w:cols w:space="720"/>
          <w:docGrid w:linePitch="360"/>
        </w:sectPr>
      </w:pPr>
      <w:r>
        <w:rPr>
          <w:rFonts w:ascii="Arial" w:eastAsia="Times New Roman" w:hAnsi="Arial" w:cs="Arial"/>
          <w:b/>
          <w:bCs/>
          <w:sz w:val="28"/>
          <w:szCs w:val="28"/>
          <w:lang w:val="es-ES_tradnl" w:eastAsia="es-ES_tradnl"/>
        </w:rPr>
        <w:br w:type="page"/>
      </w:r>
    </w:p>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6BB03B82" w14:textId="77777777" w:rsidTr="008E3AD8">
        <w:trPr>
          <w:trHeight w:val="1837"/>
        </w:trPr>
        <w:tc>
          <w:tcPr>
            <w:tcW w:w="1560" w:type="dxa"/>
          </w:tcPr>
          <w:p w14:paraId="0B7E4EA9" w14:textId="77777777" w:rsidR="00497013" w:rsidRDefault="00497013" w:rsidP="008E3AD8">
            <w:pPr>
              <w:autoSpaceDE w:val="0"/>
              <w:autoSpaceDN w:val="0"/>
              <w:adjustRightInd w:val="0"/>
              <w:spacing w:after="120" w:line="276" w:lineRule="auto"/>
              <w:rPr>
                <w:rFonts w:ascii="Arial" w:eastAsia="Times New Roman" w:hAnsi="Arial" w:cs="Arial"/>
                <w:b/>
                <w:bCs/>
                <w:sz w:val="32"/>
                <w:szCs w:val="24"/>
                <w:lang w:val="es-ES_tradnl" w:eastAsia="es-ES_tradnl"/>
              </w:rPr>
            </w:pPr>
          </w:p>
        </w:tc>
        <w:tc>
          <w:tcPr>
            <w:tcW w:w="7087" w:type="dxa"/>
          </w:tcPr>
          <w:p w14:paraId="079C5621"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13A0F453"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UNIVERSIDAD AGRARIA DE LA HABANA</w:t>
            </w:r>
          </w:p>
          <w:p w14:paraId="20C9E0CE"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“Fructuoso Rodríguez Pérez”</w:t>
            </w:r>
          </w:p>
          <w:p w14:paraId="7BC211B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5F2E228C"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07F02DF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Pr>
          <w:p w14:paraId="241F9BFF"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32"/>
                <w:szCs w:val="24"/>
                <w:lang w:val="es-ES_tradnl" w:eastAsia="es-ES_tradnl"/>
              </w:rPr>
            </w:pPr>
          </w:p>
        </w:tc>
      </w:tr>
    </w:tbl>
    <w:p w14:paraId="62E7DB11" w14:textId="77777777" w:rsidR="00497013" w:rsidRPr="008772F3" w:rsidRDefault="00497013" w:rsidP="00497013">
      <w:pPr>
        <w:autoSpaceDE w:val="0"/>
        <w:autoSpaceDN w:val="0"/>
        <w:adjustRightInd w:val="0"/>
        <w:spacing w:after="120" w:line="276" w:lineRule="auto"/>
        <w:ind w:hanging="567"/>
        <w:jc w:val="both"/>
        <w:rPr>
          <w:rFonts w:ascii="Arial" w:eastAsia="Times New Roman" w:hAnsi="Arial" w:cs="Arial"/>
          <w:b/>
          <w:bCs/>
          <w:sz w:val="32"/>
          <w:szCs w:val="24"/>
          <w:lang w:val="es-ES_tradnl" w:eastAsia="es-ES_tradnl"/>
        </w:rPr>
      </w:pPr>
    </w:p>
    <w:p w14:paraId="73CC0A4B" w14:textId="77777777" w:rsidR="00497013" w:rsidRPr="00CA1AF8" w:rsidRDefault="00497013" w:rsidP="00497013">
      <w:pPr>
        <w:autoSpaceDE w:val="0"/>
        <w:autoSpaceDN w:val="0"/>
        <w:adjustRightInd w:val="0"/>
        <w:spacing w:after="120" w:line="276" w:lineRule="auto"/>
        <w:jc w:val="both"/>
        <w:rPr>
          <w:rFonts w:ascii="Arial" w:eastAsia="Times New Roman" w:hAnsi="Arial" w:cs="Arial"/>
          <w:b/>
          <w:bCs/>
          <w:sz w:val="16"/>
          <w:szCs w:val="16"/>
          <w:lang w:val="es-ES_tradnl" w:eastAsia="es-ES_tradnl"/>
        </w:rPr>
      </w:pPr>
    </w:p>
    <w:p w14:paraId="75B3C765" w14:textId="77777777" w:rsidR="0049701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0CF55A1E"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3B8EDE15"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4"/>
          <w:szCs w:val="24"/>
          <w:lang w:val="es-ES_tradnl" w:eastAsia="es-ES_tradnl"/>
        </w:rPr>
      </w:pPr>
    </w:p>
    <w:p w14:paraId="5DCE7017" w14:textId="03684862" w:rsidR="00E67C88" w:rsidRPr="00E67C88" w:rsidRDefault="00497013" w:rsidP="00E67C88">
      <w:pPr>
        <w:pStyle w:val="Default"/>
        <w:ind w:left="-142" w:right="-377"/>
        <w:jc w:val="both"/>
        <w:rPr>
          <w:b/>
          <w:bCs/>
          <w:sz w:val="40"/>
          <w:szCs w:val="40"/>
          <w:lang w:eastAsia="es-ES_tradnl"/>
        </w:rPr>
      </w:pPr>
      <w:proofErr w:type="gramStart"/>
      <w:r>
        <w:rPr>
          <w:rFonts w:eastAsia="Times New Roman"/>
          <w:b/>
          <w:bCs/>
          <w:sz w:val="40"/>
          <w:szCs w:val="40"/>
          <w:lang w:val="es-ES_tradnl" w:eastAsia="es-ES_tradnl"/>
        </w:rPr>
        <w:t>Título</w:t>
      </w:r>
      <w:r w:rsidR="00E67C88" w:rsidRPr="000C08CF">
        <w:rPr>
          <w:rFonts w:eastAsia="Times New Roman"/>
          <w:b/>
          <w:bCs/>
          <w:sz w:val="40"/>
          <w:szCs w:val="40"/>
          <w:lang w:val="es-ES_tradnl" w:eastAsia="es-ES_tradnl"/>
        </w:rPr>
        <w:t>“</w:t>
      </w:r>
      <w:proofErr w:type="gramEnd"/>
      <w:r w:rsidR="00E67C88" w:rsidRPr="00E67C88">
        <w:rPr>
          <w:rFonts w:eastAsia="Times New Roman"/>
          <w:b/>
          <w:bCs/>
          <w:sz w:val="40"/>
          <w:szCs w:val="40"/>
          <w:lang w:eastAsia="es-ES_tradnl"/>
        </w:rPr>
        <w:t xml:space="preserve">Estimación de rendimiento del cultivar P-7928 con </w:t>
      </w:r>
      <w:proofErr w:type="spellStart"/>
      <w:r w:rsidR="00137927" w:rsidRPr="00137927">
        <w:rPr>
          <w:rFonts w:eastAsia="Times New Roman"/>
          <w:b/>
          <w:bCs/>
          <w:sz w:val="40"/>
          <w:szCs w:val="40"/>
          <w:lang w:eastAsia="es-ES_tradnl"/>
        </w:rPr>
        <w:t>EcoMic</w:t>
      </w:r>
      <w:proofErr w:type="spellEnd"/>
      <w:r w:rsidR="00137927" w:rsidRPr="00137927">
        <w:rPr>
          <w:rFonts w:eastAsia="Times New Roman"/>
          <w:b/>
          <w:bCs/>
          <w:sz w:val="40"/>
          <w:szCs w:val="40"/>
          <w:lang w:eastAsia="es-ES_tradnl"/>
        </w:rPr>
        <w:t>®</w:t>
      </w:r>
      <w:r w:rsidR="00137927" w:rsidRPr="00963BA4">
        <w:t xml:space="preserve"> </w:t>
      </w:r>
      <w:r w:rsidR="00E67C88" w:rsidRPr="00E67C88">
        <w:rPr>
          <w:rFonts w:eastAsia="Times New Roman"/>
          <w:b/>
          <w:bCs/>
          <w:sz w:val="40"/>
          <w:szCs w:val="40"/>
          <w:lang w:eastAsia="es-ES_tradnl"/>
        </w:rPr>
        <w:t>utilizando el modelo DSSAT.</w:t>
      </w:r>
      <w:r w:rsidR="00E67C88" w:rsidRPr="000C08CF">
        <w:rPr>
          <w:rFonts w:eastAsia="Times New Roman"/>
          <w:b/>
          <w:bCs/>
          <w:sz w:val="40"/>
          <w:szCs w:val="40"/>
          <w:lang w:val="es-ES_tradnl" w:eastAsia="es-ES_tradnl"/>
        </w:rPr>
        <w:t>”</w:t>
      </w:r>
    </w:p>
    <w:p w14:paraId="72EA9368" w14:textId="53AEF8D2" w:rsidR="00497013" w:rsidRPr="00E67C88" w:rsidRDefault="00497013" w:rsidP="00497013">
      <w:pPr>
        <w:pStyle w:val="Default"/>
        <w:ind w:left="-142" w:right="-377"/>
        <w:jc w:val="both"/>
        <w:rPr>
          <w:rFonts w:eastAsia="Times New Roman"/>
          <w:b/>
          <w:bCs/>
          <w:sz w:val="40"/>
          <w:szCs w:val="40"/>
          <w:lang w:eastAsia="es-ES_tradnl"/>
        </w:rPr>
      </w:pPr>
    </w:p>
    <w:p w14:paraId="2C25FD6F"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48786084"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4D1B95F3"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7B56DD0C" w14:textId="77777777" w:rsidR="00E67C88" w:rsidRPr="008772F3" w:rsidRDefault="00E67C88" w:rsidP="00E67C88">
      <w:pPr>
        <w:autoSpaceDE w:val="0"/>
        <w:autoSpaceDN w:val="0"/>
        <w:adjustRightInd w:val="0"/>
        <w:spacing w:after="120" w:line="276" w:lineRule="auto"/>
        <w:jc w:val="both"/>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Autor: </w:t>
      </w:r>
      <w:r>
        <w:rPr>
          <w:rFonts w:ascii="Arial" w:eastAsia="Times New Roman" w:hAnsi="Arial" w:cs="Arial"/>
          <w:b/>
          <w:bCs/>
          <w:sz w:val="28"/>
          <w:szCs w:val="28"/>
          <w:lang w:val="es-ES_tradnl" w:eastAsia="es-ES_tradnl"/>
        </w:rPr>
        <w:t>Ing. Daniel Fernandez Sotolongo</w:t>
      </w:r>
    </w:p>
    <w:p w14:paraId="5CB298D9" w14:textId="77777777" w:rsidR="00497013" w:rsidRDefault="00497013" w:rsidP="00497013">
      <w:pPr>
        <w:spacing w:after="120" w:line="276" w:lineRule="auto"/>
        <w:contextualSpacing/>
        <w:jc w:val="both"/>
        <w:rPr>
          <w:rFonts w:ascii="Arial" w:eastAsia="Times New Roman" w:hAnsi="Arial" w:cs="Arial"/>
          <w:b/>
          <w:bCs/>
          <w:sz w:val="28"/>
          <w:szCs w:val="28"/>
          <w:lang w:val="es-ES_tradnl" w:eastAsia="es-ES_tradnl"/>
        </w:rPr>
      </w:pPr>
    </w:p>
    <w:p w14:paraId="4A9EA31C" w14:textId="77777777" w:rsidR="00497013" w:rsidRPr="008772F3" w:rsidRDefault="00497013" w:rsidP="00497013">
      <w:pPr>
        <w:spacing w:after="120" w:line="276" w:lineRule="auto"/>
        <w:contextualSpacing/>
        <w:jc w:val="both"/>
        <w:rPr>
          <w:rFonts w:ascii="Arial" w:eastAsia="Calibri" w:hAnsi="Arial" w:cs="Arial"/>
          <w:sz w:val="28"/>
          <w:szCs w:val="28"/>
        </w:rPr>
      </w:pPr>
      <w:r w:rsidRPr="008772F3">
        <w:rPr>
          <w:rFonts w:ascii="Arial" w:eastAsia="Times New Roman" w:hAnsi="Arial" w:cs="Arial"/>
          <w:b/>
          <w:bCs/>
          <w:sz w:val="28"/>
          <w:szCs w:val="28"/>
          <w:lang w:val="es-ES_tradnl" w:eastAsia="es-ES_tradnl"/>
        </w:rPr>
        <w:t xml:space="preserve">Tutores: </w:t>
      </w:r>
      <w:r w:rsidRPr="008772F3">
        <w:rPr>
          <w:rFonts w:ascii="Arial" w:eastAsia="Calibri" w:hAnsi="Arial" w:cs="Arial"/>
          <w:sz w:val="28"/>
          <w:szCs w:val="28"/>
        </w:rPr>
        <w:t xml:space="preserve">Dr.C. </w:t>
      </w:r>
      <w:r>
        <w:rPr>
          <w:rFonts w:ascii="Arial" w:eastAsia="Calibri" w:hAnsi="Arial" w:cs="Arial"/>
          <w:sz w:val="28"/>
          <w:szCs w:val="28"/>
        </w:rPr>
        <w:t>René Florido Bacallao</w:t>
      </w:r>
    </w:p>
    <w:p w14:paraId="424130D9" w14:textId="77777777" w:rsidR="00E67C88" w:rsidRPr="00E67C88" w:rsidRDefault="00497013" w:rsidP="00E67C88">
      <w:pPr>
        <w:autoSpaceDE w:val="0"/>
        <w:autoSpaceDN w:val="0"/>
        <w:adjustRightInd w:val="0"/>
        <w:spacing w:after="120" w:line="276" w:lineRule="auto"/>
        <w:jc w:val="both"/>
        <w:rPr>
          <w:rFonts w:ascii="Arial" w:eastAsia="Calibri" w:hAnsi="Arial" w:cs="Arial"/>
          <w:sz w:val="28"/>
          <w:szCs w:val="28"/>
        </w:rPr>
      </w:pPr>
      <w:r w:rsidRPr="008772F3">
        <w:rPr>
          <w:rFonts w:ascii="Arial" w:eastAsia="Calibri" w:hAnsi="Arial" w:cs="Arial"/>
          <w:sz w:val="28"/>
          <w:szCs w:val="28"/>
        </w:rPr>
        <w:t xml:space="preserve">               </w:t>
      </w:r>
      <w:r w:rsidR="00E67C88" w:rsidRPr="00E67C88">
        <w:rPr>
          <w:rFonts w:ascii="Arial" w:eastAsia="Calibri" w:hAnsi="Arial" w:cs="Arial"/>
          <w:sz w:val="28"/>
          <w:szCs w:val="28"/>
        </w:rPr>
        <w:t xml:space="preserve">Ms.C. </w:t>
      </w:r>
      <w:proofErr w:type="spellStart"/>
      <w:r w:rsidR="00E67C88" w:rsidRPr="00E67C88">
        <w:rPr>
          <w:rFonts w:ascii="Arial" w:eastAsia="Calibri" w:hAnsi="Arial" w:cs="Arial"/>
          <w:sz w:val="28"/>
          <w:szCs w:val="28"/>
        </w:rPr>
        <w:t>Osmel</w:t>
      </w:r>
      <w:proofErr w:type="spellEnd"/>
      <w:r w:rsidR="00E67C88" w:rsidRPr="00E67C88">
        <w:rPr>
          <w:rFonts w:ascii="Arial" w:eastAsia="Calibri" w:hAnsi="Arial" w:cs="Arial"/>
          <w:sz w:val="28"/>
          <w:szCs w:val="28"/>
        </w:rPr>
        <w:t xml:space="preserve"> Rodríguez González</w:t>
      </w:r>
    </w:p>
    <w:p w14:paraId="49927FC5" w14:textId="59FBDE1B" w:rsidR="00497013" w:rsidRDefault="00497013" w:rsidP="00E67C88">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143C8E9F"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2382C5F"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 xml:space="preserve">Tesis presentada en opción de título de Master en </w:t>
      </w:r>
      <w:proofErr w:type="spellStart"/>
      <w:r>
        <w:rPr>
          <w:rFonts w:ascii="Arial" w:eastAsia="Times New Roman" w:hAnsi="Arial" w:cs="Arial"/>
          <w:b/>
          <w:bCs/>
          <w:sz w:val="28"/>
          <w:szCs w:val="28"/>
          <w:lang w:val="es-ES_tradnl" w:eastAsia="es-ES_tradnl"/>
        </w:rPr>
        <w:t>Biomatemática</w:t>
      </w:r>
      <w:proofErr w:type="spellEnd"/>
    </w:p>
    <w:p w14:paraId="700B24B5"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41C1757D" w14:textId="77777777" w:rsidR="000C6959" w:rsidRDefault="00497013" w:rsidP="00497013">
      <w:pPr>
        <w:spacing w:after="120"/>
        <w:jc w:val="center"/>
        <w:rPr>
          <w:rFonts w:ascii="Arial" w:eastAsia="Times New Roman" w:hAnsi="Arial" w:cs="Arial"/>
          <w:b/>
          <w:bCs/>
          <w:sz w:val="28"/>
          <w:szCs w:val="28"/>
          <w:lang w:val="es-ES_tradnl" w:eastAsia="es-ES_tradnl"/>
        </w:rPr>
        <w:sectPr w:rsidR="000C6959">
          <w:pgSz w:w="12240" w:h="15840"/>
          <w:pgMar w:top="1417" w:right="1701" w:bottom="1417" w:left="1701" w:header="720" w:footer="720" w:gutter="0"/>
          <w:cols w:space="720"/>
          <w:docGrid w:linePitch="360"/>
        </w:sectPr>
      </w:pPr>
      <w:r w:rsidRPr="008772F3">
        <w:rPr>
          <w:rFonts w:ascii="Arial" w:eastAsia="Times New Roman" w:hAnsi="Arial" w:cs="Arial"/>
          <w:b/>
          <w:bCs/>
          <w:sz w:val="28"/>
          <w:szCs w:val="28"/>
          <w:lang w:val="es-ES_tradnl" w:eastAsia="es-ES_tradnl"/>
        </w:rPr>
        <w:t xml:space="preserve">Mayabeque, </w:t>
      </w:r>
      <w:r>
        <w:rPr>
          <w:rFonts w:ascii="Arial" w:eastAsia="Times New Roman" w:hAnsi="Arial" w:cs="Arial"/>
          <w:b/>
          <w:bCs/>
          <w:sz w:val="28"/>
          <w:szCs w:val="28"/>
          <w:lang w:val="es-ES_tradnl" w:eastAsia="es-ES_tradnl"/>
        </w:rPr>
        <w:t>2023</w:t>
      </w:r>
    </w:p>
    <w:p w14:paraId="779BBED2" w14:textId="77777777" w:rsidR="00497013" w:rsidRPr="000A5207" w:rsidRDefault="00497013" w:rsidP="00D7244C">
      <w:pPr>
        <w:pStyle w:val="Ttulo1"/>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4070406"/>
      <w:r w:rsidRPr="000A5207">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INTRODUCCIÓN</w:t>
      </w:r>
      <w:bookmarkEnd w:id="0"/>
    </w:p>
    <w:p w14:paraId="2CF488FC" w14:textId="77777777" w:rsidR="00497013" w:rsidRPr="007D6317" w:rsidRDefault="00497013" w:rsidP="00497013"/>
    <w:p w14:paraId="2DBC84C2"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Pr>
          <w:rFonts w:ascii="Arial" w:hAnsi="Arial" w:cs="Arial"/>
          <w:color w:val="000000"/>
          <w:sz w:val="24"/>
          <w:szCs w:val="24"/>
        </w:rPr>
        <w:instrText>ADDIN ZOTERO_ITEM CSL_CITATION {"citationID":"DJ1YATXH","properties":{"formattedCitation":"(Arias et\\uc0\\u160{}al., 2021; CEPAL, 2022)","plainCitation":"(Arias et al., 2021; CEPAL, 2022)","noteIndex":0},"citationItems":[{"id":"UJQ2oGUC/JXnHOJIp","uris":["http://zotero.org/users/13364072/items/49HGNBQJ"],"itemData":{"id":24,"type":"article-journal","note":"publisher: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id":"UJQ2oGUC/PXTAXbEE","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(Arias et al., 2021; CEPAL, 2022)</w:t>
      </w:r>
      <w:r>
        <w:rPr>
          <w:rFonts w:ascii="Arial" w:hAnsi="Arial" w:cs="Arial"/>
          <w:color w:val="000000"/>
          <w:sz w:val="24"/>
          <w:szCs w:val="24"/>
        </w:rPr>
        <w:fldChar w:fldCharType="end"/>
      </w:r>
      <w:r>
        <w:rPr>
          <w:rFonts w:ascii="Arial" w:hAnsi="Arial" w:cs="Arial"/>
          <w:color w:val="000000"/>
          <w:sz w:val="24"/>
          <w:szCs w:val="24"/>
        </w:rPr>
        <w:t xml:space="preserve">. </w:t>
      </w:r>
    </w:p>
    <w:p w14:paraId="343DCFD5" w14:textId="77777777" w:rsidR="000630B1" w:rsidRDefault="000630B1" w:rsidP="000630B1">
      <w:pPr>
        <w:spacing w:after="0" w:line="360" w:lineRule="auto"/>
        <w:jc w:val="both"/>
        <w:rPr>
          <w:rFonts w:ascii="Arial" w:eastAsia="Calibri" w:hAnsi="Arial" w:cs="Arial"/>
          <w:sz w:val="24"/>
          <w:szCs w:val="24"/>
          <w:lang w:eastAsia="es-ES"/>
        </w:rPr>
      </w:pPr>
    </w:p>
    <w:p w14:paraId="425AF18D"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Entre las necesidades mundiales está el aumento sostenido de la producción de cereales como una alternativa para contribuir a la seguridad alimentaria para cubrir </w:t>
      </w:r>
    </w:p>
    <w:p w14:paraId="35F17987"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lastRenderedPageBreak/>
        <w:t xml:space="preserve">las necesidades crecientes de los pueblos, lo que ha propiciado que los productores busquen mayores rendimientos en las áreas improductivas al utilizar especies que se adapten a esas condiciones </w:t>
      </w:r>
      <w:r>
        <w:fldChar w:fldCharType="begin"/>
      </w:r>
      <w:r>
        <w:rPr>
          <w:rFonts w:ascii="Arial" w:hAnsi="Arial" w:cs="Arial"/>
          <w:color w:val="000000"/>
          <w:sz w:val="24"/>
          <w:szCs w:val="24"/>
        </w:rPr>
        <w:instrText>ADDIN ZOTERO_ITEM CSL_CITATION {"citationID":"npHAVIa7","properties":{"formattedCitation":"(\\uc0\\u193{}vila P\\uc0\\u233{}rez &amp; P\\uc0\\u233{}rez Zaldiva, 2017)","plainCitation":"(Ávila Pérez &amp; Pérez Zaldiva, 2017)","noteIndex":0},"citationItems":[{"id":"UJQ2oGUC/B24C3meB","uris":["http://zotero.org/users/13364072/items/TDP4CVPB"],"itemData":{"id":5,"type":"article-journal","abstract":"Se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(Ávila Pérez &amp; Pérez Zaldiva, 2017)</w:t>
      </w:r>
      <w:r>
        <w:rPr>
          <w:rFonts w:ascii="Arial" w:hAnsi="Arial" w:cs="Arial"/>
          <w:color w:val="000000"/>
          <w:sz w:val="24"/>
          <w:szCs w:val="24"/>
        </w:rPr>
        <w:fldChar w:fldCharType="end"/>
      </w:r>
      <w:r>
        <w:rPr>
          <w:rFonts w:ascii="Arial" w:hAnsi="Arial" w:cs="Arial"/>
          <w:color w:val="000000"/>
          <w:sz w:val="24"/>
          <w:szCs w:val="24"/>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sidRPr="000F2C83">
        <w:rPr>
          <w:rFonts w:ascii="Arial" w:hAnsi="Arial" w:cs="Arial"/>
          <w:sz w:val="24"/>
          <w:szCs w:val="24"/>
        </w:rPr>
        <w:t>suelo</w:t>
      </w:r>
      <w:r>
        <w:rPr>
          <w:rFonts w:ascii="Arial" w:hAnsi="Arial" w:cs="Arial"/>
          <w:sz w:val="24"/>
          <w:szCs w:val="24"/>
        </w:rPr>
        <w:t xml:space="preserve"> </w:t>
      </w:r>
      <w:r>
        <w:fldChar w:fldCharType="begin"/>
      </w:r>
      <w:r>
        <w:rPr>
          <w:rFonts w:ascii="Arial" w:hAnsi="Arial" w:cs="Arial"/>
          <w:color w:val="000000"/>
          <w:sz w:val="24"/>
          <w:szCs w:val="24"/>
        </w:rPr>
        <w:instrText>ADDIN ZOTERO_ITEM CSL_CITATION {"citationID":"bZ1Tnm5y","properties":{"formattedCitation":"(Ruiz-Rodr\\uc0\\u237{}guez et\\uc0\\u160{}al., s.\\uc0\\u160{}f.)","plainCitation":"(Ruiz-Rodríguez et al., s. f.)","noteIndex":0},"citationItems":[{"id":"UJQ2oGUC/ufyMM9Sz","uris":["http://zotero.org/users/13364072/items/CJVGNQ58"],"itemData":{"id":42,"type":"article-journal","container-title":"El sector vitivinícola frente al desafío del cambio climático","page":"221","title":"Desafíos del regadío español frente al cambio climático y consecuencias para el viñedo","author":[{"family":"Ruiz-Rodríguez","given":"Martín"},{"family":"Pulido-Velázquez","given":"Manuel"},{"family":"García-Prats","given":"Alberto"}]}}],"schema":"https://github.com/citation-style-language/schema/raw/master/csl-citation.json"}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(Ruiz-Rodríguez et al., s. f.)</w:t>
      </w:r>
      <w:r>
        <w:rPr>
          <w:rFonts w:ascii="Arial" w:hAnsi="Arial" w:cs="Arial"/>
          <w:color w:val="000000"/>
          <w:sz w:val="24"/>
          <w:szCs w:val="24"/>
        </w:rPr>
        <w:fldChar w:fldCharType="end"/>
      </w:r>
      <w:r>
        <w:rPr>
          <w:rFonts w:ascii="Arial" w:hAnsi="Arial" w:cs="Arial"/>
          <w:color w:val="000000"/>
          <w:sz w:val="24"/>
          <w:szCs w:val="24"/>
        </w:rPr>
        <w:t>.</w:t>
      </w:r>
    </w:p>
    <w:p w14:paraId="0BCFF894"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  </w:t>
      </w:r>
    </w:p>
    <w:p w14:paraId="447FF2A6"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El cultivo del maíz (</w:t>
      </w:r>
      <w:r>
        <w:rPr>
          <w:rFonts w:ascii="Arial" w:hAnsi="Arial" w:cs="Arial"/>
          <w:i/>
          <w:iCs/>
          <w:color w:val="000000"/>
          <w:sz w:val="24"/>
          <w:szCs w:val="24"/>
        </w:rPr>
        <w:t xml:space="preserve">Zea </w:t>
      </w:r>
      <w:proofErr w:type="spellStart"/>
      <w:r>
        <w:rPr>
          <w:rFonts w:ascii="Arial" w:hAnsi="Arial" w:cs="Arial"/>
          <w:i/>
          <w:iCs/>
          <w:color w:val="000000"/>
          <w:sz w:val="24"/>
          <w:szCs w:val="24"/>
        </w:rPr>
        <w:t>mays</w:t>
      </w:r>
      <w:proofErr w:type="spellEnd"/>
      <w:r>
        <w:rPr>
          <w:rFonts w:ascii="Arial" w:hAnsi="Arial" w:cs="Arial"/>
          <w:color w:val="000000"/>
          <w:sz w:val="24"/>
          <w:szCs w:val="24"/>
        </w:rPr>
        <w:t xml:space="preserve"> L.) ha sido generalizado a nivel mundial, en la actualidad ocupa el segundo lugar en</w:t>
      </w:r>
      <w:r>
        <w:rPr>
          <w:rFonts w:ascii="Arial" w:hAnsi="Arial" w:cs="Arial"/>
          <w:color w:val="000000"/>
          <w:sz w:val="24"/>
          <w:szCs w:val="24"/>
        </w:rPr>
        <w:lastRenderedPageBreak/>
        <w:t xml:space="preserve">tre todos los cereales, destacándose su uso para la alimentación animal y humana (Guamán </w:t>
      </w:r>
      <w:r>
        <w:rPr>
          <w:rFonts w:ascii="Arial" w:hAnsi="Arial" w:cs="Arial"/>
          <w:i/>
          <w:iCs/>
          <w:color w:val="000000"/>
          <w:sz w:val="24"/>
          <w:szCs w:val="24"/>
        </w:rPr>
        <w:t>et al</w:t>
      </w:r>
      <w:r>
        <w:rPr>
          <w:rFonts w:ascii="Arial" w:hAnsi="Arial" w:cs="Arial"/>
          <w:color w:val="000000"/>
          <w:sz w:val="24"/>
          <w:szCs w:val="24"/>
        </w:rPr>
        <w:t xml:space="preserve">., 2020). Se adapta a diversas </w:t>
      </w:r>
    </w:p>
    <w:p w14:paraId="7B8C9C93"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condiciones ambientales y no se encuentra entre los de mayor demanda hídrica (Tarazona-Meza </w:t>
      </w:r>
      <w:r>
        <w:rPr>
          <w:rFonts w:ascii="Arial" w:hAnsi="Arial" w:cs="Arial"/>
          <w:i/>
          <w:iCs/>
          <w:color w:val="000000"/>
          <w:sz w:val="24"/>
          <w:szCs w:val="24"/>
        </w:rPr>
        <w:t>et al</w:t>
      </w:r>
      <w:r>
        <w:rPr>
          <w:rFonts w:ascii="Arial" w:hAnsi="Arial" w:cs="Arial"/>
          <w:color w:val="000000"/>
          <w:sz w:val="24"/>
          <w:szCs w:val="24"/>
        </w:rPr>
        <w:t>., 2022). Todo ello es consecuencia de ser una especie con un elevado potencial de rendimiento asociado con altos niveles de fotosíntesis.</w:t>
      </w:r>
    </w:p>
    <w:p w14:paraId="5C5F9E2C"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  </w:t>
      </w:r>
    </w:p>
    <w:p w14:paraId="5B43F80B"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598F93B6" w14:textId="77777777" w:rsidR="000630B1" w:rsidRDefault="000630B1" w:rsidP="000630B1">
      <w:pPr>
        <w:spacing w:after="0" w:line="360" w:lineRule="auto"/>
        <w:jc w:val="both"/>
        <w:rPr>
          <w:rFonts w:ascii="Arial" w:hAnsi="Arial" w:cs="Arial"/>
          <w:color w:val="000000"/>
          <w:sz w:val="24"/>
          <w:szCs w:val="24"/>
        </w:rPr>
      </w:pPr>
    </w:p>
    <w:p w14:paraId="7422A586"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 </w:t>
      </w:r>
    </w:p>
    <w:p w14:paraId="703501E8" w14:textId="77777777" w:rsidR="000630B1" w:rsidRDefault="000630B1" w:rsidP="000630B1">
      <w:pPr>
        <w:spacing w:after="0" w:line="360" w:lineRule="auto"/>
        <w:jc w:val="both"/>
        <w:rPr>
          <w:rFonts w:ascii="Arial" w:hAnsi="Arial" w:cs="Arial"/>
          <w:sz w:val="24"/>
          <w:szCs w:val="24"/>
        </w:rPr>
      </w:pPr>
      <w:r>
        <w:rPr>
          <w:rFonts w:ascii="Arial" w:eastAsia="Calibri" w:hAnsi="Arial" w:cs="Arial"/>
          <w:sz w:val="24"/>
          <w:szCs w:val="24"/>
          <w:lang w:eastAsia="es-ES"/>
        </w:rPr>
        <w:t xml:space="preserve">En la actualidad se requiere de programas de desarrollo agrícola que evalúen los recursos naturales disponibles y tener una medida del resultado de la interacción entre el ambiente y los cultivos </w:t>
      </w:r>
      <w:r>
        <w:fldChar w:fldCharType="begin"/>
      </w:r>
      <w:r>
        <w:rPr>
          <w:rFonts w:ascii="Arial" w:eastAsia="Calibri" w:hAnsi="Arial" w:cs="Arial"/>
          <w:sz w:val="24"/>
          <w:szCs w:val="24"/>
          <w:lang w:eastAsia="es-ES"/>
        </w:rPr>
        <w:instrText>ADDIN EN.CITE &lt;EndNote&gt;&lt;Cite&gt;&lt;Author&gt;Hernández&lt;/Author&gt;&lt;Year&gt;2009&lt;/Year&gt;&lt;RecNum&gt;2&lt;/RecNum&gt;&lt;record&gt;&lt;rec-number&gt;2&lt;/rec-number&gt;&lt;foreign-keys&gt;&lt;key app="EN" db-id="x9radvsr30rwe9efzs555ae5fwrfv5axtrdw"&gt;2&lt;/key&gt;&lt;/foreign-keys&gt;&lt;ref-type name="Journal Article"&gt;17&lt;/ref-type&gt;&lt;contributors&gt;&lt;authors&gt;&lt;author&gt;Hernández, N.&lt;/author&gt;&lt;author&gt;Soto,  F.&lt;/author&gt;&lt;author&gt;Caballero, A. &lt;/author&gt;&lt;/authors&gt;&lt;/contributors&gt;&lt;titles&gt;&lt;title&gt;Modelos de simulación de cultivos. Características y usos&lt;/title&gt;&lt;secondary-title&gt;Cultivos Tropicales&lt;/secondary-title&gt;&lt;/titles&gt;&lt;periodical&gt;&lt;full-title&gt;Cultivos Tropicales&lt;/full-title&gt;&lt;/periodical&gt;&lt;pages&gt;73-82 &lt;/pages&gt;&lt;volume&gt;30&lt;/volume&gt;&lt;number&gt;1&lt;/number&gt;&lt;dates&gt;&lt;year&gt;2009&lt;/year&gt;&lt;/dates&gt;&lt;urls&gt;&lt;/urls&gt;&lt;/record&gt;&lt;/Cite&gt;&lt;/EndNote&gt;</w:instrText>
      </w:r>
      <w:r>
        <w:rPr>
          <w:rFonts w:ascii="Arial" w:eastAsia="Calibri" w:hAnsi="Arial" w:cs="Arial"/>
          <w:sz w:val="24"/>
          <w:szCs w:val="24"/>
          <w:lang w:eastAsia="es-ES"/>
        </w:rPr>
        <w:fldChar w:fldCharType="separate"/>
      </w:r>
      <w:r>
        <w:rPr>
          <w:rFonts w:ascii="Arial" w:eastAsia="Calibri" w:hAnsi="Arial" w:cs="Arial"/>
          <w:sz w:val="24"/>
          <w:szCs w:val="24"/>
          <w:lang w:eastAsia="es-ES"/>
        </w:rPr>
        <w:t>(1)</w:t>
      </w:r>
      <w:r>
        <w:rPr>
          <w:rFonts w:ascii="Arial" w:eastAsia="Calibri" w:hAnsi="Arial" w:cs="Arial"/>
          <w:sz w:val="24"/>
          <w:szCs w:val="24"/>
          <w:lang w:eastAsia="es-ES"/>
        </w:rPr>
        <w:fldChar w:fldCharType="end"/>
      </w:r>
      <w:r>
        <w:rPr>
          <w:rFonts w:ascii="Arial" w:eastAsia="Calibri" w:hAnsi="Arial" w:cs="Arial"/>
          <w:sz w:val="24"/>
          <w:szCs w:val="24"/>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Pr>
          <w:rFonts w:ascii="Arial" w:eastAsia="Calibri" w:hAnsi="Arial" w:cs="Arial"/>
          <w:sz w:val="24"/>
          <w:szCs w:val="24"/>
          <w:lang w:eastAsia="es-ES"/>
        </w:rPr>
        <w:instrText>ADDIN EN.CITE &lt;EndNote&gt;&lt;Cite&gt;&lt;Author&gt;Thornton&lt;/Author&gt;&lt;Year&gt;2010&lt;/Year&gt;&lt;RecNum&gt;3&lt;/RecNum&gt;&lt;record&gt;&lt;rec-number&gt;3&lt;/rec-number&gt;&lt;foreign-keys&gt;&lt;key app="EN" db-id="x9radvsr30rwe9efzs555ae5fwrfv5axtrdw"&gt;3&lt;/key&gt;&lt;/foreign-keys&gt;&lt;ref-type name="Journal Article"&gt;17&lt;/ref-type&gt;&lt;contributors&gt;&lt;authors&gt;&lt;author&gt;Thornton, P. P. &lt;/author&gt;&lt;author&gt;Jones, G.&lt;/author&gt;&lt;author&gt;Alagarswamy, G.&lt;/author&gt;&lt;author&gt;Andresen, J. &lt;/author&gt;&lt;author&gt;Herrero, M. &lt;/author&gt;&lt;/authors&gt;&lt;/contributors&gt;&lt;titles&gt;&lt;title&gt;Adapting to climate change: Agricultural system and household impacts in East Africa.&lt;/title&gt;&lt;secondary-title&gt;Agricultural Systems&lt;/secondary-title&gt;&lt;/titles&gt;&lt;periodical&gt;&lt;full-title&gt;Agricultural Systems&lt;/full-title&gt;&lt;/periodical&gt;&lt;pages&gt;73–82&lt;/pages&gt;&lt;volume&gt;103&lt;/volume&gt;&lt;dates&gt;&lt;year&gt;2010&lt;/year&gt;&lt;/dates&gt;&lt;urls&gt;&lt;/urls&gt;&lt;/record&gt;&lt;/Cite&gt;&lt;/EndNote&gt;</w:instrText>
      </w:r>
      <w:r>
        <w:rPr>
          <w:rFonts w:ascii="Arial" w:eastAsia="Calibri" w:hAnsi="Arial" w:cs="Arial"/>
          <w:sz w:val="24"/>
          <w:szCs w:val="24"/>
          <w:lang w:eastAsia="es-ES"/>
        </w:rPr>
        <w:fldChar w:fldCharType="separate"/>
      </w:r>
      <w:r>
        <w:rPr>
          <w:rFonts w:ascii="Arial" w:eastAsia="Calibri" w:hAnsi="Arial" w:cs="Arial"/>
          <w:sz w:val="24"/>
          <w:szCs w:val="24"/>
          <w:lang w:eastAsia="es-ES"/>
        </w:rPr>
        <w:t>(2)</w:t>
      </w:r>
      <w:r>
        <w:rPr>
          <w:rFonts w:ascii="Arial" w:eastAsia="Calibri" w:hAnsi="Arial" w:cs="Arial"/>
          <w:sz w:val="24"/>
          <w:szCs w:val="24"/>
          <w:lang w:eastAsia="es-ES"/>
        </w:rPr>
        <w:fldChar w:fldCharType="end"/>
      </w:r>
      <w:r>
        <w:rPr>
          <w:rFonts w:ascii="Arial" w:eastAsia="Calibri" w:hAnsi="Arial" w:cs="Arial"/>
          <w:sz w:val="24"/>
          <w:szCs w:val="24"/>
          <w:lang w:eastAsia="es-ES"/>
        </w:rPr>
        <w:t>.</w:t>
      </w:r>
    </w:p>
    <w:p w14:paraId="3C9727C7" w14:textId="77777777" w:rsidR="000630B1" w:rsidRDefault="000630B1" w:rsidP="000630B1">
      <w:pPr>
        <w:spacing w:after="0" w:line="360" w:lineRule="auto"/>
        <w:jc w:val="both"/>
        <w:rPr>
          <w:rFonts w:ascii="Arial" w:hAnsi="Arial" w:cs="Arial"/>
          <w:color w:val="000000"/>
          <w:sz w:val="24"/>
          <w:szCs w:val="24"/>
        </w:rPr>
      </w:pPr>
      <w:r>
        <w:rPr>
          <w:rFonts w:ascii="Arial" w:eastAsia="Calibri" w:hAnsi="Arial" w:cs="Arial"/>
          <w:sz w:val="24"/>
          <w:szCs w:val="24"/>
          <w:lang w:val="es-MX" w:eastAsia="es-MX"/>
        </w:rPr>
        <w:lastRenderedPageBreak/>
        <w:t xml:space="preserve">Se debe destacar que el aspecto más </w:t>
      </w:r>
      <w:r>
        <w:rPr>
          <w:rFonts w:ascii="Arial" w:hAnsi="Arial" w:cs="Arial"/>
          <w:color w:val="000000"/>
          <w:sz w:val="24"/>
          <w:szCs w:val="24"/>
        </w:rPr>
        <w:t xml:space="preserve">importante en la evaluación de modelos de cultivo es la determinación de parámetros o coeficientes específicos del cultivo (Hunt y </w:t>
      </w:r>
      <w:proofErr w:type="spellStart"/>
      <w:r>
        <w:rPr>
          <w:rFonts w:ascii="Arial" w:hAnsi="Arial" w:cs="Arial"/>
          <w:color w:val="000000"/>
          <w:sz w:val="24"/>
          <w:szCs w:val="24"/>
        </w:rPr>
        <w:t>Boote</w:t>
      </w:r>
      <w:proofErr w:type="spellEnd"/>
      <w:r>
        <w:rPr>
          <w:rFonts w:ascii="Arial" w:hAnsi="Arial" w:cs="Arial"/>
          <w:color w:val="000000"/>
          <w:sz w:val="24"/>
          <w:szCs w:val="24"/>
        </w:rPr>
        <w:t xml:space="preserve">, 1998). </w:t>
      </w:r>
    </w:p>
    <w:p w14:paraId="0DDDD8EF"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En la actualidad se cuenta con coeficientes genéticos para el cultivar de maíz </w:t>
      </w:r>
      <w:r>
        <w:rPr>
          <w:rFonts w:ascii="Arial" w:hAnsi="Arial" w:cs="Arial"/>
          <w:sz w:val="24"/>
          <w:szCs w:val="24"/>
        </w:rPr>
        <w:t>P-7928 el cual muestra un buen ajuste (</w:t>
      </w:r>
      <w:proofErr w:type="spellStart"/>
      <w:r>
        <w:rPr>
          <w:rFonts w:ascii="Arial" w:hAnsi="Arial" w:cs="Arial"/>
          <w:sz w:val="24"/>
          <w:szCs w:val="24"/>
        </w:rPr>
        <w:t>Osmel</w:t>
      </w:r>
      <w:proofErr w:type="spellEnd"/>
      <w:r>
        <w:rPr>
          <w:rFonts w:ascii="Arial" w:hAnsi="Arial" w:cs="Arial"/>
          <w:sz w:val="24"/>
          <w:szCs w:val="24"/>
        </w:rPr>
        <w:t xml:space="preserve"> tesis), aunque en la actualidad no se puede estimar rendimientos con la utilización hongos </w:t>
      </w:r>
      <w:proofErr w:type="spellStart"/>
      <w:r>
        <w:rPr>
          <w:rFonts w:ascii="Arial" w:hAnsi="Arial" w:cs="Arial"/>
          <w:sz w:val="24"/>
          <w:szCs w:val="24"/>
        </w:rPr>
        <w:t>micorrízicos</w:t>
      </w:r>
      <w:proofErr w:type="spellEnd"/>
      <w:r>
        <w:rPr>
          <w:rFonts w:ascii="Arial" w:hAnsi="Arial" w:cs="Arial"/>
          <w:sz w:val="24"/>
          <w:szCs w:val="24"/>
        </w:rPr>
        <w:t xml:space="preserve"> </w:t>
      </w:r>
      <w:proofErr w:type="spellStart"/>
      <w:r>
        <w:rPr>
          <w:rFonts w:ascii="Arial" w:hAnsi="Arial" w:cs="Arial"/>
          <w:sz w:val="24"/>
          <w:szCs w:val="24"/>
        </w:rPr>
        <w:t>arbusculares</w:t>
      </w:r>
      <w:proofErr w:type="spellEnd"/>
      <w:r>
        <w:rPr>
          <w:rFonts w:ascii="Arial" w:hAnsi="Arial" w:cs="Arial"/>
          <w:sz w:val="24"/>
          <w:szCs w:val="24"/>
        </w:rPr>
        <w:t xml:space="preserve"> (HMA).</w:t>
      </w:r>
    </w:p>
    <w:p w14:paraId="12D801EC" w14:textId="77777777" w:rsidR="000630B1" w:rsidRDefault="000630B1" w:rsidP="000630B1">
      <w:pPr>
        <w:spacing w:after="0" w:line="360" w:lineRule="auto"/>
        <w:jc w:val="both"/>
        <w:rPr>
          <w:rFonts w:ascii="Arial" w:hAnsi="Arial" w:cs="Arial"/>
          <w:sz w:val="24"/>
          <w:szCs w:val="24"/>
        </w:rPr>
      </w:pPr>
    </w:p>
    <w:p w14:paraId="03CE7DF3"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 antes expuesto hace que se utilicen como biofertilizantes para aumentar los rendimientos de diferentes cultivos entre los que se encuentra el maíz, por lo que sería de gran utilidad que el modelo permita realizar simulaciones </w:t>
      </w:r>
      <w:r>
        <w:rPr>
          <w:rFonts w:ascii="Arial" w:hAnsi="Arial" w:cs="Arial"/>
          <w:sz w:val="24"/>
          <w:szCs w:val="24"/>
        </w:rPr>
        <w:lastRenderedPageBreak/>
        <w:t xml:space="preserve">incluyendo el  biofertilizante </w:t>
      </w:r>
      <w:proofErr w:type="spellStart"/>
      <w:r>
        <w:rPr>
          <w:rFonts w:ascii="Arial" w:hAnsi="Arial" w:cs="Arial"/>
          <w:sz w:val="24"/>
          <w:szCs w:val="24"/>
        </w:rPr>
        <w:t>EcoMic</w:t>
      </w:r>
      <w:proofErr w:type="spellEnd"/>
      <w:r>
        <w:rPr>
          <w:rFonts w:ascii="Arial" w:hAnsi="Arial" w:cs="Arial"/>
          <w:sz w:val="24"/>
          <w:szCs w:val="24"/>
        </w:rPr>
        <w:t xml:space="preserve">® y más aún en la actualidad que se incrementa el uso de </w:t>
      </w:r>
      <w:proofErr w:type="spellStart"/>
      <w:r>
        <w:rPr>
          <w:rFonts w:ascii="Arial" w:hAnsi="Arial" w:cs="Arial"/>
          <w:sz w:val="24"/>
          <w:szCs w:val="24"/>
        </w:rPr>
        <w:t>bioproductos</w:t>
      </w:r>
      <w:proofErr w:type="spellEnd"/>
      <w:r>
        <w:rPr>
          <w:rFonts w:ascii="Arial" w:hAnsi="Arial" w:cs="Arial"/>
          <w:sz w:val="24"/>
          <w:szCs w:val="24"/>
        </w:rPr>
        <w:t xml:space="preserve"> orgánicos </w:t>
      </w:r>
      <w:r>
        <w:fldChar w:fldCharType="begin"/>
      </w:r>
      <w:r>
        <w:rPr>
          <w:rFonts w:ascii="Arial" w:hAnsi="Arial" w:cs="Arial"/>
          <w:sz w:val="24"/>
          <w:szCs w:val="24"/>
        </w:rPr>
        <w:instrText>ADDIN ZOTERO_ITEM CSL_CITATION {"citationID":"g2eP6NZI","properties":{"formattedCitation":"(Cabrales H et\\uc0\\u160{}al., 2017; Irizar Garza et\\uc0\\u160{}al., 2016)","plainCitation":"(Cabrales H et al., 2017; Irizar Garza et al., 2016)","dontUpdate":true,"noteIndex":0},"citationItems":[{"id":"UJQ2oGUC/UzjQm7Il","uris":["http://zotero.org/users/13364072/items/FI927G63"],"itemData":{"id":50,"type":"article-journal","abstract":"En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Hernández","given":"Danilo"}],"accessed":{"date-parts":[["2024",2,1]]},"issued":{"date-parts":[["2017",7,27]]}}},{"id":"UJQ2oGUC/dmJi69gY","uris":["http://zotero.org/users/13364072/items/5XGTBT3A"],"itemData":{"id":53,"type":"article-journal","title":"Uso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(Cabrales H et al., 2017; Irizar Garza  et al., 2016)</w:t>
      </w:r>
      <w:r>
        <w:rPr>
          <w:rFonts w:ascii="Arial" w:hAnsi="Arial" w:cs="Arial"/>
          <w:sz w:val="24"/>
          <w:szCs w:val="24"/>
        </w:rPr>
        <w:fldChar w:fldCharType="end"/>
      </w:r>
      <w:r>
        <w:rPr>
          <w:rFonts w:ascii="Arial" w:hAnsi="Arial" w:cs="Arial"/>
          <w:sz w:val="24"/>
          <w:szCs w:val="24"/>
        </w:rPr>
        <w:t xml:space="preserve">. </w:t>
      </w:r>
    </w:p>
    <w:p w14:paraId="23C28422" w14:textId="77777777" w:rsidR="000630B1" w:rsidRDefault="000630B1" w:rsidP="000630B1">
      <w:pPr>
        <w:spacing w:after="0" w:line="360" w:lineRule="auto"/>
        <w:jc w:val="both"/>
        <w:rPr>
          <w:rFonts w:ascii="Arial" w:hAnsi="Arial" w:cs="Arial"/>
          <w:sz w:val="24"/>
          <w:szCs w:val="24"/>
        </w:rPr>
      </w:pPr>
    </w:p>
    <w:p w14:paraId="7853D04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 planteado anteriormente hace que surja como problema científico el siguiente:</w:t>
      </w:r>
    </w:p>
    <w:p w14:paraId="426B5D3C"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¿Cómo propiciar un uso racional del biofertilizante </w:t>
      </w:r>
      <w:proofErr w:type="spellStart"/>
      <w:r>
        <w:rPr>
          <w:rFonts w:ascii="Arial" w:hAnsi="Arial" w:cs="Arial"/>
          <w:sz w:val="24"/>
          <w:szCs w:val="24"/>
        </w:rPr>
        <w:t>EcoMic</w:t>
      </w:r>
      <w:proofErr w:type="spellEnd"/>
      <w:r>
        <w:rPr>
          <w:rFonts w:ascii="Arial" w:hAnsi="Arial" w:cs="Arial"/>
          <w:sz w:val="24"/>
          <w:szCs w:val="24"/>
        </w:rPr>
        <w:t>® para el cultivar de maíz P-7928 y obtener rendimientos satisfactorios?</w:t>
      </w:r>
    </w:p>
    <w:p w14:paraId="2BE4AE6D"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rPr>
        <w:t xml:space="preserve">Para dar respuesta al problema científico se trazó como objetivo general: Proponer alternativas de manejo con biofertilizante </w:t>
      </w:r>
      <w:proofErr w:type="spellStart"/>
      <w:r>
        <w:rPr>
          <w:rFonts w:ascii="Arial" w:hAnsi="Arial" w:cs="Arial"/>
          <w:sz w:val="24"/>
          <w:szCs w:val="24"/>
        </w:rPr>
        <w:t>EcoMic</w:t>
      </w:r>
      <w:proofErr w:type="spellEnd"/>
      <w:r>
        <w:rPr>
          <w:rFonts w:ascii="Arial" w:hAnsi="Arial" w:cs="Arial"/>
          <w:sz w:val="24"/>
          <w:szCs w:val="24"/>
        </w:rPr>
        <w:t>® para el cultivar de maíz P-7928 que propicien rendimientos satisfactorios utilizando el modelo DSSAT</w:t>
      </w:r>
    </w:p>
    <w:p w14:paraId="7F044716"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lang w:val="es-US"/>
        </w:rPr>
        <w:t>Hipótesis</w:t>
      </w:r>
    </w:p>
    <w:p w14:paraId="62281FBC"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rPr>
        <w:lastRenderedPageBreak/>
        <w:t xml:space="preserve">La utilización de alternativas de manejo para el cultivar de maíz P-7928 basada en la aplicación de </w:t>
      </w:r>
      <w:proofErr w:type="spellStart"/>
      <w:r>
        <w:rPr>
          <w:rFonts w:ascii="Arial" w:hAnsi="Arial" w:cs="Arial"/>
          <w:sz w:val="24"/>
          <w:szCs w:val="24"/>
        </w:rPr>
        <w:t>Ecomic</w:t>
      </w:r>
      <w:proofErr w:type="spellEnd"/>
      <w:r>
        <w:rPr>
          <w:rFonts w:ascii="Arial" w:hAnsi="Arial" w:cs="Arial"/>
          <w:sz w:val="24"/>
          <w:szCs w:val="24"/>
        </w:rPr>
        <w:t>® permiten un uso racional de la fertilización con rendimientos satisfactorios.</w:t>
      </w:r>
    </w:p>
    <w:p w14:paraId="38565C2B" w14:textId="77777777" w:rsidR="000630B1" w:rsidRDefault="000630B1" w:rsidP="000630B1">
      <w:pPr>
        <w:spacing w:after="0" w:line="360" w:lineRule="auto"/>
        <w:jc w:val="both"/>
        <w:rPr>
          <w:rFonts w:ascii="Arial" w:hAnsi="Arial" w:cs="Arial"/>
          <w:sz w:val="24"/>
          <w:szCs w:val="24"/>
          <w:lang w:val="es-US"/>
        </w:rPr>
      </w:pPr>
    </w:p>
    <w:p w14:paraId="641AB489" w14:textId="77777777" w:rsidR="000630B1" w:rsidRDefault="000630B1" w:rsidP="000630B1">
      <w:pPr>
        <w:spacing w:after="0" w:line="360" w:lineRule="auto"/>
        <w:jc w:val="both"/>
        <w:rPr>
          <w:rFonts w:ascii="Arial" w:hAnsi="Arial" w:cs="Arial"/>
          <w:sz w:val="24"/>
          <w:szCs w:val="24"/>
          <w:lang w:val="es-US"/>
        </w:rPr>
      </w:pPr>
    </w:p>
    <w:p w14:paraId="6F8CE095" w14:textId="77777777" w:rsidR="000630B1" w:rsidRDefault="000630B1" w:rsidP="000630B1">
      <w:pPr>
        <w:spacing w:after="0" w:line="360" w:lineRule="auto"/>
        <w:jc w:val="both"/>
        <w:rPr>
          <w:rFonts w:ascii="Arial" w:hAnsi="Arial" w:cs="Arial"/>
          <w:b/>
          <w:bCs/>
          <w:sz w:val="24"/>
          <w:szCs w:val="24"/>
        </w:rPr>
      </w:pPr>
      <w:r>
        <w:rPr>
          <w:rFonts w:ascii="Arial" w:hAnsi="Arial" w:cs="Arial"/>
          <w:sz w:val="24"/>
          <w:szCs w:val="24"/>
        </w:rPr>
        <w:t xml:space="preserve">Se proponen como </w:t>
      </w:r>
      <w:r>
        <w:rPr>
          <w:rFonts w:ascii="Arial" w:hAnsi="Arial" w:cs="Arial"/>
          <w:b/>
          <w:bCs/>
          <w:sz w:val="24"/>
          <w:szCs w:val="24"/>
        </w:rPr>
        <w:t>Objetivos específicos:</w:t>
      </w:r>
    </w:p>
    <w:p w14:paraId="0A9094CA" w14:textId="77777777" w:rsidR="000630B1" w:rsidRDefault="000630B1" w:rsidP="000630B1">
      <w:pPr>
        <w:spacing w:after="0" w:line="360" w:lineRule="auto"/>
        <w:jc w:val="both"/>
        <w:rPr>
          <w:rFonts w:ascii="Arial" w:hAnsi="Arial" w:cs="Arial"/>
          <w:sz w:val="24"/>
          <w:szCs w:val="24"/>
        </w:rPr>
      </w:pPr>
    </w:p>
    <w:p w14:paraId="67A8C925"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 xml:space="preserve">Evaluar el comportamiento del </w:t>
      </w:r>
      <w:commentRangeStart w:id="1"/>
      <w:r>
        <w:rPr>
          <w:rFonts w:ascii="Arial" w:hAnsi="Arial" w:cs="Arial"/>
          <w:sz w:val="24"/>
          <w:szCs w:val="24"/>
        </w:rPr>
        <w:t>cultivar</w:t>
      </w:r>
      <w:commentRangeEnd w:id="1"/>
      <w:r>
        <w:commentReference w:id="1"/>
      </w:r>
      <w:r>
        <w:rPr>
          <w:rFonts w:ascii="Arial" w:hAnsi="Arial" w:cs="Arial"/>
          <w:sz w:val="24"/>
          <w:szCs w:val="24"/>
        </w:rPr>
        <w:t xml:space="preserve"> P-7928 utilizando el modelo DSSAT con y sin </w:t>
      </w:r>
      <w:proofErr w:type="spellStart"/>
      <w:r>
        <w:rPr>
          <w:rFonts w:ascii="Arial" w:hAnsi="Arial" w:cs="Arial"/>
          <w:sz w:val="24"/>
          <w:szCs w:val="24"/>
        </w:rPr>
        <w:t>EcoMic</w:t>
      </w:r>
      <w:proofErr w:type="spellEnd"/>
      <w:r>
        <w:rPr>
          <w:rFonts w:ascii="Arial" w:hAnsi="Arial" w:cs="Arial"/>
          <w:sz w:val="24"/>
          <w:szCs w:val="24"/>
        </w:rPr>
        <w:t xml:space="preserve">®  </w:t>
      </w:r>
    </w:p>
    <w:p w14:paraId="51398062"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 xml:space="preserve">Determinar la variabilidad del rendimiento cultivar P-7928 simulado en el modelo DSSAT y con la aplicación de </w:t>
      </w:r>
      <w:proofErr w:type="spellStart"/>
      <w:r>
        <w:rPr>
          <w:rFonts w:ascii="Arial" w:hAnsi="Arial" w:cs="Arial"/>
          <w:sz w:val="24"/>
          <w:szCs w:val="24"/>
        </w:rPr>
        <w:t>EcoMic</w:t>
      </w:r>
      <w:proofErr w:type="spellEnd"/>
      <w:r>
        <w:rPr>
          <w:rFonts w:ascii="Arial" w:hAnsi="Arial" w:cs="Arial"/>
          <w:sz w:val="24"/>
          <w:szCs w:val="24"/>
        </w:rPr>
        <w:t>®.</w:t>
      </w:r>
    </w:p>
    <w:p w14:paraId="25FF17AE"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 xml:space="preserve">Proponer alternativas de manejo más adecuada para el cultivar de maíz P-7928 utilizando </w:t>
      </w:r>
      <w:proofErr w:type="spellStart"/>
      <w:r>
        <w:rPr>
          <w:rFonts w:ascii="Arial" w:hAnsi="Arial" w:cs="Arial"/>
          <w:sz w:val="24"/>
          <w:szCs w:val="24"/>
        </w:rPr>
        <w:t>EcoMic</w:t>
      </w:r>
      <w:proofErr w:type="spellEnd"/>
      <w:r>
        <w:rPr>
          <w:rFonts w:ascii="Arial" w:hAnsi="Arial" w:cs="Arial"/>
          <w:sz w:val="24"/>
          <w:szCs w:val="24"/>
        </w:rPr>
        <w:t>®.</w:t>
      </w:r>
    </w:p>
    <w:p w14:paraId="463C2D27" w14:textId="77777777" w:rsidR="000630B1" w:rsidRDefault="000630B1" w:rsidP="000630B1">
      <w:pPr>
        <w:pStyle w:val="Prrafodelista"/>
        <w:spacing w:after="0" w:line="360" w:lineRule="auto"/>
        <w:jc w:val="both"/>
        <w:rPr>
          <w:rFonts w:ascii="Arial" w:hAnsi="Arial" w:cs="Arial"/>
          <w:sz w:val="24"/>
          <w:szCs w:val="24"/>
          <w:lang w:val="es-US"/>
        </w:rPr>
      </w:pPr>
    </w:p>
    <w:p w14:paraId="0D9CFAD3" w14:textId="77777777" w:rsidR="000630B1" w:rsidRDefault="000630B1" w:rsidP="000630B1">
      <w:pPr>
        <w:spacing w:after="0" w:line="360" w:lineRule="auto"/>
        <w:jc w:val="both"/>
        <w:rPr>
          <w:rFonts w:ascii="Arial" w:hAnsi="Arial" w:cs="Arial"/>
          <w:color w:val="000000" w:themeColor="text1"/>
          <w:sz w:val="24"/>
          <w:szCs w:val="24"/>
        </w:rPr>
      </w:pPr>
    </w:p>
    <w:p w14:paraId="5A4F3955" w14:textId="77777777" w:rsidR="000630B1" w:rsidRDefault="000630B1" w:rsidP="000630B1">
      <w:pPr>
        <w:spacing w:after="0" w:line="360" w:lineRule="auto"/>
        <w:jc w:val="both"/>
        <w:rPr>
          <w:rFonts w:ascii="Arial" w:hAnsi="Arial" w:cs="Arial"/>
          <w:sz w:val="24"/>
          <w:szCs w:val="24"/>
          <w:lang w:val="es-ES_tradnl"/>
        </w:rPr>
      </w:pPr>
      <w:r>
        <w:rPr>
          <w:rFonts w:ascii="Arial" w:hAnsi="Arial" w:cs="Arial"/>
          <w:b/>
          <w:sz w:val="24"/>
          <w:szCs w:val="24"/>
          <w:lang w:val="es-ES_tradnl"/>
        </w:rPr>
        <w:t>Proyecto Asociado:</w:t>
      </w:r>
      <w:r>
        <w:rPr>
          <w:rFonts w:ascii="Arial" w:hAnsi="Arial" w:cs="Arial"/>
          <w:sz w:val="24"/>
          <w:szCs w:val="24"/>
          <w:lang w:val="es-ES_tradnl"/>
        </w:rPr>
        <w:t xml:space="preserve"> Utilización de la modelación como herramienta para predecir el comportamiento de los cultivos de </w:t>
      </w:r>
      <w:r>
        <w:rPr>
          <w:rStyle w:val="object"/>
          <w:rFonts w:ascii="Arial" w:hAnsi="Arial" w:cs="Arial"/>
          <w:sz w:val="24"/>
          <w:szCs w:val="24"/>
          <w:lang w:val="es-ES_tradnl"/>
        </w:rPr>
        <w:t>ma</w:t>
      </w:r>
      <w:r>
        <w:rPr>
          <w:rFonts w:ascii="Arial" w:hAnsi="Arial" w:cs="Arial"/>
          <w:sz w:val="24"/>
          <w:szCs w:val="24"/>
          <w:lang w:val="es-ES_tradnl"/>
        </w:rPr>
        <w:t>íz y sorgo ante los cambios climáticos y trazar estrategias para la adaptación.</w:t>
      </w:r>
    </w:p>
    <w:p w14:paraId="2C575310" w14:textId="77777777" w:rsidR="000630B1" w:rsidRDefault="000630B1" w:rsidP="000630B1">
      <w:pPr>
        <w:spacing w:after="0" w:line="360" w:lineRule="auto"/>
        <w:jc w:val="both"/>
        <w:rPr>
          <w:rFonts w:ascii="Arial" w:hAnsi="Arial" w:cs="Arial"/>
          <w:sz w:val="24"/>
          <w:szCs w:val="24"/>
          <w:lang w:val="es-ES_tradnl"/>
        </w:rPr>
      </w:pPr>
      <w:r>
        <w:rPr>
          <w:rFonts w:ascii="Arial" w:hAnsi="Arial" w:cs="Arial"/>
          <w:sz w:val="24"/>
          <w:szCs w:val="24"/>
          <w:lang w:val="es-ES_tradnl"/>
        </w:rPr>
        <w:t>Proyecto de Lucy</w:t>
      </w:r>
    </w:p>
    <w:p w14:paraId="2D1A56D8" w14:textId="77777777" w:rsidR="000630B1" w:rsidRDefault="000630B1" w:rsidP="000630B1">
      <w:pPr>
        <w:pStyle w:val="Ttulo1"/>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CAPÍTULO I. REVISIÓN BIBLIOGRÁFICA</w:t>
      </w:r>
    </w:p>
    <w:p w14:paraId="668261A0"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E82A11"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cultivo del maíz</w:t>
      </w:r>
    </w:p>
    <w:p w14:paraId="0FA29A15" w14:textId="77777777" w:rsidR="000630B1" w:rsidRDefault="000630B1" w:rsidP="000630B1">
      <w:pPr>
        <w:spacing w:after="0" w:line="480" w:lineRule="auto"/>
        <w:jc w:val="both"/>
        <w:rPr>
          <w:rFonts w:ascii="Arial" w:hAnsi="Arial" w:cs="Arial"/>
          <w:sz w:val="24"/>
          <w:szCs w:val="24"/>
        </w:rPr>
      </w:pPr>
    </w:p>
    <w:p w14:paraId="6BFDCB2D"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El maíz (Zea </w:t>
      </w:r>
      <w:proofErr w:type="spellStart"/>
      <w:r>
        <w:rPr>
          <w:rFonts w:ascii="Arial" w:hAnsi="Arial" w:cs="Arial"/>
          <w:sz w:val="24"/>
          <w:szCs w:val="24"/>
        </w:rPr>
        <w:t>mays</w:t>
      </w:r>
      <w:proofErr w:type="spellEnd"/>
      <w:r>
        <w:rPr>
          <w:rFonts w:ascii="Arial" w:hAnsi="Arial" w:cs="Arial"/>
          <w:sz w:val="24"/>
          <w:szCs w:val="24"/>
        </w:rPr>
        <w:t xml:space="preserve"> L.) es un cereal con alto potencial para la producción de carbohidratos por unidad de superficie </w:t>
      </w:r>
      <w:r>
        <w:rPr>
          <w:rFonts w:ascii="Arial" w:hAnsi="Arial" w:cs="Arial"/>
          <w:sz w:val="24"/>
          <w:szCs w:val="24"/>
        </w:rPr>
        <w:lastRenderedPageBreak/>
        <w:t>por día, es el que posee mayor rendimiento de granos por hectáreas y después del trigo es de mayor producción total, actualmente se produce en 125 países y se encuentra entre los tres cultivos más sembrados en 75 de dichos países. (</w:t>
      </w:r>
      <w:hyperlink r:id="rId9">
        <w:r>
          <w:rPr>
            <w:rStyle w:val="Hipervnculo"/>
            <w:rFonts w:ascii="Arial" w:hAnsi="Arial" w:cs="Arial"/>
            <w:sz w:val="24"/>
            <w:szCs w:val="24"/>
          </w:rPr>
          <w:t>https://ri.conicet.gov.ar/handle/11336/162758</w:t>
        </w:r>
      </w:hyperlink>
      <w:r>
        <w:rPr>
          <w:rFonts w:ascii="Arial" w:hAnsi="Arial" w:cs="Arial"/>
          <w:sz w:val="24"/>
          <w:szCs w:val="24"/>
        </w:rPr>
        <w:t xml:space="preserve">) </w:t>
      </w:r>
      <w:r>
        <w:fldChar w:fldCharType="begin"/>
      </w:r>
      <w:r>
        <w:rPr>
          <w:rFonts w:ascii="Arial" w:hAnsi="Arial" w:cs="Arial"/>
          <w:sz w:val="24"/>
          <w:szCs w:val="24"/>
        </w:rPr>
        <w:instrText>ADDIN ZOTERO_ITEM CSL_CITATION {"citationID":"EtMm0YAo","properties":{"formattedCitation":"(FAOSTAT,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ascii="Arial" w:hAnsi="Arial" w:cs="Arial"/>
          <w:sz w:val="24"/>
          <w:szCs w:val="24"/>
        </w:rPr>
        <w:fldChar w:fldCharType="separate"/>
      </w:r>
      <w:r>
        <w:rPr>
          <w:rFonts w:ascii="Arial" w:hAnsi="Arial" w:cs="Arial"/>
          <w:sz w:val="24"/>
          <w:szCs w:val="24"/>
        </w:rPr>
        <w:t>(FAOSTAT, 2020)</w:t>
      </w:r>
      <w:r>
        <w:rPr>
          <w:rFonts w:ascii="Arial" w:hAnsi="Arial" w:cs="Arial"/>
          <w:sz w:val="24"/>
          <w:szCs w:val="24"/>
        </w:rPr>
        <w:fldChar w:fldCharType="end"/>
      </w:r>
      <w:r>
        <w:rPr>
          <w:rFonts w:ascii="Arial" w:hAnsi="Arial" w:cs="Arial"/>
          <w:sz w:val="24"/>
          <w:szCs w:val="24"/>
        </w:rPr>
        <w:t xml:space="preserve">. </w:t>
      </w:r>
    </w:p>
    <w:p w14:paraId="02687C5B" w14:textId="77777777" w:rsidR="000630B1" w:rsidRDefault="000630B1" w:rsidP="000630B1">
      <w:pPr>
        <w:spacing w:after="0" w:line="480" w:lineRule="auto"/>
        <w:jc w:val="both"/>
        <w:rPr>
          <w:rFonts w:ascii="Arial" w:hAnsi="Arial" w:cs="Arial"/>
          <w:sz w:val="24"/>
          <w:szCs w:val="24"/>
        </w:rPr>
      </w:pPr>
      <w:r>
        <w:rPr>
          <w:rFonts w:ascii="Calibri" w:hAnsi="Calibri" w:cs="Calibri"/>
        </w:rPr>
        <w:t>Este cultivo es considerado de gran importancia económica a nivel mundial ya sea como alimento humano, por ser uno de los granos alimenticios más antiguos que se conocen, como alimento para el ganado o como materia prima de un gran número de productos industriales como</w:t>
      </w:r>
      <w:r>
        <w:rPr>
          <w:rFonts w:ascii="Arial" w:hAnsi="Arial" w:cs="Arial"/>
          <w:sz w:val="24"/>
          <w:szCs w:val="24"/>
        </w:rPr>
        <w:t xml:space="preserve"> medicamentos, cosméticos o sopas</w:t>
      </w:r>
      <w:r>
        <w:rPr>
          <w:rFonts w:ascii="Calibri" w:hAnsi="Calibri" w:cs="Calibri"/>
        </w:rPr>
        <w:t xml:space="preserve">. </w:t>
      </w:r>
      <w:r>
        <w:rPr>
          <w:rFonts w:ascii="Arial" w:hAnsi="Arial" w:cs="Arial"/>
          <w:sz w:val="24"/>
          <w:szCs w:val="24"/>
        </w:rPr>
        <w:lastRenderedPageBreak/>
        <w:t>(</w:t>
      </w:r>
      <w:hyperlink r:id="rId10">
        <w:r>
          <w:rPr>
            <w:rStyle w:val="Hipervnculo"/>
            <w:rFonts w:ascii="Arial" w:hAnsi="Arial" w:cs="Arial"/>
            <w:sz w:val="24"/>
            <w:szCs w:val="24"/>
          </w:rPr>
          <w:t>https://ri.conicet.gov.ar/handle/11336/162758</w:t>
        </w:r>
      </w:hyperlink>
      <w:r>
        <w:rPr>
          <w:rFonts w:ascii="Arial" w:hAnsi="Arial" w:cs="Arial"/>
          <w:sz w:val="24"/>
          <w:szCs w:val="24"/>
        </w:rPr>
        <w:t>)(</w:t>
      </w:r>
      <w:r>
        <w:fldChar w:fldCharType="begin"/>
      </w:r>
      <w:r>
        <w:rPr>
          <w:rFonts w:ascii="Arial" w:hAnsi="Arial" w:cs="Arial"/>
          <w:sz w:val="24"/>
          <w:szCs w:val="24"/>
        </w:rPr>
        <w:instrText>ADDIN ZOTERO_ITEM CSL_CITATION {"citationID":"99zw0Vd0","properties":{"formattedCitation":"(Ayala &amp; Dabdab, 2020)","plainCitation":"(Ayala &amp; Dabdab, 2020)","dontUpdate":true,"noteIndex":0},"citationItems":[{"id":"UJQ2oGUC/tGQIi9Co","uris":["http://zotero.org/users/local/NeejuBUy/items/8J5IFK58"],"itemData":{"id":169,"type":"article-journal","container-title":"Trabajo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Ayala y Dabdab (2020)</w:t>
      </w:r>
      <w:r>
        <w:rPr>
          <w:rFonts w:ascii="Arial" w:hAnsi="Arial" w:cs="Arial"/>
          <w:sz w:val="24"/>
          <w:szCs w:val="24"/>
        </w:rPr>
        <w:fldChar w:fldCharType="end"/>
      </w:r>
    </w:p>
    <w:p w14:paraId="7D775E09"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Pr>
          <w:rFonts w:ascii="Arial" w:hAnsi="Arial" w:cs="Arial"/>
          <w:sz w:val="24"/>
          <w:szCs w:val="24"/>
        </w:rPr>
        <w:instrText>ADDIN ZOTERO_ITEM CSL_CITATION {"citationID":"e8JCrg8g","properties":{"formattedCitation":"(FAOSTAT,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(FAOSTAT, 2020)</w:t>
      </w:r>
      <w:r>
        <w:rPr>
          <w:rFonts w:ascii="Arial" w:hAnsi="Arial" w:cs="Arial"/>
          <w:sz w:val="24"/>
          <w:szCs w:val="24"/>
        </w:rPr>
        <w:fldChar w:fldCharType="end"/>
      </w:r>
      <w:r>
        <w:rPr>
          <w:rFonts w:ascii="Arial" w:hAnsi="Arial" w:cs="Arial"/>
          <w:sz w:val="24"/>
          <w:szCs w:val="24"/>
        </w:rPr>
        <w:t xml:space="preserve">. </w:t>
      </w:r>
    </w:p>
    <w:p w14:paraId="675F7B34" w14:textId="77777777" w:rsidR="000630B1" w:rsidRDefault="000630B1" w:rsidP="000630B1">
      <w:pPr>
        <w:pStyle w:val="Ttulo3"/>
        <w:spacing w:before="0" w:line="480" w:lineRule="auto"/>
        <w:rPr>
          <w:rFonts w:cs="Arial"/>
          <w:b/>
          <w:color w:val="000000" w:themeColor="text1"/>
        </w:rPr>
      </w:pPr>
      <w:bookmarkStart w:id="2" w:name="_Toc148350394"/>
      <w:bookmarkStart w:id="3" w:name="_Toc138712724"/>
      <w:r>
        <w:rPr>
          <w:rFonts w:cs="Arial"/>
          <w:color w:val="000000" w:themeColor="text1"/>
        </w:rPr>
        <w:t>1.5.2 El cultivo del maíz en Cuba</w:t>
      </w:r>
      <w:bookmarkEnd w:id="2"/>
      <w:bookmarkEnd w:id="3"/>
      <w:r>
        <w:rPr>
          <w:rFonts w:cs="Arial"/>
          <w:color w:val="000000" w:themeColor="text1"/>
        </w:rPr>
        <w:t xml:space="preserve"> </w:t>
      </w:r>
    </w:p>
    <w:p w14:paraId="55065514"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En el año 2021, en Cuba se cosecharon 126 035 ha, de ellas, al sector estatal correspondieron 23 278 ha y al sector campesino 102 757 ha; con una producción de 238 </w:t>
      </w:r>
      <w:r>
        <w:rPr>
          <w:rFonts w:ascii="Arial" w:hAnsi="Arial" w:cs="Arial"/>
          <w:sz w:val="24"/>
          <w:szCs w:val="24"/>
        </w:rPr>
        <w:lastRenderedPageBreak/>
        <w:t>721 toneladas (38 872 t en el sector estatal y 199 848 t en el campesino). El rendimiento del maíz fue de 1,89 t ha</w:t>
      </w:r>
      <w:r>
        <w:rPr>
          <w:rFonts w:ascii="Arial" w:hAnsi="Arial" w:cs="Arial"/>
          <w:sz w:val="24"/>
          <w:szCs w:val="24"/>
          <w:vertAlign w:val="superscript"/>
        </w:rPr>
        <w:t>-1</w:t>
      </w:r>
      <w:r>
        <w:rPr>
          <w:rFonts w:ascii="Arial" w:hAnsi="Arial" w:cs="Arial"/>
          <w:sz w:val="24"/>
          <w:szCs w:val="24"/>
        </w:rPr>
        <w:t xml:space="preserve"> (1,67 t ha</w:t>
      </w:r>
      <w:r>
        <w:rPr>
          <w:rFonts w:ascii="Arial" w:hAnsi="Arial" w:cs="Arial"/>
          <w:sz w:val="24"/>
          <w:szCs w:val="24"/>
          <w:vertAlign w:val="superscript"/>
        </w:rPr>
        <w:t>-1</w:t>
      </w:r>
      <w:r>
        <w:rPr>
          <w:rFonts w:ascii="Arial" w:hAnsi="Arial" w:cs="Arial"/>
          <w:sz w:val="24"/>
          <w:szCs w:val="24"/>
        </w:rPr>
        <w:t xml:space="preserve"> en el sector estatal y 1,94 t ha</w:t>
      </w:r>
      <w:r>
        <w:rPr>
          <w:rFonts w:ascii="Arial" w:hAnsi="Arial" w:cs="Arial"/>
          <w:sz w:val="24"/>
          <w:szCs w:val="24"/>
          <w:vertAlign w:val="superscript"/>
        </w:rPr>
        <w:t>-1</w:t>
      </w:r>
      <w:r>
        <w:rPr>
          <w:rFonts w:ascii="Arial" w:hAnsi="Arial" w:cs="Arial"/>
          <w:sz w:val="24"/>
          <w:szCs w:val="24"/>
        </w:rPr>
        <w:t xml:space="preserve"> en el campesino) </w:t>
      </w:r>
      <w:r>
        <w:fldChar w:fldCharType="begin"/>
      </w:r>
      <w:r>
        <w:rPr>
          <w:rFonts w:ascii="Arial" w:hAnsi="Arial" w:cs="Arial"/>
          <w:sz w:val="24"/>
          <w:szCs w:val="24"/>
        </w:rPr>
        <w:instrText>ADDIN ZOTERO_ITEM CSL_CITATION {"citationID":"kg3PM3bh","properties":{"formattedCitation":"(ONEI, 2022)","plainCitation":"(ONEI, 2022)","noteIndex":0},"citationItems":[{"id":"UJQ2oGUC/LGVZV1vX","uris":["http://zotero.org/users/local/NeejuBUy/items/YNYPXUBJ"],"itemData":{"id":243,"type":"book","title":"Anuario estadístico de Cuba, 2020","author":[{"family":"ONEI","given":""}],"issued":{"date-parts":[["2022"]]}}}],"schema":"https://github.com/citation-style-language/schema/raw/master/csl-citation.json"}</w:instrText>
      </w:r>
      <w:r>
        <w:rPr>
          <w:rFonts w:ascii="Arial" w:hAnsi="Arial" w:cs="Arial"/>
          <w:sz w:val="24"/>
          <w:szCs w:val="24"/>
        </w:rPr>
        <w:fldChar w:fldCharType="separate"/>
      </w:r>
      <w:r>
        <w:rPr>
          <w:rFonts w:ascii="Arial" w:hAnsi="Arial" w:cs="Arial"/>
          <w:sz w:val="24"/>
        </w:rPr>
        <w:t>(ONEI, 2022)</w:t>
      </w:r>
      <w:r>
        <w:rPr>
          <w:rFonts w:ascii="Arial" w:hAnsi="Arial" w:cs="Arial"/>
          <w:sz w:val="24"/>
          <w:szCs w:val="24"/>
        </w:rPr>
        <w:fldChar w:fldCharType="end"/>
      </w:r>
      <w:r>
        <w:rPr>
          <w:rFonts w:ascii="Arial" w:hAnsi="Arial" w:cs="Arial"/>
          <w:sz w:val="24"/>
          <w:szCs w:val="24"/>
        </w:rPr>
        <w:t xml:space="preserve">. </w:t>
      </w:r>
    </w:p>
    <w:p w14:paraId="6EFABC46"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 </w:t>
      </w:r>
      <w:r>
        <w:fldChar w:fldCharType="begin"/>
      </w:r>
      <w:r>
        <w:rPr>
          <w:rFonts w:ascii="Arial" w:hAnsi="Arial" w:cs="Arial"/>
          <w:sz w:val="24"/>
          <w:szCs w:val="24"/>
        </w:rPr>
        <w:instrText>ADDIN ZOTERO_ITEM CSL_CITATION {"citationID":"elCAzOP7","properties":{"formattedCitation":"(IIG,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(IIG, 2020)</w:t>
      </w:r>
      <w:r>
        <w:rPr>
          <w:rFonts w:ascii="Arial" w:hAnsi="Arial" w:cs="Arial"/>
          <w:sz w:val="24"/>
          <w:szCs w:val="24"/>
        </w:rPr>
        <w:fldChar w:fldCharType="end"/>
      </w:r>
      <w:r>
        <w:rPr>
          <w:rFonts w:ascii="Arial" w:hAnsi="Arial" w:cs="Arial"/>
          <w:sz w:val="24"/>
          <w:szCs w:val="24"/>
        </w:rPr>
        <w:t xml:space="preserve">.  </w:t>
      </w:r>
    </w:p>
    <w:p w14:paraId="2415CBBB" w14:textId="77777777" w:rsidR="000630B1" w:rsidRDefault="000630B1" w:rsidP="000630B1">
      <w:pPr>
        <w:pStyle w:val="Ttulo2"/>
      </w:pPr>
      <w:r>
        <w:lastRenderedPageBreak/>
        <w:t xml:space="preserve">Cultivares comerciales del maíz </w:t>
      </w:r>
    </w:p>
    <w:p w14:paraId="733599F9"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Pr>
          <w:rFonts w:ascii="Arial" w:hAnsi="Arial" w:cs="Arial"/>
          <w:sz w:val="24"/>
          <w:szCs w:val="24"/>
        </w:rPr>
        <w:instrText>ADDIN ZOTERO_ITEM CSL_CITATION {"citationID":"K6nGduyL","properties":{"formattedCitation":"(Acosta et\\uc0\\u160{}al., 2013)","plainCitation":"(Acosta et al., 2013)","noteIndex":0},"citationItems":[{"id":"UJQ2oGUC/9o6vx41y","uris":["http://zotero.org/users/local/NeejuBUy/items/2RY8P4CR"],"itemData":{"id":161,"type":"article-journal","abstract":"The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(Acosta </w:t>
      </w:r>
      <w:r>
        <w:rPr>
          <w:rFonts w:ascii="Arial" w:hAnsi="Arial" w:cs="Arial"/>
          <w:i/>
          <w:sz w:val="24"/>
          <w:szCs w:val="24"/>
        </w:rPr>
        <w:t>et al</w:t>
      </w:r>
      <w:r>
        <w:rPr>
          <w:rFonts w:ascii="Arial" w:hAnsi="Arial" w:cs="Arial"/>
          <w:sz w:val="24"/>
          <w:szCs w:val="24"/>
        </w:rPr>
        <w:t>., 2013)</w:t>
      </w:r>
      <w:r>
        <w:rPr>
          <w:rFonts w:ascii="Arial" w:hAnsi="Arial" w:cs="Arial"/>
          <w:sz w:val="24"/>
          <w:szCs w:val="24"/>
        </w:rPr>
        <w:fldChar w:fldCharType="end"/>
      </w:r>
      <w:r>
        <w:rPr>
          <w:rFonts w:ascii="Arial" w:hAnsi="Arial" w:cs="Arial"/>
          <w:sz w:val="24"/>
          <w:szCs w:val="24"/>
        </w:rPr>
        <w:t xml:space="preserve">. Esta diversidad ha sido ampliamente utilizada por el hombre, ya sea de forma empírica, como las que llevan a cabo los productores desde el proceso de domesticación hasta la actualidad. </w:t>
      </w:r>
    </w:p>
    <w:p w14:paraId="6A60EBE0"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lastRenderedPageBreak/>
        <w:t xml:space="preserve">En Cuba, se señala la existencia de siete razas de maíz, que se diferencian y clasifican principalmente por los caracteres de la mazorca: Maíz Criollo, Tusón, Argentino, Canilla, White Pop, </w:t>
      </w:r>
      <w:proofErr w:type="spellStart"/>
      <w:r>
        <w:rPr>
          <w:rFonts w:ascii="Arial" w:hAnsi="Arial" w:cs="Arial"/>
          <w:sz w:val="24"/>
          <w:szCs w:val="24"/>
        </w:rPr>
        <w:t>Yellow</w:t>
      </w:r>
      <w:proofErr w:type="spellEnd"/>
      <w:r>
        <w:rPr>
          <w:rFonts w:ascii="Arial" w:hAnsi="Arial" w:cs="Arial"/>
          <w:sz w:val="24"/>
          <w:szCs w:val="24"/>
        </w:rPr>
        <w:t xml:space="preserve"> Pop y White </w:t>
      </w:r>
      <w:proofErr w:type="spellStart"/>
      <w:r>
        <w:rPr>
          <w:rFonts w:ascii="Arial" w:hAnsi="Arial" w:cs="Arial"/>
          <w:sz w:val="24"/>
          <w:szCs w:val="24"/>
        </w:rPr>
        <w:t>Dent</w:t>
      </w:r>
      <w:proofErr w:type="spellEnd"/>
      <w:r>
        <w:rPr>
          <w:rFonts w:ascii="Arial" w:hAnsi="Arial" w:cs="Arial"/>
          <w:sz w:val="24"/>
          <w:szCs w:val="24"/>
        </w:rPr>
        <w:t xml:space="preserve"> </w:t>
      </w:r>
      <w:r>
        <w:fldChar w:fldCharType="begin"/>
      </w:r>
      <w:r>
        <w:rPr>
          <w:rFonts w:ascii="Arial" w:hAnsi="Arial" w:cs="Arial"/>
          <w:sz w:val="24"/>
          <w:szCs w:val="24"/>
        </w:rPr>
        <w:instrText>ADDIN ZOTERO_ITEM CSL_CITATION {"citationID":"JI4lYRJ3","properties":{"formattedCitation":"(Mart\\uc0\\u237{}nez et\\uc0\\u160{}al., 2011)","plainCitation":"(Martínez et al., 2011)","noteIndex":0},"citationItems":[{"id":"UJQ2oGUC/7VbYDUjN","uris":["http://zotero.org/users/local/NeejuBUy/items/T3VX4RZE"],"itemData":{"id":109,"type":"article-journal","abstract":"In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w:instrText>
      </w:r>
      <w:r>
        <w:rPr>
          <w:rFonts w:ascii="Arial" w:hAnsi="Arial" w:cs="Arial"/>
          <w:sz w:val="24"/>
          <w:szCs w:val="24"/>
        </w:rPr>
        <w:fldChar w:fldCharType="separate"/>
      </w:r>
      <w:r>
        <w:rPr>
          <w:rFonts w:ascii="Arial" w:hAnsi="Arial" w:cs="Arial"/>
          <w:sz w:val="24"/>
          <w:szCs w:val="24"/>
        </w:rPr>
        <w:t>(Martínez et al., 2011)</w:t>
      </w:r>
      <w:r>
        <w:rPr>
          <w:rFonts w:ascii="Arial" w:hAnsi="Arial" w:cs="Arial"/>
          <w:sz w:val="24"/>
          <w:szCs w:val="24"/>
        </w:rPr>
        <w:fldChar w:fldCharType="end"/>
      </w:r>
      <w:r>
        <w:rPr>
          <w:rFonts w:ascii="Arial" w:hAnsi="Arial" w:cs="Arial"/>
          <w:sz w:val="24"/>
          <w:szCs w:val="24"/>
        </w:rPr>
        <w:t>.</w:t>
      </w:r>
    </w:p>
    <w:p w14:paraId="2345EB7C"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Dentro de los principales cultivares comerciales de maíz se encuentran: Francisco Mejorado, VST- 6, P-7928, Tusón, FR-28, INIVIT-4, Rosita, entre otras </w:t>
      </w:r>
      <w:r>
        <w:fldChar w:fldCharType="begin"/>
      </w:r>
      <w:r>
        <w:rPr>
          <w:rFonts w:ascii="Arial" w:hAnsi="Arial" w:cs="Arial"/>
          <w:sz w:val="24"/>
          <w:szCs w:val="24"/>
        </w:rPr>
        <w:instrText>ADDIN ZOTERO_ITEM CSL_CITATION {"citationID":"NyaSNH4u","properties":{"formattedCitation":"(MINAG, 2015)","plainCitation":"(MINAG, 2015)","noteIndex":0},"citationItems":[{"id":"UJQ2oGUC/khkaXII1","uris":["http://zotero.org/users/local/NeejuBUy/items/L2BL7CI2"],"itemData":{"id":236,"type":"book","event-place":"La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w:instrText>
      </w:r>
      <w:r>
        <w:rPr>
          <w:rFonts w:ascii="Arial" w:hAnsi="Arial" w:cs="Arial"/>
          <w:sz w:val="24"/>
          <w:szCs w:val="24"/>
        </w:rPr>
        <w:fldChar w:fldCharType="separate"/>
      </w:r>
      <w:r>
        <w:rPr>
          <w:rFonts w:ascii="Arial" w:hAnsi="Arial" w:cs="Arial"/>
          <w:sz w:val="24"/>
        </w:rPr>
        <w:t>(MINAG, 2015)</w:t>
      </w:r>
      <w:r>
        <w:rPr>
          <w:rFonts w:ascii="Arial" w:hAnsi="Arial" w:cs="Arial"/>
          <w:sz w:val="24"/>
          <w:szCs w:val="24"/>
        </w:rPr>
        <w:fldChar w:fldCharType="end"/>
      </w:r>
      <w:r>
        <w:rPr>
          <w:rFonts w:ascii="Arial" w:hAnsi="Arial" w:cs="Arial"/>
          <w:sz w:val="24"/>
          <w:szCs w:val="24"/>
        </w:rPr>
        <w:t>. Es importante destacar que estas variedades de maíz tie</w:t>
      </w:r>
      <w:r>
        <w:rPr>
          <w:rFonts w:ascii="Arial" w:hAnsi="Arial" w:cs="Arial"/>
          <w:sz w:val="24"/>
          <w:szCs w:val="24"/>
        </w:rPr>
        <w:lastRenderedPageBreak/>
        <w:t xml:space="preserve">nen excelentes características agronómicas y buen rendimiento, adaptados a nuestras condiciones climáticas </w:t>
      </w:r>
      <w:r>
        <w:fldChar w:fldCharType="begin"/>
      </w:r>
      <w:r>
        <w:rPr>
          <w:rFonts w:ascii="Arial" w:hAnsi="Arial" w:cs="Arial"/>
          <w:sz w:val="24"/>
          <w:szCs w:val="24"/>
        </w:rPr>
        <w:instrText>ADDIN ZOTERO_ITEM CSL_CITATION {"citationID":"V2tcxAtD","properties":{"formattedCitation":"(IIG,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(IIG, 2020)</w:t>
      </w:r>
      <w:r>
        <w:rPr>
          <w:rFonts w:ascii="Arial" w:hAnsi="Arial" w:cs="Arial"/>
          <w:sz w:val="24"/>
          <w:szCs w:val="24"/>
        </w:rPr>
        <w:fldChar w:fldCharType="end"/>
      </w:r>
      <w:r>
        <w:rPr>
          <w:rFonts w:ascii="Arial" w:hAnsi="Arial" w:cs="Arial"/>
          <w:sz w:val="24"/>
          <w:szCs w:val="24"/>
        </w:rPr>
        <w:t>.</w:t>
      </w:r>
    </w:p>
    <w:p w14:paraId="4C67B83B" w14:textId="77777777" w:rsidR="000630B1" w:rsidRDefault="000630B1" w:rsidP="000630B1">
      <w:pPr>
        <w:pStyle w:val="Ttulo2"/>
        <w:rPr>
          <w:rStyle w:val="rynqvb"/>
          <w:rFonts w:cs="Arial"/>
          <w:color w:val="000000" w:themeColor="text1"/>
          <w:szCs w:val="24"/>
        </w:rPr>
      </w:pPr>
      <w:bookmarkStart w:id="4" w:name="_Toc148350395"/>
      <w:bookmarkStart w:id="5" w:name="_Toc138712725"/>
      <w:r>
        <w:rPr>
          <w:rStyle w:val="rynqvb"/>
          <w:rFonts w:cs="Arial"/>
          <w:color w:val="000000" w:themeColor="text1"/>
          <w:szCs w:val="24"/>
        </w:rPr>
        <w:t>1.6 Aspectos del crecimiento y desarrollo de la planta de maíz</w:t>
      </w:r>
      <w:bookmarkEnd w:id="4"/>
      <w:bookmarkEnd w:id="5"/>
      <w:r>
        <w:rPr>
          <w:rStyle w:val="rynqvb"/>
          <w:rFonts w:cs="Arial"/>
          <w:color w:val="000000" w:themeColor="text1"/>
          <w:szCs w:val="24"/>
        </w:rPr>
        <w:t xml:space="preserve"> </w:t>
      </w:r>
    </w:p>
    <w:p w14:paraId="42139483"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El maíz tiene varias etapas vegetativas (V) y reproductivas (R).</w:t>
      </w:r>
      <w:r>
        <w:rPr>
          <w:rStyle w:val="hwtze"/>
          <w:rFonts w:ascii="Arial" w:hAnsi="Arial" w:cs="Arial"/>
          <w:sz w:val="24"/>
          <w:szCs w:val="24"/>
        </w:rPr>
        <w:t xml:space="preserve"> </w:t>
      </w:r>
      <w:r>
        <w:rPr>
          <w:rStyle w:val="rynqvb"/>
          <w:rFonts w:ascii="Arial" w:hAnsi="Arial" w:cs="Arial"/>
          <w:sz w:val="24"/>
          <w:szCs w:val="24"/>
        </w:rPr>
        <w:t>Las subdivisiones de las etapas V se designan numéricamente como VE (Emergencia), V1 (es visible el cuello de la hoja más baja), V2 (segunda hoja), V3 (tercera hoja), hasta V(n), donde (n) representa la última hoja</w:t>
      </w:r>
      <w:r>
        <w:rPr>
          <w:rStyle w:val="hwtze"/>
          <w:rFonts w:ascii="Arial" w:hAnsi="Arial" w:cs="Arial"/>
          <w:sz w:val="24"/>
          <w:szCs w:val="24"/>
        </w:rPr>
        <w:t xml:space="preserve"> </w:t>
      </w:r>
      <w:r>
        <w:rPr>
          <w:rStyle w:val="rynqvb"/>
          <w:rFonts w:ascii="Arial" w:hAnsi="Arial" w:cs="Arial"/>
          <w:sz w:val="24"/>
          <w:szCs w:val="24"/>
        </w:rPr>
        <w:t>antes de VT (espiga) para el cultivar específico bajo consideración.</w:t>
      </w:r>
      <w:r>
        <w:rPr>
          <w:rStyle w:val="hwtze"/>
          <w:rFonts w:ascii="Arial" w:hAnsi="Arial" w:cs="Arial"/>
          <w:sz w:val="24"/>
          <w:szCs w:val="24"/>
        </w:rPr>
        <w:t xml:space="preserve"> </w:t>
      </w:r>
      <w:r>
        <w:rPr>
          <w:rStyle w:val="rynqvb"/>
          <w:rFonts w:ascii="Arial" w:hAnsi="Arial" w:cs="Arial"/>
          <w:sz w:val="24"/>
          <w:szCs w:val="24"/>
        </w:rPr>
        <w:t xml:space="preserve">Las etapas primera y última V se designan </w:t>
      </w:r>
      <w:r>
        <w:rPr>
          <w:rStyle w:val="rynqvb"/>
          <w:rFonts w:ascii="Arial" w:hAnsi="Arial" w:cs="Arial"/>
          <w:sz w:val="24"/>
          <w:szCs w:val="24"/>
        </w:rPr>
        <w:lastRenderedPageBreak/>
        <w:t>como VE (emergencia) y VT (espiga).</w:t>
      </w:r>
      <w:r>
        <w:rPr>
          <w:rStyle w:val="hwtze"/>
          <w:rFonts w:ascii="Arial" w:hAnsi="Arial" w:cs="Arial"/>
          <w:sz w:val="24"/>
          <w:szCs w:val="24"/>
        </w:rPr>
        <w:t xml:space="preserve"> </w:t>
      </w:r>
      <w:r>
        <w:rPr>
          <w:rStyle w:val="rynqvb"/>
          <w:rFonts w:ascii="Arial" w:hAnsi="Arial" w:cs="Arial"/>
          <w:sz w:val="24"/>
          <w:szCs w:val="24"/>
        </w:rPr>
        <w:t xml:space="preserve">El (n) fluctuará con factores de genotipo y ambientales. </w:t>
      </w:r>
    </w:p>
    <w:p w14:paraId="043540B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Para determinar las etapas de desarrollo reproductivo, el enfoque es observar los granos en la mazorca </w:t>
      </w:r>
      <w:r>
        <w:fldChar w:fldCharType="begin"/>
      </w:r>
      <w:r>
        <w:rPr>
          <w:rStyle w:val="rynqvb"/>
          <w:rFonts w:ascii="Arial" w:hAnsi="Arial" w:cs="Arial"/>
          <w:sz w:val="24"/>
          <w:szCs w:val="24"/>
        </w:rPr>
        <w:instrText>ADDIN ZOTERO_ITEM CSL_CITATION {"citationID":"JqpS9Dil","properties":{"formattedCitation":"(Nleya,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Las seis subdivisiones de las etapas reproductivas se designan numéricamente y estas son: R1 (antesis), R2 (ampolla), R3 (lechoso), R4 (pastoso), R5 (dentado) y R6 (madurez fisiológica)  </w:t>
      </w:r>
      <w:r>
        <w:fldChar w:fldCharType="begin"/>
      </w:r>
      <w:r>
        <w:rPr>
          <w:rStyle w:val="rynqvb"/>
          <w:rFonts w:ascii="Arial" w:hAnsi="Arial" w:cs="Arial"/>
          <w:sz w:val="24"/>
          <w:szCs w:val="24"/>
        </w:rPr>
        <w:instrText>ADDIN ZOTERO_ITEM CSL_CITATION {"citationID":"Fa7agGMw","properties":{"unsorted":true,"formattedCitation":"(PIONEER, 2015; CONACYT, 2019)","plainCitation":"(PIONEER, 2015; CONACYT, 2019)","noteIndex":0},"citationItems":[{"id":"UJQ2oGUC/LAAWW5sX","uris":["http://zotero.org/users/local/NeejuBUy/items/RTJIA7LA"],"itemData":{"id":245,"type":"book","title":"Maíz. Crecimiento y desarrollo","author":[{"family":"PIONEER","given":""}],"issued":{"date-parts":[["2015"]]}},"label":"page"},{"id":"UJQ2oGUC/LpwqkImz","uris":["http://zotero.org/users/local/NeejuBUy/items/36UKHA39"],"itemData":{"id":202,"type":"webpage","title":"Maíz","URL":"https://conacyt.mx/cibiogem/index.php/maiz","author":[{"family":"CONACYT","given":""}],"accessed":{"date-parts":[["2022",2,14]]},"issued":{"date-parts":[["2019"]]}},"label":"page"}],"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(PIONEER, 2015; CONACYT, 2019)</w:t>
      </w:r>
      <w:r>
        <w:rPr>
          <w:rStyle w:val="rynqvb"/>
          <w:rFonts w:ascii="Arial" w:hAnsi="Arial" w:cs="Arial"/>
          <w:sz w:val="24"/>
          <w:szCs w:val="24"/>
        </w:rPr>
        <w:fldChar w:fldCharType="end"/>
      </w:r>
      <w:r>
        <w:rPr>
          <w:rFonts w:ascii="Arial" w:hAnsi="Arial" w:cs="Arial"/>
          <w:sz w:val="24"/>
          <w:szCs w:val="24"/>
        </w:rPr>
        <w:t>.</w:t>
      </w:r>
    </w:p>
    <w:p w14:paraId="0A000E70" w14:textId="77777777" w:rsidR="000630B1" w:rsidRDefault="000630B1" w:rsidP="000630B1">
      <w:pPr>
        <w:pStyle w:val="Ttulo3"/>
        <w:rPr>
          <w:rStyle w:val="rynqvb"/>
          <w:rFonts w:cs="Arial"/>
          <w:b/>
          <w:color w:val="000000" w:themeColor="text1"/>
        </w:rPr>
      </w:pPr>
      <w:bookmarkStart w:id="6" w:name="_Toc148350396"/>
      <w:bookmarkStart w:id="7" w:name="_Toc138712726"/>
      <w:r>
        <w:rPr>
          <w:rStyle w:val="rynqvb"/>
          <w:rFonts w:cs="Arial"/>
          <w:color w:val="000000" w:themeColor="text1"/>
        </w:rPr>
        <w:lastRenderedPageBreak/>
        <w:t xml:space="preserve">1.6.1 Fase </w:t>
      </w:r>
      <w:r>
        <w:rPr>
          <w:rStyle w:val="rynqvb"/>
        </w:rPr>
        <w:t>vegetativa</w:t>
      </w:r>
      <w:bookmarkEnd w:id="6"/>
      <w:bookmarkEnd w:id="7"/>
    </w:p>
    <w:p w14:paraId="3F369862"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Emergencia y germinación</w:t>
      </w:r>
    </w:p>
    <w:p w14:paraId="2C80BC32"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semilla de maíz comienza a germinar al contener como mínimo un 30 % de humedad </w:t>
      </w:r>
      <w:r>
        <w:fldChar w:fldCharType="begin"/>
      </w:r>
      <w:r>
        <w:rPr>
          <w:rStyle w:val="rynqvb"/>
          <w:rFonts w:ascii="Arial" w:hAnsi="Arial" w:cs="Arial"/>
          <w:sz w:val="24"/>
          <w:szCs w:val="24"/>
        </w:rPr>
        <w:instrText>ADDIN ZOTERO_ITEM CSL_CITATION {"citationID":"QQA1c5ZF","properties":{"formattedCitation":"(Nleya,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La primera estructura de plántula que emerge de la semilla es la radícula (raíz), seguida por el </w:t>
      </w:r>
      <w:proofErr w:type="spellStart"/>
      <w:r>
        <w:rPr>
          <w:rStyle w:val="rynqvb"/>
          <w:rFonts w:ascii="Arial" w:hAnsi="Arial" w:cs="Arial"/>
          <w:sz w:val="24"/>
          <w:szCs w:val="24"/>
        </w:rPr>
        <w:t>coleoptilo</w:t>
      </w:r>
      <w:proofErr w:type="spellEnd"/>
      <w:r>
        <w:rPr>
          <w:rStyle w:val="rynqvb"/>
          <w:rFonts w:ascii="Arial" w:hAnsi="Arial" w:cs="Arial"/>
          <w:sz w:val="24"/>
          <w:szCs w:val="24"/>
        </w:rPr>
        <w:t xml:space="preserve">. Para emerger, el primer entrenudo de la planta de maíz, el </w:t>
      </w:r>
      <w:proofErr w:type="spellStart"/>
      <w:r>
        <w:rPr>
          <w:rStyle w:val="rynqvb"/>
          <w:rFonts w:ascii="Arial" w:hAnsi="Arial" w:cs="Arial"/>
          <w:sz w:val="24"/>
          <w:szCs w:val="24"/>
        </w:rPr>
        <w:t>mesocotilo</w:t>
      </w:r>
      <w:proofErr w:type="spellEnd"/>
      <w:r>
        <w:rPr>
          <w:rStyle w:val="rynqvb"/>
          <w:rFonts w:ascii="Arial" w:hAnsi="Arial" w:cs="Arial"/>
          <w:sz w:val="24"/>
          <w:szCs w:val="24"/>
        </w:rPr>
        <w:t xml:space="preserve"> se alarga hacia la superficie del suelo y continúa hasta que el </w:t>
      </w:r>
      <w:proofErr w:type="spellStart"/>
      <w:r>
        <w:rPr>
          <w:rStyle w:val="rynqvb"/>
          <w:rFonts w:ascii="Arial" w:hAnsi="Arial" w:cs="Arial"/>
          <w:sz w:val="24"/>
          <w:szCs w:val="24"/>
        </w:rPr>
        <w:t>coleoptilo</w:t>
      </w:r>
      <w:proofErr w:type="spellEnd"/>
      <w:r>
        <w:rPr>
          <w:rStyle w:val="rynqvb"/>
          <w:rFonts w:ascii="Arial" w:hAnsi="Arial" w:cs="Arial"/>
          <w:sz w:val="24"/>
          <w:szCs w:val="24"/>
        </w:rPr>
        <w:t xml:space="preserve"> alcanza la luz </w:t>
      </w:r>
      <w:r>
        <w:fldChar w:fldCharType="begin"/>
      </w:r>
      <w:r>
        <w:rPr>
          <w:rStyle w:val="rynqvb"/>
          <w:rFonts w:ascii="Arial" w:hAnsi="Arial" w:cs="Arial"/>
          <w:sz w:val="24"/>
          <w:szCs w:val="24"/>
        </w:rPr>
        <w:instrText>ADDIN ZOTERO_ITEM CSL_CITATION {"citationID":"TSOn2XuD","properties":{"formattedCitation":"(Nleya,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La emergencia tiene lugar cuando el brote joven empuja a través de la superficie del suelo.</w:t>
      </w:r>
      <w:r>
        <w:rPr>
          <w:rStyle w:val="hwtze"/>
          <w:rFonts w:ascii="Arial" w:hAnsi="Arial" w:cs="Arial"/>
          <w:sz w:val="24"/>
          <w:szCs w:val="24"/>
        </w:rPr>
        <w:t xml:space="preserve"> </w:t>
      </w:r>
      <w:r>
        <w:rPr>
          <w:rStyle w:val="rynqvb"/>
          <w:rFonts w:ascii="Arial" w:hAnsi="Arial" w:cs="Arial"/>
          <w:sz w:val="24"/>
          <w:szCs w:val="24"/>
        </w:rPr>
        <w:t xml:space="preserve">Esta puede ocurrir de cuatro a cinco </w:t>
      </w:r>
      <w:r>
        <w:rPr>
          <w:rStyle w:val="rynqvb"/>
          <w:rFonts w:ascii="Arial" w:hAnsi="Arial" w:cs="Arial"/>
          <w:sz w:val="24"/>
          <w:szCs w:val="24"/>
        </w:rPr>
        <w:lastRenderedPageBreak/>
        <w:t>días posteriores a la siembra en condiciones óptimas y hasta 14 días en condiciones frescas o secas.</w:t>
      </w:r>
    </w:p>
    <w:p w14:paraId="61C0A6C6" w14:textId="77777777" w:rsidR="000630B1" w:rsidRDefault="000630B1" w:rsidP="000630B1">
      <w:pPr>
        <w:spacing w:after="0" w:line="480" w:lineRule="auto"/>
        <w:jc w:val="both"/>
        <w:rPr>
          <w:rStyle w:val="hwtze"/>
          <w:rFonts w:ascii="Arial" w:hAnsi="Arial" w:cs="Arial"/>
          <w:sz w:val="24"/>
          <w:szCs w:val="24"/>
        </w:rPr>
      </w:pPr>
      <w:r>
        <w:rPr>
          <w:rStyle w:val="rynqvb"/>
          <w:rFonts w:ascii="Arial" w:hAnsi="Arial" w:cs="Arial"/>
          <w:sz w:val="24"/>
          <w:szCs w:val="24"/>
        </w:rPr>
        <w:t>La primera hoja de la planta de maíz tiene una punta redondeada que es útil para la identificación, las siguientes son puntiagudas.</w:t>
      </w:r>
      <w:r>
        <w:rPr>
          <w:rStyle w:val="hwtze"/>
          <w:rFonts w:ascii="Arial" w:hAnsi="Arial" w:cs="Arial"/>
          <w:sz w:val="24"/>
          <w:szCs w:val="24"/>
        </w:rPr>
        <w:t xml:space="preserve"> </w:t>
      </w:r>
      <w:r>
        <w:rPr>
          <w:rStyle w:val="rynqvb"/>
          <w:rFonts w:ascii="Arial" w:hAnsi="Arial" w:cs="Arial"/>
          <w:sz w:val="24"/>
          <w:szCs w:val="24"/>
        </w:rPr>
        <w:t>Una hoja de maíz consta de tres componentes morfológicos distintos: la lámina, el cuello y la vaina.</w:t>
      </w:r>
      <w:r>
        <w:rPr>
          <w:rStyle w:val="hwtze"/>
          <w:rFonts w:ascii="Arial" w:hAnsi="Arial" w:cs="Arial"/>
          <w:sz w:val="24"/>
          <w:szCs w:val="24"/>
        </w:rPr>
        <w:t xml:space="preserve"> </w:t>
      </w:r>
      <w:r>
        <w:rPr>
          <w:rStyle w:val="rynqvb"/>
          <w:rFonts w:ascii="Arial" w:hAnsi="Arial" w:cs="Arial"/>
          <w:sz w:val="24"/>
          <w:szCs w:val="24"/>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ascii="Arial" w:hAnsi="Arial" w:cs="Arial"/>
          <w:sz w:val="24"/>
          <w:szCs w:val="24"/>
        </w:rPr>
        <w:t xml:space="preserve"> </w:t>
      </w:r>
      <w:r>
        <w:rPr>
          <w:rStyle w:val="rynqvb"/>
          <w:rFonts w:ascii="Arial" w:hAnsi="Arial" w:cs="Arial"/>
          <w:sz w:val="24"/>
          <w:szCs w:val="24"/>
        </w:rPr>
        <w:t xml:space="preserve">A partir de V10, se hace </w:t>
      </w:r>
      <w:r>
        <w:rPr>
          <w:rStyle w:val="rynqvb"/>
          <w:rFonts w:ascii="Arial" w:hAnsi="Arial" w:cs="Arial"/>
          <w:sz w:val="24"/>
          <w:szCs w:val="24"/>
        </w:rPr>
        <w:lastRenderedPageBreak/>
        <w:t xml:space="preserve">difícil determinar la fase porque las hojas inferiores comienzan a caerse de la planta </w:t>
      </w:r>
      <w:r>
        <w:fldChar w:fldCharType="begin"/>
      </w:r>
      <w:r>
        <w:rPr>
          <w:rStyle w:val="rynqvb"/>
          <w:rFonts w:ascii="Arial" w:hAnsi="Arial" w:cs="Arial"/>
          <w:sz w:val="24"/>
          <w:szCs w:val="24"/>
        </w:rPr>
        <w:instrText>ADDIN ZOTERO_ITEM CSL_CITATION {"citationID":"aZFFcdSO","properties":{"formattedCitation":"(Nleya,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36CAE740"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de espiga </w:t>
      </w:r>
    </w:p>
    <w:p w14:paraId="21165C9E"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La etapa vegetativa final(VT)  es la de crecimiento de la espiga que ocurre dos o tres días antes de la antesis, cuando la última rama de la espiga es completamente visible, pero aún no han emergido los estigmas en los brotes de la mazorca </w:t>
      </w:r>
      <w:r>
        <w:fldChar w:fldCharType="begin"/>
      </w:r>
      <w:r>
        <w:rPr>
          <w:rStyle w:val="rynqvb"/>
          <w:rFonts w:ascii="Arial" w:hAnsi="Arial" w:cs="Arial"/>
          <w:sz w:val="24"/>
          <w:szCs w:val="24"/>
        </w:rPr>
        <w:instrText>ADDIN ZOTERO_ITEM CSL_CITATION {"citationID":"wp5v2gns","properties":{"formattedCitation":"(Nleya,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Cuando la planta alcanza su altura máxima, comienza la liberación de polen. El tiempo entre VT y R1 puede variar entre cultivares y debido a las condiciones del ambiente.</w:t>
      </w:r>
      <w:r>
        <w:rPr>
          <w:rStyle w:val="hwtze"/>
          <w:rFonts w:ascii="Arial" w:hAnsi="Arial" w:cs="Arial"/>
          <w:sz w:val="24"/>
          <w:szCs w:val="24"/>
        </w:rPr>
        <w:t xml:space="preserve"> </w:t>
      </w:r>
    </w:p>
    <w:p w14:paraId="71EBCF1F" w14:textId="77777777" w:rsidR="000630B1" w:rsidRDefault="000630B1" w:rsidP="000630B1">
      <w:pPr>
        <w:pStyle w:val="Ttulo3"/>
        <w:rPr>
          <w:rStyle w:val="rynqvb"/>
          <w:rFonts w:cs="Arial"/>
          <w:b/>
          <w:color w:val="000000" w:themeColor="text1"/>
        </w:rPr>
      </w:pPr>
      <w:bookmarkStart w:id="8" w:name="_Toc148350397"/>
      <w:bookmarkStart w:id="9" w:name="_Toc138712727"/>
      <w:r>
        <w:rPr>
          <w:rStyle w:val="rynqvb"/>
          <w:rFonts w:cs="Arial"/>
          <w:color w:val="000000" w:themeColor="text1"/>
        </w:rPr>
        <w:lastRenderedPageBreak/>
        <w:t xml:space="preserve">1.6.2 Fase </w:t>
      </w:r>
      <w:r>
        <w:rPr>
          <w:rStyle w:val="rynqvb"/>
        </w:rPr>
        <w:t>reproductiva</w:t>
      </w:r>
      <w:bookmarkEnd w:id="8"/>
      <w:bookmarkEnd w:id="9"/>
      <w:r>
        <w:rPr>
          <w:rStyle w:val="rynqvb"/>
          <w:rFonts w:cs="Arial"/>
          <w:color w:val="000000" w:themeColor="text1"/>
        </w:rPr>
        <w:t xml:space="preserve"> </w:t>
      </w:r>
    </w:p>
    <w:p w14:paraId="7E75BB2A"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antesis </w:t>
      </w:r>
    </w:p>
    <w:p w14:paraId="059A3179"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En la etapa de antesis (R1), surgen los estigmas de las mazorcas, que son</w:t>
      </w:r>
      <w:r>
        <w:rPr>
          <w:rStyle w:val="hwtze"/>
          <w:rFonts w:ascii="Arial" w:hAnsi="Arial" w:cs="Arial"/>
          <w:sz w:val="24"/>
          <w:szCs w:val="24"/>
        </w:rPr>
        <w:t xml:space="preserve"> </w:t>
      </w:r>
      <w:r>
        <w:rPr>
          <w:rStyle w:val="rynqvb"/>
          <w:rFonts w:ascii="Arial" w:hAnsi="Arial" w:cs="Arial"/>
          <w:sz w:val="24"/>
          <w:szCs w:val="24"/>
        </w:rPr>
        <w:t>viables y receptivos al polen durante al menos cinco días.</w:t>
      </w:r>
      <w:r>
        <w:rPr>
          <w:rStyle w:val="hwtze"/>
          <w:rFonts w:ascii="Arial" w:hAnsi="Arial" w:cs="Arial"/>
          <w:sz w:val="24"/>
          <w:szCs w:val="24"/>
        </w:rPr>
        <w:t xml:space="preserve"> </w:t>
      </w:r>
      <w:r>
        <w:rPr>
          <w:rStyle w:val="rynqvb"/>
          <w:rFonts w:ascii="Arial" w:hAnsi="Arial" w:cs="Arial"/>
          <w:sz w:val="24"/>
          <w:szCs w:val="24"/>
        </w:rPr>
        <w:t xml:space="preserve">Los estigmas tienen el mayor contenido de agua entre todas las partes de la planta de maíz y la sequía hace que el alargamiento de los estigmas sea más lento y que la liberación de polen se acelere </w:t>
      </w:r>
      <w:r>
        <w:fldChar w:fldCharType="begin"/>
      </w:r>
      <w:r>
        <w:rPr>
          <w:rStyle w:val="rynqvb"/>
          <w:rFonts w:ascii="Arial" w:hAnsi="Arial" w:cs="Arial"/>
          <w:sz w:val="24"/>
          <w:szCs w:val="24"/>
        </w:rPr>
        <w:instrText>ADDIN ZOTERO_ITEM CSL_CITATION {"citationID":"PHl7KwgS","properties":{"formattedCitation":"(Nleya,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0768A223"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de ampolla </w:t>
      </w:r>
    </w:p>
    <w:p w14:paraId="5420CE83"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etapa R2 ocurre alrededor de 10 a 12 días después de la antesis.</w:t>
      </w:r>
      <w:r>
        <w:rPr>
          <w:rStyle w:val="hwtze"/>
          <w:rFonts w:ascii="Arial" w:hAnsi="Arial" w:cs="Arial"/>
          <w:sz w:val="24"/>
          <w:szCs w:val="24"/>
        </w:rPr>
        <w:t xml:space="preserve"> </w:t>
      </w:r>
      <w:r>
        <w:rPr>
          <w:rStyle w:val="rynqvb"/>
          <w:rFonts w:ascii="Arial" w:hAnsi="Arial" w:cs="Arial"/>
          <w:sz w:val="24"/>
          <w:szCs w:val="24"/>
        </w:rPr>
        <w:t xml:space="preserve">En este punto, el grano es visible y se parece </w:t>
      </w:r>
      <w:r>
        <w:rPr>
          <w:rStyle w:val="rynqvb"/>
          <w:rFonts w:ascii="Arial" w:hAnsi="Arial" w:cs="Arial"/>
          <w:sz w:val="24"/>
          <w:szCs w:val="24"/>
        </w:rPr>
        <w:lastRenderedPageBreak/>
        <w:t>a una ampolla y está lleno de un líquido transparente.</w:t>
      </w:r>
      <w:r>
        <w:rPr>
          <w:rStyle w:val="hwtze"/>
          <w:rFonts w:ascii="Arial" w:hAnsi="Arial" w:cs="Arial"/>
          <w:sz w:val="24"/>
          <w:szCs w:val="24"/>
        </w:rPr>
        <w:t xml:space="preserve"> </w:t>
      </w:r>
      <w:r>
        <w:rPr>
          <w:rStyle w:val="rynqvb"/>
          <w:rFonts w:ascii="Arial" w:hAnsi="Arial" w:cs="Arial"/>
          <w:sz w:val="24"/>
          <w:szCs w:val="24"/>
        </w:rPr>
        <w:t xml:space="preserve">En la etapa de ampolla, el embrión es apenas visible y contiene aproximadamente un 85 % de contenido de humedad </w:t>
      </w:r>
      <w:r>
        <w:fldChar w:fldCharType="begin"/>
      </w:r>
      <w:r>
        <w:rPr>
          <w:rStyle w:val="rynqvb"/>
          <w:rFonts w:ascii="Arial" w:hAnsi="Arial" w:cs="Arial"/>
          <w:sz w:val="24"/>
          <w:szCs w:val="24"/>
        </w:rPr>
        <w:instrText>ADDIN ZOTERO_ITEM CSL_CITATION {"citationID":"nx6lpzrR","properties":{"formattedCitation":"(Nleya,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099F6178" w14:textId="77777777" w:rsidR="000630B1" w:rsidRDefault="000630B1" w:rsidP="000630B1">
      <w:pPr>
        <w:pStyle w:val="Ttulo2"/>
        <w:rPr>
          <w:rStyle w:val="rynqvb"/>
          <w:rFonts w:cs="Arial"/>
          <w:b w:val="0"/>
          <w:i/>
          <w:color w:val="000000" w:themeColor="text1"/>
          <w:szCs w:val="24"/>
        </w:rPr>
      </w:pPr>
      <w:proofErr w:type="gramStart"/>
      <w:r>
        <w:rPr>
          <w:rStyle w:val="rynqvb"/>
          <w:rFonts w:cs="Arial"/>
          <w:color w:val="000000" w:themeColor="text1"/>
          <w:szCs w:val="24"/>
        </w:rPr>
        <w:t>Etapa lechoso</w:t>
      </w:r>
      <w:proofErr w:type="gramEnd"/>
      <w:r>
        <w:rPr>
          <w:rStyle w:val="rynqvb"/>
          <w:rFonts w:cs="Arial"/>
          <w:color w:val="000000" w:themeColor="text1"/>
          <w:szCs w:val="24"/>
        </w:rPr>
        <w:t xml:space="preserve"> </w:t>
      </w:r>
    </w:p>
    <w:p w14:paraId="426ADEF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tercera etapa reproductiva (R3) ocurre aproximadamente 18-20 días después de la antesis.</w:t>
      </w:r>
      <w:r>
        <w:rPr>
          <w:rStyle w:val="hwtze"/>
          <w:rFonts w:ascii="Arial" w:hAnsi="Arial" w:cs="Arial"/>
          <w:sz w:val="24"/>
          <w:szCs w:val="24"/>
        </w:rPr>
        <w:t xml:space="preserve"> </w:t>
      </w:r>
      <w:r>
        <w:rPr>
          <w:rStyle w:val="rynqvb"/>
          <w:rFonts w:ascii="Arial" w:hAnsi="Arial" w:cs="Arial"/>
          <w:sz w:val="24"/>
          <w:szCs w:val="24"/>
        </w:rPr>
        <w:t>El grano es de color amarillo y el interior contiene un líquido blanco "lechoso".</w:t>
      </w:r>
      <w:r>
        <w:rPr>
          <w:rStyle w:val="hwtze"/>
          <w:rFonts w:ascii="Arial" w:hAnsi="Arial" w:cs="Arial"/>
          <w:sz w:val="24"/>
          <w:szCs w:val="24"/>
        </w:rPr>
        <w:t xml:space="preserve"> </w:t>
      </w:r>
      <w:r>
        <w:rPr>
          <w:rStyle w:val="rynqvb"/>
          <w:rFonts w:ascii="Arial" w:hAnsi="Arial" w:cs="Arial"/>
          <w:sz w:val="24"/>
          <w:szCs w:val="24"/>
        </w:rPr>
        <w:t xml:space="preserve">El contenido de humedad del grano es de aproximadamente 80 % y el almidón comienza a acumularse en el grano </w:t>
      </w:r>
      <w:r>
        <w:fldChar w:fldCharType="begin"/>
      </w:r>
      <w:r>
        <w:rPr>
          <w:rStyle w:val="rynqvb"/>
          <w:rFonts w:ascii="Arial" w:hAnsi="Arial" w:cs="Arial"/>
          <w:sz w:val="24"/>
          <w:szCs w:val="24"/>
        </w:rPr>
        <w:instrText>ADDIN ZOTERO_ITEM CSL_CITATION {"citationID":"cRjWRZCL","properties":{"formattedCitation":"(Nleya,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18F836D8" w14:textId="77777777" w:rsidR="000630B1" w:rsidRDefault="000630B1" w:rsidP="000630B1">
      <w:pPr>
        <w:pStyle w:val="Ttulo2"/>
        <w:rPr>
          <w:rStyle w:val="rynqvb"/>
          <w:rFonts w:cs="Arial"/>
          <w:b w:val="0"/>
          <w:i/>
          <w:color w:val="000000" w:themeColor="text1"/>
          <w:szCs w:val="24"/>
        </w:rPr>
      </w:pPr>
      <w:proofErr w:type="gramStart"/>
      <w:r>
        <w:rPr>
          <w:rStyle w:val="rynqvb"/>
          <w:rFonts w:cs="Arial"/>
          <w:color w:val="000000" w:themeColor="text1"/>
          <w:szCs w:val="24"/>
        </w:rPr>
        <w:lastRenderedPageBreak/>
        <w:t>Etapa pastoso</w:t>
      </w:r>
      <w:proofErr w:type="gramEnd"/>
      <w:r>
        <w:rPr>
          <w:rStyle w:val="rynqvb"/>
          <w:rFonts w:cs="Arial"/>
          <w:color w:val="000000" w:themeColor="text1"/>
          <w:szCs w:val="24"/>
        </w:rPr>
        <w:t xml:space="preserve"> </w:t>
      </w:r>
    </w:p>
    <w:p w14:paraId="055CCE2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etapa (R4) ocurre aproximadamente 24-26 días después de la antesis.</w:t>
      </w:r>
      <w:r>
        <w:rPr>
          <w:rStyle w:val="hwtze"/>
          <w:rFonts w:ascii="Arial" w:hAnsi="Arial" w:cs="Arial"/>
          <w:sz w:val="24"/>
          <w:szCs w:val="24"/>
        </w:rPr>
        <w:t xml:space="preserve"> </w:t>
      </w:r>
      <w:r>
        <w:rPr>
          <w:rStyle w:val="rynqvb"/>
          <w:rFonts w:ascii="Arial" w:hAnsi="Arial" w:cs="Arial"/>
          <w:sz w:val="24"/>
          <w:szCs w:val="24"/>
        </w:rPr>
        <w:t>En este punto, el interior del grano se espesa hasta convertirse en una masa o sustancia pastosa.</w:t>
      </w:r>
      <w:r>
        <w:rPr>
          <w:rStyle w:val="hwtze"/>
          <w:rFonts w:ascii="Arial" w:hAnsi="Arial" w:cs="Arial"/>
          <w:sz w:val="24"/>
          <w:szCs w:val="24"/>
        </w:rPr>
        <w:t xml:space="preserve"> E</w:t>
      </w:r>
      <w:r>
        <w:rPr>
          <w:rStyle w:val="rynqvb"/>
          <w:rFonts w:ascii="Arial" w:hAnsi="Arial" w:cs="Arial"/>
          <w:sz w:val="24"/>
          <w:szCs w:val="24"/>
        </w:rPr>
        <w:t xml:space="preserve">l contenido de humedad del grano es de aproximadamente 70 % </w:t>
      </w:r>
      <w:r>
        <w:fldChar w:fldCharType="begin"/>
      </w:r>
      <w:r>
        <w:rPr>
          <w:rStyle w:val="rynqvb"/>
          <w:rFonts w:ascii="Arial" w:hAnsi="Arial" w:cs="Arial"/>
          <w:sz w:val="24"/>
          <w:szCs w:val="24"/>
        </w:rPr>
        <w:instrText>ADDIN ZOTERO_ITEM CSL_CITATION {"citationID":"RTSAh3ob","properties":{"formattedCitation":"(Nleya,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El grano está abollado en la parte superior debido a la acumulación de almidón y representa aproximadamente la mitad de la masa seca. </w:t>
      </w:r>
    </w:p>
    <w:p w14:paraId="545D1477" w14:textId="77777777" w:rsidR="000630B1" w:rsidRDefault="000630B1" w:rsidP="000630B1">
      <w:pPr>
        <w:pStyle w:val="Ttulo2"/>
        <w:rPr>
          <w:rStyle w:val="rynqvb"/>
          <w:rFonts w:cs="Arial"/>
          <w:b w:val="0"/>
          <w:i/>
          <w:color w:val="000000" w:themeColor="text1"/>
          <w:szCs w:val="24"/>
        </w:rPr>
      </w:pPr>
      <w:proofErr w:type="gramStart"/>
      <w:r>
        <w:rPr>
          <w:rStyle w:val="rynqvb"/>
          <w:rFonts w:cs="Arial"/>
          <w:color w:val="000000" w:themeColor="text1"/>
          <w:szCs w:val="24"/>
        </w:rPr>
        <w:t>Etapa dentado</w:t>
      </w:r>
      <w:proofErr w:type="gramEnd"/>
      <w:r>
        <w:rPr>
          <w:rStyle w:val="rynqvb"/>
          <w:rFonts w:cs="Arial"/>
          <w:color w:val="000000" w:themeColor="text1"/>
          <w:szCs w:val="24"/>
        </w:rPr>
        <w:t xml:space="preserve"> </w:t>
      </w:r>
    </w:p>
    <w:p w14:paraId="11E70DD2"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En la etapa dentada (R5) los granos tienen un contenido de humedad del 60 % y el estrés reduce la masa del grano </w:t>
      </w:r>
      <w:r>
        <w:rPr>
          <w:rStyle w:val="rynqvb"/>
          <w:rFonts w:ascii="Arial" w:hAnsi="Arial" w:cs="Arial"/>
          <w:sz w:val="24"/>
          <w:szCs w:val="24"/>
        </w:rPr>
        <w:lastRenderedPageBreak/>
        <w:t>en este momento.</w:t>
      </w:r>
      <w:r>
        <w:rPr>
          <w:rStyle w:val="hwtze"/>
          <w:rFonts w:ascii="Arial" w:hAnsi="Arial" w:cs="Arial"/>
          <w:sz w:val="24"/>
          <w:szCs w:val="24"/>
        </w:rPr>
        <w:t xml:space="preserve"> O</w:t>
      </w:r>
      <w:r>
        <w:rPr>
          <w:rStyle w:val="rynqvb"/>
          <w:rFonts w:ascii="Arial" w:hAnsi="Arial" w:cs="Arial"/>
          <w:sz w:val="24"/>
          <w:szCs w:val="24"/>
        </w:rPr>
        <w:t>curre aproximadamente 31-33 días después de la antesis.</w:t>
      </w:r>
      <w:r>
        <w:rPr>
          <w:rStyle w:val="hwtze"/>
          <w:rFonts w:ascii="Arial" w:hAnsi="Arial" w:cs="Arial"/>
          <w:sz w:val="24"/>
          <w:szCs w:val="24"/>
        </w:rPr>
        <w:t xml:space="preserve"> </w:t>
      </w:r>
      <w:r>
        <w:rPr>
          <w:rStyle w:val="rynqvb"/>
          <w:rFonts w:ascii="Arial" w:hAnsi="Arial" w:cs="Arial"/>
          <w:sz w:val="24"/>
          <w:szCs w:val="24"/>
        </w:rPr>
        <w:t>Los granos están dentados en la parte superior con la "línea de leche" que separa las porciones líquidas y sólidas (almidón)</w:t>
      </w:r>
      <w:r>
        <w:rPr>
          <w:rStyle w:val="hwtze"/>
          <w:rFonts w:ascii="Arial" w:hAnsi="Arial" w:cs="Arial"/>
          <w:sz w:val="24"/>
          <w:szCs w:val="24"/>
        </w:rPr>
        <w:t xml:space="preserve"> </w:t>
      </w:r>
      <w:r>
        <w:fldChar w:fldCharType="begin"/>
      </w:r>
      <w:r>
        <w:rPr>
          <w:rStyle w:val="rynqvb"/>
          <w:rFonts w:ascii="Arial" w:hAnsi="Arial" w:cs="Arial"/>
          <w:sz w:val="24"/>
          <w:szCs w:val="24"/>
        </w:rPr>
        <w:instrText>ADDIN ZOTERO_ITEM CSL_CITATION {"citationID":"HUw0vdjy","properties":{"formattedCitation":"(Nleya,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6809FD0A"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Madurez fisiológica </w:t>
      </w:r>
    </w:p>
    <w:p w14:paraId="623D5AF9"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En la madurez fisiológica (R6) hay una acumulación máxima de materia seca y la humedad del grano es de aproximadamente 30 % a 35 % y varía según el cultivo y el ambiente </w:t>
      </w:r>
      <w:r>
        <w:fldChar w:fldCharType="begin"/>
      </w:r>
      <w:r>
        <w:rPr>
          <w:rStyle w:val="rynqvb"/>
          <w:rFonts w:ascii="Arial" w:hAnsi="Arial" w:cs="Arial"/>
          <w:sz w:val="24"/>
          <w:szCs w:val="24"/>
        </w:rPr>
        <w:instrText>ADDIN ZOTERO_ITEM CSL_CITATION {"citationID":"1LgZBFmv","properties":{"formattedCitation":"(Nleya,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La “capa negra” ocurre después de la madurez fisiológica y sirve como verificación visual </w:t>
      </w:r>
      <w:r>
        <w:rPr>
          <w:rStyle w:val="rynqvb"/>
          <w:rFonts w:ascii="Arial" w:hAnsi="Arial" w:cs="Arial"/>
          <w:sz w:val="24"/>
          <w:szCs w:val="24"/>
        </w:rPr>
        <w:lastRenderedPageBreak/>
        <w:t>de que el grano está maduro.</w:t>
      </w:r>
      <w:r>
        <w:rPr>
          <w:rStyle w:val="hwtze"/>
          <w:rFonts w:ascii="Arial" w:hAnsi="Arial" w:cs="Arial"/>
          <w:sz w:val="24"/>
          <w:szCs w:val="24"/>
        </w:rPr>
        <w:t xml:space="preserve"> </w:t>
      </w:r>
      <w:r>
        <w:rPr>
          <w:rStyle w:val="rynqvb"/>
          <w:rFonts w:ascii="Arial" w:hAnsi="Arial" w:cs="Arial"/>
          <w:sz w:val="24"/>
          <w:szCs w:val="24"/>
        </w:rPr>
        <w:t xml:space="preserve">El número de días necesarios para alcanzar la madurez depende del lugar, la fecha de siembra y el clima al que se somete la planta en una temporada de crecimiento particular </w:t>
      </w:r>
      <w:r>
        <w:fldChar w:fldCharType="begin"/>
      </w:r>
      <w:r>
        <w:rPr>
          <w:rStyle w:val="rynqvb"/>
          <w:rFonts w:ascii="Arial" w:hAnsi="Arial" w:cs="Arial"/>
          <w:sz w:val="24"/>
          <w:szCs w:val="24"/>
        </w:rPr>
        <w:instrText>ADDIN ZOTERO_ITEM CSL_CITATION {"citationID":"jWaZDXXd","properties":{"formattedCitation":"(Vanderlip &amp; Fjell, 2007)","plainCitation":"(Vanderlip &amp; Fjell, 2007)","dontUpdate":true,"noteIndex":0},"citationItems":[{"id":"UJQ2oGUC/ZHKuhmNj","uris":["http://zotero.org/users/local/NeejuBUy/items/3KA2G2JZ"],"itemData":{"id":260,"type":"chapter","container-title":"Crop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(Vanderlip y Fjell, 2007)</w:t>
      </w:r>
      <w:r>
        <w:rPr>
          <w:rStyle w:val="rynqvb"/>
          <w:rFonts w:ascii="Arial" w:hAnsi="Arial" w:cs="Arial"/>
          <w:sz w:val="24"/>
          <w:szCs w:val="24"/>
        </w:rPr>
        <w:fldChar w:fldCharType="end"/>
      </w:r>
      <w:r>
        <w:rPr>
          <w:rStyle w:val="rynqvb"/>
          <w:rFonts w:ascii="Arial" w:hAnsi="Arial" w:cs="Arial"/>
          <w:sz w:val="24"/>
          <w:szCs w:val="24"/>
        </w:rPr>
        <w:t>.</w:t>
      </w:r>
    </w:p>
    <w:p w14:paraId="66D7E356" w14:textId="77777777" w:rsidR="000630B1" w:rsidRDefault="000630B1" w:rsidP="000630B1">
      <w:pPr>
        <w:pStyle w:val="Ttulo2"/>
        <w:spacing w:before="0" w:line="480" w:lineRule="auto"/>
        <w:rPr>
          <w:rStyle w:val="rynqvb"/>
          <w:rFonts w:cs="Arial"/>
          <w:color w:val="000000" w:themeColor="text1"/>
          <w:szCs w:val="24"/>
        </w:rPr>
      </w:pPr>
      <w:bookmarkStart w:id="10" w:name="_Toc148350398"/>
      <w:bookmarkStart w:id="11" w:name="_Toc138712728"/>
      <w:r>
        <w:rPr>
          <w:rStyle w:val="rynqvb"/>
          <w:rFonts w:cs="Arial"/>
          <w:color w:val="000000" w:themeColor="text1"/>
          <w:szCs w:val="24"/>
        </w:rPr>
        <w:t>1.7 Manejo del cultivo</w:t>
      </w:r>
      <w:bookmarkEnd w:id="10"/>
      <w:bookmarkEnd w:id="11"/>
    </w:p>
    <w:p w14:paraId="03395521" w14:textId="77777777" w:rsidR="000630B1" w:rsidRDefault="000630B1" w:rsidP="000630B1">
      <w:pPr>
        <w:pStyle w:val="Ttulo3"/>
        <w:spacing w:before="0" w:line="480" w:lineRule="auto"/>
        <w:rPr>
          <w:rStyle w:val="rynqvb"/>
          <w:rFonts w:cs="Arial"/>
          <w:b/>
          <w:color w:val="000000" w:themeColor="text1"/>
        </w:rPr>
      </w:pPr>
      <w:bookmarkStart w:id="12" w:name="_Toc148350399"/>
      <w:bookmarkStart w:id="13" w:name="_Toc138712729"/>
      <w:r>
        <w:rPr>
          <w:rStyle w:val="rynqvb"/>
          <w:rFonts w:cs="Arial"/>
          <w:color w:val="000000" w:themeColor="text1"/>
        </w:rPr>
        <w:t>1.7.1 Época de siembra</w:t>
      </w:r>
      <w:bookmarkEnd w:id="12"/>
      <w:bookmarkEnd w:id="13"/>
      <w:r>
        <w:rPr>
          <w:rStyle w:val="rynqvb"/>
          <w:rFonts w:cs="Arial"/>
          <w:color w:val="000000" w:themeColor="text1"/>
        </w:rPr>
        <w:t xml:space="preserve"> </w:t>
      </w:r>
    </w:p>
    <w:p w14:paraId="4983824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Es importante tener en cuenta los objetivos de la producción, si es para grano seco o maíz tierno. Para el caso de grano seco hay que considerar que la siembra se realice en un momento que garantice la cosecha en condiciones </w:t>
      </w:r>
      <w:r>
        <w:rPr>
          <w:rStyle w:val="rynqvb"/>
          <w:rFonts w:ascii="Arial" w:hAnsi="Arial" w:cs="Arial"/>
          <w:sz w:val="24"/>
          <w:szCs w:val="24"/>
        </w:rPr>
        <w:lastRenderedPageBreak/>
        <w:t xml:space="preserve">de baja humedad ambiental. La disponibilidad de riego determina también la selección de las fechas de siembra </w:t>
      </w:r>
      <w:r>
        <w:fldChar w:fldCharType="begin"/>
      </w:r>
      <w:r>
        <w:rPr>
          <w:rStyle w:val="rynqvb"/>
          <w:rFonts w:ascii="Arial" w:hAnsi="Arial" w:cs="Arial"/>
          <w:sz w:val="24"/>
          <w:szCs w:val="24"/>
        </w:rPr>
        <w:instrText>ADDIN ZOTERO_ITEM CSL_CITATION {"citationID":"dcYKQxYC","properties":{"formattedCitation":"(IIG,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55295C2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Pr>
          <w:rStyle w:val="rynqvb"/>
          <w:rFonts w:ascii="Arial" w:hAnsi="Arial" w:cs="Arial"/>
          <w:sz w:val="24"/>
          <w:szCs w:val="24"/>
        </w:rPr>
        <w:instrText>ADDIN ZOTERO_ITEM CSL_CITATION {"citationID":"RwHy8fS8","properties":{"formattedCitation":"(IIG,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2EC0E86F"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lastRenderedPageBreak/>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Pr>
          <w:rStyle w:val="rynqvb"/>
          <w:rFonts w:ascii="Arial" w:hAnsi="Arial" w:cs="Arial"/>
          <w:sz w:val="24"/>
          <w:szCs w:val="24"/>
        </w:rPr>
        <w:instrText>ADDIN ZOTERO_ITEM CSL_CITATION {"citationID":"4cSOqsmT","properties":{"formattedCitation":"(IIG,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39A1C0DE"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lastRenderedPageBreak/>
        <w:t>Es importante la preparación del suelo y manejo de arvenses para un crecimiento exitoso del cultivo. Se recomiendan distancias de 75 a 90 cm entre los surcos y 20 a 30 cm entre plantas para lograr la población deseada.</w:t>
      </w:r>
      <w:r>
        <w:rPr>
          <w:rStyle w:val="hwtze"/>
          <w:rFonts w:ascii="Arial" w:hAnsi="Arial" w:cs="Arial"/>
          <w:sz w:val="24"/>
          <w:szCs w:val="24"/>
        </w:rPr>
        <w:t xml:space="preserve"> </w:t>
      </w:r>
      <w:r>
        <w:rPr>
          <w:rStyle w:val="rynqvb"/>
          <w:rFonts w:ascii="Arial" w:hAnsi="Arial" w:cs="Arial"/>
          <w:sz w:val="24"/>
          <w:szCs w:val="24"/>
        </w:rPr>
        <w:t xml:space="preserve">La profundidad de plantación es generalmente de 5 a 8 cm, pero esto puede variar según el estado de humedad del suelo </w:t>
      </w:r>
      <w:r>
        <w:fldChar w:fldCharType="begin"/>
      </w:r>
      <w:r>
        <w:rPr>
          <w:rStyle w:val="rynqvb"/>
          <w:rFonts w:ascii="Arial" w:hAnsi="Arial" w:cs="Arial"/>
          <w:sz w:val="24"/>
          <w:szCs w:val="24"/>
        </w:rPr>
        <w:instrText>ADDIN ZOTERO_ITEM CSL_CITATION {"citationID":"Rf0N5T8T","properties":{"formattedCitation":"(IIG,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0D70D6A0" w14:textId="77777777" w:rsidR="000630B1" w:rsidRDefault="000630B1" w:rsidP="000630B1">
      <w:pPr>
        <w:pStyle w:val="Ttulo3"/>
        <w:spacing w:before="0" w:line="480" w:lineRule="auto"/>
        <w:rPr>
          <w:rStyle w:val="rynqvb"/>
          <w:rFonts w:cs="Arial"/>
          <w:b/>
          <w:color w:val="000000" w:themeColor="text1"/>
        </w:rPr>
      </w:pPr>
      <w:bookmarkStart w:id="14" w:name="_Toc148350400"/>
      <w:bookmarkStart w:id="15" w:name="_Toc138712730"/>
      <w:r>
        <w:rPr>
          <w:rStyle w:val="rynqvb"/>
          <w:rFonts w:cs="Arial"/>
          <w:color w:val="000000" w:themeColor="text1"/>
        </w:rPr>
        <w:t>1.7.2 Siembra</w:t>
      </w:r>
      <w:bookmarkEnd w:id="14"/>
      <w:bookmarkEnd w:id="15"/>
      <w:r>
        <w:rPr>
          <w:rStyle w:val="rynqvb"/>
          <w:rFonts w:cs="Arial"/>
          <w:color w:val="000000" w:themeColor="text1"/>
        </w:rPr>
        <w:t xml:space="preserve"> </w:t>
      </w:r>
    </w:p>
    <w:p w14:paraId="3CE660A9"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 este cultivo según instructivo técnico es a una distancia entre hileras en función del tipo de recolección que se vaya a realizar, en caso de ser mecanizada </w:t>
      </w:r>
      <w:r>
        <w:rPr>
          <w:rStyle w:val="rynqvb"/>
          <w:rFonts w:ascii="Arial" w:hAnsi="Arial" w:cs="Arial"/>
          <w:sz w:val="24"/>
          <w:szCs w:val="24"/>
        </w:rPr>
        <w:lastRenderedPageBreak/>
        <w:t xml:space="preserve">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fldChar w:fldCharType="begin"/>
      </w:r>
      <w:r>
        <w:rPr>
          <w:rStyle w:val="rynqvb"/>
          <w:rFonts w:ascii="Arial" w:hAnsi="Arial" w:cs="Arial"/>
          <w:sz w:val="24"/>
          <w:szCs w:val="24"/>
        </w:rPr>
        <w:instrText>ADDIN ZOTERO_ITEM CSL_CITATION {"citationID":"FxO2pIuh","properties":{"formattedCitation":"(IIG,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6D17177F"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uniformidad en la profundidad de siembra y del tamaño de la semilla son de gran importancia para lograr una </w:t>
      </w:r>
      <w:r>
        <w:rPr>
          <w:rStyle w:val="rynqvb"/>
          <w:rFonts w:ascii="Arial" w:hAnsi="Arial" w:cs="Arial"/>
          <w:sz w:val="24"/>
          <w:szCs w:val="24"/>
        </w:rPr>
        <w:lastRenderedPageBreak/>
        <w:t xml:space="preserve">emergencia uniforme y evitar atrasos en el desarrollo de las plantas.  </w:t>
      </w:r>
    </w:p>
    <w:p w14:paraId="29ED56C1" w14:textId="77777777" w:rsidR="000630B1" w:rsidRDefault="000630B1" w:rsidP="000630B1">
      <w:pPr>
        <w:pStyle w:val="Ttulo3"/>
        <w:spacing w:before="0" w:line="480" w:lineRule="auto"/>
        <w:rPr>
          <w:rStyle w:val="rynqvb"/>
          <w:rFonts w:cs="Arial"/>
          <w:b/>
          <w:color w:val="000000" w:themeColor="text1"/>
        </w:rPr>
      </w:pPr>
      <w:bookmarkStart w:id="16" w:name="_Toc148350401"/>
      <w:bookmarkStart w:id="17" w:name="_Toc138712731"/>
      <w:commentRangeStart w:id="18"/>
      <w:r>
        <w:rPr>
          <w:rStyle w:val="rynqvb"/>
          <w:rFonts w:cs="Arial"/>
          <w:color w:val="000000" w:themeColor="text1"/>
        </w:rPr>
        <w:t>1.7.3 Fertilización</w:t>
      </w:r>
      <w:bookmarkEnd w:id="16"/>
      <w:bookmarkEnd w:id="17"/>
      <w:commentRangeEnd w:id="18"/>
      <w:r>
        <w:commentReference w:id="18"/>
      </w:r>
    </w:p>
    <w:p w14:paraId="1125E815"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Con relación a la fertilización este cultivo consume aproximadamente de 100 a 150 kg ha</w:t>
      </w:r>
      <w:r>
        <w:rPr>
          <w:rFonts w:ascii="Arial" w:hAnsi="Arial" w:cs="Arial"/>
          <w:sz w:val="24"/>
          <w:szCs w:val="24"/>
          <w:vertAlign w:val="superscript"/>
        </w:rPr>
        <w:t>-1</w:t>
      </w:r>
      <w:r>
        <w:rPr>
          <w:rFonts w:ascii="Arial" w:hAnsi="Arial" w:cs="Arial"/>
          <w:sz w:val="24"/>
          <w:szCs w:val="24"/>
        </w:rPr>
        <w:t xml:space="preserve"> de N para producir unas cinco t ha</w:t>
      </w:r>
      <w:r>
        <w:rPr>
          <w:rFonts w:ascii="Arial" w:hAnsi="Arial" w:cs="Arial"/>
          <w:sz w:val="24"/>
          <w:szCs w:val="24"/>
          <w:vertAlign w:val="superscript"/>
        </w:rPr>
        <w:t>-1</w:t>
      </w:r>
      <w:r>
        <w:rPr>
          <w:rFonts w:ascii="Arial" w:hAnsi="Arial" w:cs="Arial"/>
          <w:sz w:val="24"/>
          <w:szCs w:val="24"/>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w:t>
      </w:r>
      <w:r>
        <w:rPr>
          <w:rFonts w:ascii="Arial" w:hAnsi="Arial" w:cs="Arial"/>
          <w:sz w:val="24"/>
          <w:szCs w:val="24"/>
        </w:rPr>
        <w:lastRenderedPageBreak/>
        <w:t xml:space="preserve">hasta después de la fecundación y formación de los granos </w:t>
      </w:r>
      <w:r>
        <w:fldChar w:fldCharType="begin"/>
      </w:r>
      <w:r>
        <w:rPr>
          <w:rFonts w:ascii="Arial" w:hAnsi="Arial" w:cs="Arial"/>
          <w:sz w:val="24"/>
          <w:szCs w:val="24"/>
        </w:rPr>
        <w:instrText>ADDIN ZOTERO_ITEM CSL_CITATION {"citationID":"qSQoaHtF","properties":{"formattedCitation":"(MINAG,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ascii="Arial" w:hAnsi="Arial" w:cs="Arial"/>
          <w:sz w:val="24"/>
          <w:szCs w:val="24"/>
        </w:rPr>
        <w:fldChar w:fldCharType="separate"/>
      </w:r>
      <w:r>
        <w:rPr>
          <w:rFonts w:ascii="Arial" w:hAnsi="Arial" w:cs="Arial"/>
          <w:sz w:val="24"/>
        </w:rPr>
        <w:t>(MINAG, 2012)</w:t>
      </w:r>
      <w:r>
        <w:rPr>
          <w:rFonts w:ascii="Arial" w:hAnsi="Arial" w:cs="Arial"/>
          <w:sz w:val="24"/>
          <w:szCs w:val="24"/>
        </w:rPr>
        <w:fldChar w:fldCharType="end"/>
      </w:r>
      <w:r>
        <w:rPr>
          <w:rFonts w:ascii="Arial" w:hAnsi="Arial" w:cs="Arial"/>
          <w:sz w:val="24"/>
          <w:szCs w:val="24"/>
        </w:rPr>
        <w:t xml:space="preserve"> </w:t>
      </w:r>
      <w:r>
        <w:rPr>
          <w:rFonts w:ascii="Arial" w:hAnsi="Arial" w:cs="Arial"/>
          <w:color w:val="FF0000"/>
          <w:sz w:val="24"/>
          <w:szCs w:val="24"/>
        </w:rPr>
        <w:t>más bibliografía</w:t>
      </w:r>
      <w:r>
        <w:rPr>
          <w:rFonts w:ascii="Arial" w:hAnsi="Arial" w:cs="Arial"/>
          <w:sz w:val="24"/>
          <w:szCs w:val="24"/>
        </w:rPr>
        <w:t xml:space="preserve">. </w:t>
      </w:r>
    </w:p>
    <w:p w14:paraId="7645296B"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El nitrógeno es el elemento más importante para este cultivo en las condiciones de Cuba, debido a las pérdidas a que se encuentra sometido este nutriente en el trópico por volatilización, lavado y fijación por los microorganismos del suelo.</w:t>
      </w:r>
    </w:p>
    <w:p w14:paraId="5652EC20"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Todo ello determina que el nitrógeno debe aplicarse en las dosis necesitadas por este cultivo, sus aplicaciones deben ser de forma localizada y tapada inmediatamente, se debe procurar que las condiciones de humedad sean </w:t>
      </w:r>
      <w:r>
        <w:rPr>
          <w:rFonts w:ascii="Arial" w:hAnsi="Arial" w:cs="Arial"/>
          <w:sz w:val="24"/>
          <w:szCs w:val="24"/>
        </w:rPr>
        <w:lastRenderedPageBreak/>
        <w:t xml:space="preserve">favorables. Generalmente se recomienda aplicar ⅓ del nitrógeno en siembra y ⅔ a los 25-30 días de germinado el cultivo </w:t>
      </w:r>
      <w:r>
        <w:fldChar w:fldCharType="begin"/>
      </w:r>
      <w:r>
        <w:rPr>
          <w:rFonts w:ascii="Arial" w:hAnsi="Arial" w:cs="Arial"/>
          <w:sz w:val="24"/>
          <w:szCs w:val="24"/>
        </w:rPr>
        <w:instrText>ADDIN ZOTERO_ITEM CSL_CITATION {"citationID":"9EOp4b00","properties":{"formattedCitation":"(MINAG,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ascii="Arial" w:hAnsi="Arial" w:cs="Arial"/>
          <w:sz w:val="24"/>
          <w:szCs w:val="24"/>
        </w:rPr>
        <w:fldChar w:fldCharType="separate"/>
      </w:r>
      <w:r>
        <w:rPr>
          <w:rFonts w:ascii="Arial" w:hAnsi="Arial" w:cs="Arial"/>
          <w:sz w:val="24"/>
        </w:rPr>
        <w:t>(MINAG, 2012)</w:t>
      </w:r>
      <w:r>
        <w:rPr>
          <w:rFonts w:ascii="Arial" w:hAnsi="Arial" w:cs="Arial"/>
          <w:sz w:val="24"/>
          <w:szCs w:val="24"/>
        </w:rPr>
        <w:fldChar w:fldCharType="end"/>
      </w:r>
      <w:r>
        <w:rPr>
          <w:rFonts w:ascii="Arial" w:hAnsi="Arial" w:cs="Arial"/>
          <w:sz w:val="24"/>
          <w:szCs w:val="24"/>
        </w:rPr>
        <w:t>.</w:t>
      </w:r>
    </w:p>
    <w:p w14:paraId="46396403" w14:textId="77777777" w:rsidR="000630B1" w:rsidRDefault="000630B1" w:rsidP="000630B1">
      <w:pPr>
        <w:spacing w:after="0" w:line="480" w:lineRule="auto"/>
        <w:jc w:val="both"/>
        <w:rPr>
          <w:rFonts w:ascii="Arial" w:hAnsi="Arial" w:cs="Arial"/>
          <w:b/>
          <w:color w:val="000000" w:themeColor="text1"/>
          <w:sz w:val="24"/>
          <w:szCs w:val="24"/>
        </w:rPr>
      </w:pPr>
      <w:r>
        <w:rPr>
          <w:rStyle w:val="rynqvb"/>
          <w:rFonts w:ascii="Arial" w:hAnsi="Arial" w:cs="Arial"/>
          <w:b/>
          <w:color w:val="000000" w:themeColor="text1"/>
          <w:sz w:val="24"/>
          <w:szCs w:val="24"/>
        </w:rPr>
        <w:t xml:space="preserve">1.7.4 </w:t>
      </w:r>
      <w:r>
        <w:rPr>
          <w:rFonts w:ascii="Arial" w:hAnsi="Arial" w:cs="Arial"/>
          <w:b/>
          <w:bCs/>
          <w:color w:val="000000" w:themeColor="text1"/>
          <w:sz w:val="24"/>
          <w:szCs w:val="24"/>
        </w:rPr>
        <w:t xml:space="preserve">Riego </w:t>
      </w:r>
    </w:p>
    <w:p w14:paraId="22BE9F82" w14:textId="77777777" w:rsidR="000630B1" w:rsidRDefault="000630B1" w:rsidP="000630B1">
      <w:pPr>
        <w:pStyle w:val="Default"/>
        <w:spacing w:line="480" w:lineRule="auto"/>
        <w:jc w:val="both"/>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w:t>
      </w:r>
      <w:r>
        <w:rPr>
          <w:color w:val="auto"/>
        </w:rPr>
        <w:lastRenderedPageBreak/>
        <w:t xml:space="preserve">disminuye en la fase de engrosamiento y maduración de la mazorca, aunque no es conveniente que el cultivo pase periodos con falta de agua puesto que los estomas se cierran, se reduce la fotosíntesis y el rendimiento final es menor </w:t>
      </w:r>
      <w:r>
        <w:fldChar w:fldCharType="begin"/>
      </w:r>
      <w:r>
        <w:rPr>
          <w:color w:val="auto"/>
        </w:rPr>
        <w:instrText>ADDIN ZOTERO_ITEM CSL_CITATION {"citationID":"G0zgdHQr","properties":{"formattedCitation":"(Santiago et\\uc0\\u160{}al., 2022)","plainCitation":"(Santiago et al., 2022)","noteIndex":0},"citationItems":[{"id":"UJQ2oGUC/F5SKv1Nz","uris":["http://zotero.org/users/local/NeejuBUy/items/KQL6GXVQ"],"itemData":{"id":110,"type":"paper-conference","event-place":"Teziutlán,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w:instrText>
      </w:r>
      <w:r>
        <w:rPr>
          <w:color w:val="auto"/>
        </w:rPr>
        <w:fldChar w:fldCharType="separate"/>
      </w:r>
      <w:r>
        <w:rPr>
          <w:color w:val="auto"/>
        </w:rPr>
        <w:t xml:space="preserve">(Santiago </w:t>
      </w:r>
      <w:r>
        <w:rPr>
          <w:i/>
          <w:color w:val="auto"/>
        </w:rPr>
        <w:t>et al</w:t>
      </w:r>
      <w:r>
        <w:rPr>
          <w:color w:val="auto"/>
        </w:rPr>
        <w:t>., 2022)</w:t>
      </w:r>
      <w:r>
        <w:rPr>
          <w:color w:val="auto"/>
        </w:rPr>
        <w:fldChar w:fldCharType="end"/>
      </w:r>
      <w:r>
        <w:rPr>
          <w:color w:val="auto"/>
        </w:rPr>
        <w:t>.</w:t>
      </w:r>
    </w:p>
    <w:p w14:paraId="05F9FE98" w14:textId="77777777" w:rsidR="000630B1" w:rsidRDefault="000630B1" w:rsidP="000630B1">
      <w:pPr>
        <w:pStyle w:val="Ttulo2"/>
        <w:spacing w:before="0" w:line="480" w:lineRule="auto"/>
        <w:rPr>
          <w:rStyle w:val="rynqvb"/>
          <w:rFonts w:cs="Arial"/>
          <w:szCs w:val="24"/>
        </w:rPr>
      </w:pPr>
      <w:bookmarkStart w:id="19" w:name="_Toc148350402"/>
      <w:bookmarkStart w:id="20" w:name="_Toc138712732"/>
      <w:r>
        <w:rPr>
          <w:rStyle w:val="rynqvb"/>
          <w:rFonts w:cs="Arial"/>
          <w:szCs w:val="24"/>
        </w:rPr>
        <w:t>1.8 Factores que afectan el crecimiento del maíz</w:t>
      </w:r>
      <w:bookmarkEnd w:id="19"/>
      <w:bookmarkEnd w:id="20"/>
    </w:p>
    <w:p w14:paraId="62A8C1D1"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El cultivo de maíz, es de crecimiento rápido, tiene un mayor rendimiento con temperaturas moderadas y un suministro abundante de agua.</w:t>
      </w:r>
      <w:r>
        <w:rPr>
          <w:rStyle w:val="hwtze"/>
          <w:rFonts w:ascii="Arial" w:hAnsi="Arial" w:cs="Arial"/>
          <w:sz w:val="24"/>
          <w:szCs w:val="24"/>
        </w:rPr>
        <w:t xml:space="preserve"> </w:t>
      </w:r>
      <w:r>
        <w:rPr>
          <w:rStyle w:val="rynqvb"/>
          <w:rFonts w:ascii="Arial" w:hAnsi="Arial" w:cs="Arial"/>
          <w:sz w:val="24"/>
          <w:szCs w:val="24"/>
        </w:rPr>
        <w:t xml:space="preserve">La temperatura diurna ideal para el crecimiento normal del maíz debe ser de 26 °C a </w:t>
      </w:r>
      <w:r>
        <w:rPr>
          <w:rStyle w:val="rynqvb"/>
          <w:rFonts w:ascii="Arial" w:hAnsi="Arial" w:cs="Arial"/>
          <w:sz w:val="24"/>
          <w:szCs w:val="24"/>
        </w:rPr>
        <w:lastRenderedPageBreak/>
        <w:t>30 °C, pero se pueden tolerar temperaturas más altas con la aplicación de riego.</w:t>
      </w:r>
      <w:r>
        <w:rPr>
          <w:rStyle w:val="hwtze"/>
          <w:rFonts w:ascii="Arial" w:hAnsi="Arial" w:cs="Arial"/>
          <w:sz w:val="24"/>
          <w:szCs w:val="24"/>
        </w:rPr>
        <w:t xml:space="preserve"> </w:t>
      </w:r>
    </w:p>
    <w:p w14:paraId="7F205C64"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Pr>
          <w:rStyle w:val="rynqvb"/>
          <w:rFonts w:ascii="Arial" w:hAnsi="Arial" w:cs="Arial"/>
          <w:sz w:val="24"/>
          <w:szCs w:val="24"/>
        </w:rPr>
        <w:instrText>ADDIN ZOTERO_ITEM CSL_CITATION {"citationID":"0nrKcF5p","properties":{"unsorted":true,"formattedCitation":"(Muchow &amp; Davis, 1988; Fageria, 2007)","plainCitation":"(Muchow &amp; Davis, 1988; Fageria, 2007)","dontUpdate":true,"noteIndex":0},"citationItems":[{"id":"UJQ2oGUC/y290EcqY","uris":["http://zotero.org/users/local/NeejuBUy/items/EPT8UNFE"],"itemData":{"id":142,"type":"article-journal","abstract":"Muchow,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UJQ2oGUC/x7PRB4wx","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(Muchow y Davis, 1988; Fageria, 2007)</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178576FF" w14:textId="77777777" w:rsidR="000630B1" w:rsidRDefault="000630B1" w:rsidP="000630B1">
      <w:pPr>
        <w:pStyle w:val="Default"/>
        <w:spacing w:line="480" w:lineRule="auto"/>
        <w:jc w:val="both"/>
        <w:rPr>
          <w:color w:val="auto"/>
        </w:rPr>
      </w:pPr>
      <w:r>
        <w:rPr>
          <w:color w:val="auto"/>
        </w:rPr>
        <w:t xml:space="preserve">La sequía durante la etapa de establecimiento del cultivo puede provocar la muerte de las plantas jóvenes y reducir la densidad de población. El principal efecto de la sequía </w:t>
      </w:r>
      <w:r>
        <w:rPr>
          <w:color w:val="auto"/>
        </w:rPr>
        <w:lastRenderedPageBreak/>
        <w:t xml:space="preserve">en el período vegetativo es reducir el crecimiento de las hojas, de tal modo que el cultivo intercepta menos radiación solar. Alrededor de la floración, el maíz es muy sensible al estrés hídrico y el rendimiento de grano puede ser seriamente afectado si se produce sequía en este período. Durante el llenado de granos, el principal efecto de la sequía es reducir el tamaño de estos </w:t>
      </w:r>
      <w:r>
        <w:fldChar w:fldCharType="begin"/>
      </w:r>
      <w:r>
        <w:rPr>
          <w:color w:val="auto"/>
        </w:rPr>
        <w:instrText>ADDIN ZOTERO_ITEM CSL_CITATION {"citationID":"sI8cNqSq","properties":{"formattedCitation":"(Gim\\uc0\\u233{}nez, 2012)","plainCitation":"(Giménez, 2012)","noteIndex":0},"citationItems":[{"id":"UJQ2oGUC/RRMUGxl9","uris":["http://zotero.org/users/local/NeejuBUy/items/MF5QBTAV"],"itemData":{"id":133,"type":"article-journal","abstract":"Production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w:instrText>
      </w:r>
      <w:r>
        <w:rPr>
          <w:color w:val="auto"/>
        </w:rPr>
        <w:fldChar w:fldCharType="separate"/>
      </w:r>
      <w:r>
        <w:rPr>
          <w:color w:val="auto"/>
        </w:rPr>
        <w:t>(Giménez, 2012)</w:t>
      </w:r>
      <w:r>
        <w:rPr>
          <w:color w:val="auto"/>
        </w:rPr>
        <w:fldChar w:fldCharType="end"/>
      </w:r>
      <w:r>
        <w:rPr>
          <w:color w:val="auto"/>
        </w:rPr>
        <w:t>.</w:t>
      </w:r>
    </w:p>
    <w:p w14:paraId="7632C21D" w14:textId="77777777" w:rsidR="000630B1" w:rsidRDefault="000630B1" w:rsidP="000630B1">
      <w:pPr>
        <w:pStyle w:val="Default"/>
        <w:spacing w:line="480" w:lineRule="auto"/>
        <w:jc w:val="both"/>
        <w:rPr>
          <w:color w:val="auto"/>
        </w:rPr>
      </w:pPr>
      <w:r>
        <w:rPr>
          <w:color w:val="auto"/>
        </w:rPr>
        <w:t xml:space="preserve">En general, el maíz necesita por lo menos de 500 a 700 mm de precipitación bien distribuida durante el ciclo del cultivo. Sin embargo, aun esa cantidad de lluvia no es suficiente si la humedad no puede ser almacenada en el </w:t>
      </w:r>
      <w:r>
        <w:rPr>
          <w:color w:val="auto"/>
        </w:rPr>
        <w:lastRenderedPageBreak/>
        <w:t>suelo a causa de la poca profundidad de éste o del escurrimiento o si la demanda evaporativa es muy grande a causa de las temperaturas elevadas y la escasa humedad relativa.</w:t>
      </w:r>
    </w:p>
    <w:p w14:paraId="144DDC8E" w14:textId="77777777" w:rsidR="000630B1" w:rsidRDefault="000630B1" w:rsidP="000630B1">
      <w:pPr>
        <w:rPr>
          <w:rFonts w:ascii="Arial" w:hAnsi="Arial" w:cs="Arial"/>
          <w:sz w:val="24"/>
        </w:rPr>
      </w:pPr>
    </w:p>
    <w:p w14:paraId="0A12FD8B" w14:textId="77777777" w:rsidR="000630B1" w:rsidRDefault="000630B1" w:rsidP="000630B1">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aplicación </w:t>
      </w:r>
      <w:proofErr w:type="gramStart"/>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 biofertilizantes</w:t>
      </w:r>
      <w:proofErr w:type="gramEnd"/>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en el cultivar de maíz.</w:t>
      </w:r>
    </w:p>
    <w:p w14:paraId="15957BB1" w14:textId="77777777" w:rsidR="000630B1" w:rsidRPr="0070358D" w:rsidRDefault="000630B1" w:rsidP="000630B1">
      <w:pPr>
        <w:pStyle w:val="Default"/>
        <w:spacing w:line="480" w:lineRule="auto"/>
        <w:jc w:val="both"/>
        <w:rPr>
          <w:color w:val="auto"/>
        </w:rPr>
      </w:pPr>
      <w:r w:rsidRPr="0070358D">
        <w:rPr>
          <w:color w:val="auto"/>
        </w:rPr>
        <w:t xml:space="preserve">En la actualidad en Cuba se hace necesario la utilización de biofertilizantes basados en hongos </w:t>
      </w:r>
      <w:proofErr w:type="spellStart"/>
      <w:r w:rsidRPr="0070358D">
        <w:rPr>
          <w:color w:val="auto"/>
        </w:rPr>
        <w:t>micorrízico</w:t>
      </w:r>
      <w:proofErr w:type="spellEnd"/>
      <w:r w:rsidRPr="0070358D">
        <w:rPr>
          <w:color w:val="auto"/>
        </w:rPr>
        <w:t xml:space="preserve"> </w:t>
      </w:r>
      <w:proofErr w:type="spellStart"/>
      <w:r w:rsidRPr="0070358D">
        <w:rPr>
          <w:color w:val="auto"/>
        </w:rPr>
        <w:t>arbusculares</w:t>
      </w:r>
      <w:proofErr w:type="spellEnd"/>
      <w:r w:rsidRPr="0070358D">
        <w:rPr>
          <w:color w:val="auto"/>
        </w:rPr>
        <w:t xml:space="preserve"> (HMA), debido a la poca existencia de fertilizante químico y la necesidad de garantizar rendimientos altos y son reconocidos por incrementar la producción agrícola </w:t>
      </w:r>
      <w:r w:rsidRPr="0070358D">
        <w:rPr>
          <w:color w:val="auto"/>
        </w:rPr>
        <w:lastRenderedPageBreak/>
        <w:t>de modo sustentable de forma ecológica (</w:t>
      </w:r>
      <w:proofErr w:type="spellStart"/>
      <w:r w:rsidRPr="0070358D">
        <w:rPr>
          <w:color w:val="auto"/>
        </w:rPr>
        <w:t>entreun</w:t>
      </w:r>
      <w:proofErr w:type="spellEnd"/>
      <w:r w:rsidRPr="0070358D">
        <w:rPr>
          <w:color w:val="auto"/>
        </w:rPr>
        <w:t xml:space="preserve"> 15 y 50%). </w:t>
      </w:r>
      <w:proofErr w:type="gramStart"/>
      <w:r w:rsidRPr="0070358D">
        <w:rPr>
          <w:color w:val="auto"/>
        </w:rPr>
        <w:t>( Ramón</w:t>
      </w:r>
      <w:proofErr w:type="gramEnd"/>
      <w:r w:rsidRPr="0070358D">
        <w:rPr>
          <w:color w:val="auto"/>
        </w:rPr>
        <w:t xml:space="preserve">, </w:t>
      </w:r>
      <w:proofErr w:type="spellStart"/>
      <w:r w:rsidRPr="0070358D">
        <w:rPr>
          <w:color w:val="auto"/>
        </w:rPr>
        <w:t>Ilen</w:t>
      </w:r>
      <w:proofErr w:type="spellEnd"/>
      <w:r w:rsidRPr="0070358D">
        <w:rPr>
          <w:color w:val="auto"/>
        </w:rPr>
        <w:t>)</w:t>
      </w:r>
    </w:p>
    <w:p w14:paraId="22B6DFA3" w14:textId="77777777" w:rsidR="000630B1" w:rsidRPr="0070358D" w:rsidRDefault="000630B1" w:rsidP="000630B1">
      <w:pPr>
        <w:pStyle w:val="Default"/>
        <w:spacing w:line="480" w:lineRule="auto"/>
        <w:jc w:val="both"/>
        <w:rPr>
          <w:color w:val="auto"/>
        </w:rPr>
      </w:pPr>
      <w:r w:rsidRPr="0070358D">
        <w:rPr>
          <w:color w:val="auto"/>
        </w:rPr>
        <w:t xml:space="preserve">El uso de biofertilizantes y productos bioactivos es una práctica común en la agricultura actual, entre los principales beneficios del </w:t>
      </w:r>
      <w:proofErr w:type="spellStart"/>
      <w:r w:rsidRPr="0070358D">
        <w:rPr>
          <w:color w:val="auto"/>
        </w:rPr>
        <w:t>EcoMic</w:t>
      </w:r>
      <w:proofErr w:type="spellEnd"/>
      <w:r w:rsidRPr="0070358D">
        <w:rPr>
          <w:color w:val="auto"/>
        </w:rPr>
        <w:t xml:space="preserve">® se debe mencionar el aumento de la capacidad de absorción del sistema radical fundamentalmente en suelos tropicales deficientes en fósforo asimilable, permiten </w:t>
      </w:r>
      <w:proofErr w:type="spellStart"/>
      <w:r w:rsidRPr="0070358D">
        <w:rPr>
          <w:color w:val="auto"/>
        </w:rPr>
        <w:t>absorberagua</w:t>
      </w:r>
      <w:proofErr w:type="spellEnd"/>
      <w:r w:rsidRPr="0070358D">
        <w:rPr>
          <w:color w:val="auto"/>
        </w:rPr>
        <w:t xml:space="preserve"> a potenciales más bajos que los </w:t>
      </w:r>
      <w:proofErr w:type="spellStart"/>
      <w:r w:rsidRPr="0070358D">
        <w:rPr>
          <w:color w:val="auto"/>
        </w:rPr>
        <w:t>pelosra</w:t>
      </w:r>
      <w:proofErr w:type="spellEnd"/>
      <w:r w:rsidRPr="0070358D">
        <w:rPr>
          <w:color w:val="auto"/>
        </w:rPr>
        <w:t xml:space="preserve"> </w:t>
      </w:r>
      <w:proofErr w:type="spellStart"/>
      <w:r w:rsidRPr="0070358D">
        <w:rPr>
          <w:color w:val="auto"/>
        </w:rPr>
        <w:t>dicales</w:t>
      </w:r>
      <w:proofErr w:type="spellEnd"/>
      <w:r w:rsidRPr="0070358D">
        <w:rPr>
          <w:color w:val="auto"/>
        </w:rPr>
        <w:t xml:space="preserve">, mejoran las propiedades físicas, aumentan la formación de agregados y aumenta la </w:t>
      </w:r>
      <w:r w:rsidRPr="0070358D">
        <w:rPr>
          <w:color w:val="auto"/>
        </w:rPr>
        <w:lastRenderedPageBreak/>
        <w:t>tolerancia a metales pesados y patógenos radicales. (Gertrudis, Roselys).</w:t>
      </w:r>
    </w:p>
    <w:p w14:paraId="5CAE3BBE" w14:textId="77777777" w:rsidR="000630B1" w:rsidRPr="0070358D" w:rsidRDefault="000630B1" w:rsidP="000630B1">
      <w:pPr>
        <w:pStyle w:val="Default"/>
        <w:spacing w:line="480" w:lineRule="auto"/>
        <w:jc w:val="both"/>
        <w:rPr>
          <w:color w:val="auto"/>
        </w:rPr>
      </w:pPr>
      <w:r w:rsidRPr="0070358D">
        <w:rPr>
          <w:color w:val="auto"/>
        </w:rPr>
        <w:t xml:space="preserve">Debido a la importancia del cultivo del maíz y la necesidad de hacer un uso racional de los recursos; suelo, agua, biofertilizante </w:t>
      </w:r>
      <w:proofErr w:type="spellStart"/>
      <w:r w:rsidRPr="0070358D">
        <w:rPr>
          <w:color w:val="auto"/>
        </w:rPr>
        <w:t>EcoMic</w:t>
      </w:r>
      <w:proofErr w:type="spellEnd"/>
      <w:r w:rsidRPr="0070358D">
        <w:rPr>
          <w:color w:val="auto"/>
        </w:rPr>
        <w:t>® para obtener rendimientos altos, se requiere realizar simulaciones que estimen la mejor combinación de estos recursos.</w:t>
      </w:r>
    </w:p>
    <w:p w14:paraId="2336C576"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Los modelos de simulación de cultivos</w:t>
      </w:r>
    </w:p>
    <w:p w14:paraId="074206C1" w14:textId="77777777" w:rsidR="000630B1" w:rsidRDefault="000630B1" w:rsidP="000630B1">
      <w:pPr>
        <w:spacing w:after="0" w:line="360" w:lineRule="auto"/>
        <w:jc w:val="both"/>
        <w:rPr>
          <w:rFonts w:ascii="Arial" w:hAnsi="Arial" w:cs="Arial"/>
          <w:color w:val="C00000"/>
          <w:sz w:val="24"/>
          <w:szCs w:val="24"/>
        </w:rPr>
      </w:pPr>
    </w:p>
    <w:p w14:paraId="0B09C726" w14:textId="77777777" w:rsidR="000630B1" w:rsidRDefault="000630B1" w:rsidP="000630B1">
      <w:pPr>
        <w:pStyle w:val="Default"/>
        <w:spacing w:line="480" w:lineRule="auto"/>
        <w:jc w:val="both"/>
        <w:rPr>
          <w:color w:val="auto"/>
        </w:rPr>
      </w:pPr>
      <w:r>
        <w:rPr>
          <w:color w:val="auto"/>
        </w:rPr>
        <w:lastRenderedPageBreak/>
        <w:t>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w:t>
      </w:r>
      <w:r>
        <w:fldChar w:fldCharType="begin"/>
      </w:r>
      <w:r>
        <w:rPr>
          <w:color w:val="auto"/>
        </w:rPr>
        <w:instrText>ADDIN ZOTERO_ITEM CSL_CITATION {"citationID":"fFbEifaI","properties":{"formattedCitation":"(Hern\\uc0\\u225{}ndez et\\uc0\\u160{}al., 2009)","plainCitation":"(Hernández et al., 2009)","noteIndex":0},"citationItems":[{"id":543,"uris":["http://zotero.org/users/local/1mxXpOpa/items/QXEXNBWI"],"itemData":{"id":543,"type":"article-journal","container-title":"Cultivos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w:instrText>
      </w:r>
      <w:r>
        <w:rPr>
          <w:color w:val="auto"/>
        </w:rPr>
        <w:fldChar w:fldCharType="separate"/>
      </w:r>
      <w:r>
        <w:rPr>
          <w:color w:val="auto"/>
        </w:rPr>
        <w:t>(Hernández et al., 2009)</w:t>
      </w:r>
      <w:r>
        <w:rPr>
          <w:color w:val="auto"/>
        </w:rPr>
        <w:fldChar w:fldCharType="end"/>
      </w:r>
      <w:r>
        <w:rPr>
          <w:color w:val="auto"/>
        </w:rPr>
        <w:t xml:space="preserve">. </w:t>
      </w:r>
      <w:r>
        <w:rPr>
          <w:color w:val="auto"/>
        </w:rPr>
        <w:lastRenderedPageBreak/>
        <w:t>Los modelos se conforman con la individualización de ecuaciones matemáticas, mediante las cuales es posible reproducir el comportamiento del sistema estudiado.</w:t>
      </w:r>
    </w:p>
    <w:p w14:paraId="1129B6A7" w14:textId="77777777" w:rsidR="000630B1" w:rsidRDefault="000630B1" w:rsidP="000630B1">
      <w:pPr>
        <w:spacing w:after="0" w:line="360" w:lineRule="auto"/>
        <w:jc w:val="both"/>
        <w:rPr>
          <w:rFonts w:ascii="Arial" w:hAnsi="Arial" w:cs="Arial"/>
          <w:color w:val="C00000"/>
          <w:sz w:val="24"/>
          <w:szCs w:val="24"/>
        </w:rPr>
      </w:pPr>
    </w:p>
    <w:p w14:paraId="0850E0D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Un modelo de cultivo representa, de manera sencilla y sintética, los procesos fisiológicos y ecológicos del crecimiento y desarrollo de las plantas utilizando ecuaciones matemáticas </w:t>
      </w:r>
      <w:r>
        <w:fldChar w:fldCharType="begin"/>
      </w:r>
      <w:r>
        <w:rPr>
          <w:rFonts w:ascii="Arial" w:hAnsi="Arial" w:cs="Arial"/>
          <w:sz w:val="24"/>
          <w:szCs w:val="24"/>
        </w:rPr>
        <w:instrText>ADDIN ZOTERO_ITEM CSL_CITATION {"citationID":"QA8e95iV","properties":{"formattedCitation":"(G\\uc0\\u225{}lvez et al., 2010a)","plainCitation":"(Gálvez et al., 2010a)","dontUpdate":true,"noteIndex":0},"citationItems":[{"id":"UJQ2oGUC/3IRiigxP","uris":["http://zotero.org/users/local/Ax6kcjol/items/ABHHU5MN"],"itemData":{"id":75,"type":"article-journal","title":"MODELACIÓN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(Gálvez </w:t>
      </w:r>
      <w:r>
        <w:rPr>
          <w:rFonts w:ascii="Arial" w:hAnsi="Arial" w:cs="Arial"/>
          <w:i/>
          <w:sz w:val="24"/>
          <w:szCs w:val="24"/>
        </w:rPr>
        <w:t>et al</w:t>
      </w:r>
      <w:r>
        <w:rPr>
          <w:rFonts w:ascii="Arial" w:hAnsi="Arial" w:cs="Arial"/>
          <w:sz w:val="24"/>
          <w:szCs w:val="24"/>
        </w:rPr>
        <w:t>., 2010)</w:t>
      </w:r>
      <w:r>
        <w:rPr>
          <w:rFonts w:ascii="Arial" w:hAnsi="Arial" w:cs="Arial"/>
          <w:sz w:val="24"/>
          <w:szCs w:val="24"/>
        </w:rPr>
        <w:fldChar w:fldCharType="end"/>
      </w:r>
      <w:r>
        <w:rPr>
          <w:rFonts w:ascii="Arial" w:hAnsi="Arial" w:cs="Arial"/>
          <w:sz w:val="24"/>
          <w:szCs w:val="24"/>
        </w:rPr>
        <w:t>.</w:t>
      </w:r>
    </w:p>
    <w:p w14:paraId="21CE461D" w14:textId="77777777" w:rsidR="000630B1" w:rsidRDefault="000630B1" w:rsidP="000630B1">
      <w:pPr>
        <w:spacing w:after="0" w:line="360" w:lineRule="auto"/>
        <w:jc w:val="both"/>
        <w:rPr>
          <w:rFonts w:ascii="Arial" w:hAnsi="Arial" w:cs="Arial"/>
          <w:sz w:val="24"/>
          <w:szCs w:val="24"/>
        </w:rPr>
      </w:pPr>
    </w:p>
    <w:p w14:paraId="01648E3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El desarrollo informático actual proporciona herramientas nuevas para apoyar el proceso de la toma de decisiones en diversas disciplinas y áreas de diseño y manejo de la industria. La modelación de cultivos y el análisis del sis</w:t>
      </w:r>
      <w:r>
        <w:rPr>
          <w:rFonts w:ascii="Arial" w:hAnsi="Arial" w:cs="Arial"/>
          <w:sz w:val="24"/>
          <w:szCs w:val="24"/>
        </w:rPr>
        <w:lastRenderedPageBreak/>
        <w:t xml:space="preserve">tema suelo-planta-atmósfera son herramientas importantes para la investigación agrícola moderna </w:t>
      </w:r>
      <w:r>
        <w:fldChar w:fldCharType="begin"/>
      </w:r>
      <w:r>
        <w:rPr>
          <w:rFonts w:ascii="Arial" w:hAnsi="Arial" w:cs="Arial"/>
          <w:sz w:val="24"/>
          <w:szCs w:val="24"/>
        </w:rPr>
        <w:instrText>ADDIN ZOTERO_ITEM CSL_CITATION {"citationID":"3jKJS0fD","properties":{"formattedCitation":"(Murthy, 2011)","plainCitation":"(Murthy, 2011)","noteIndex":0},"citationItems":[{"id":"UJQ2oGUC/6EfM8Agh","uris":["http://zotero.org/users/local/Ax6kcjol/items/LTDQP4NF"],"itemData":{"id":134,"type":"chapter","title":"Crop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w:instrText>
      </w:r>
      <w:r>
        <w:rPr>
          <w:rFonts w:ascii="Arial" w:hAnsi="Arial" w:cs="Arial"/>
          <w:sz w:val="24"/>
          <w:szCs w:val="24"/>
        </w:rPr>
        <w:fldChar w:fldCharType="separate"/>
      </w:r>
      <w:r>
        <w:rPr>
          <w:rFonts w:ascii="Arial" w:hAnsi="Arial" w:cs="Arial"/>
          <w:sz w:val="24"/>
        </w:rPr>
        <w:t>(Murthy, 2011)</w:t>
      </w:r>
      <w:r>
        <w:rPr>
          <w:rFonts w:ascii="Arial" w:hAnsi="Arial" w:cs="Arial"/>
          <w:sz w:val="24"/>
          <w:szCs w:val="24"/>
        </w:rPr>
        <w:fldChar w:fldCharType="end"/>
      </w:r>
      <w:r>
        <w:rPr>
          <w:rFonts w:ascii="Arial" w:hAnsi="Arial" w:cs="Arial"/>
          <w:sz w:val="24"/>
          <w:szCs w:val="24"/>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14:paraId="09B1B3D9" w14:textId="77777777" w:rsidR="000630B1" w:rsidRDefault="000630B1" w:rsidP="000630B1">
      <w:pPr>
        <w:spacing w:after="0" w:line="360" w:lineRule="auto"/>
        <w:jc w:val="both"/>
        <w:rPr>
          <w:color w:val="C00000"/>
          <w:sz w:val="23"/>
          <w:szCs w:val="23"/>
        </w:rPr>
      </w:pPr>
    </w:p>
    <w:p w14:paraId="014D3EB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aparición de los modelos de simulación ocurre a partir de la década del cincuenta con modelos descriptivos y </w:t>
      </w:r>
      <w:r>
        <w:rPr>
          <w:rFonts w:ascii="Arial" w:hAnsi="Arial" w:cs="Arial"/>
          <w:sz w:val="24"/>
          <w:szCs w:val="24"/>
        </w:rPr>
        <w:lastRenderedPageBreak/>
        <w:t xml:space="preserve">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0B6B97E9" w14:textId="77777777" w:rsidR="000630B1" w:rsidRDefault="000630B1" w:rsidP="000630B1">
      <w:pPr>
        <w:spacing w:after="0" w:line="360" w:lineRule="auto"/>
        <w:jc w:val="both"/>
        <w:rPr>
          <w:rFonts w:ascii="Arial" w:hAnsi="Arial" w:cs="Arial"/>
          <w:color w:val="C00000"/>
          <w:sz w:val="24"/>
          <w:szCs w:val="24"/>
        </w:rPr>
      </w:pPr>
    </w:p>
    <w:p w14:paraId="39AF81E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simulación de sistemas agrícolas empezó entonces a ser una herramienta para la integración de los diferentes </w:t>
      </w:r>
      <w:r>
        <w:rPr>
          <w:rFonts w:ascii="Arial" w:hAnsi="Arial" w:cs="Arial"/>
          <w:sz w:val="24"/>
          <w:szCs w:val="24"/>
        </w:rPr>
        <w:lastRenderedPageBreak/>
        <w:t xml:space="preserve">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Pr>
          <w:rFonts w:ascii="Arial" w:hAnsi="Arial" w:cs="Arial"/>
          <w:sz w:val="24"/>
          <w:szCs w:val="24"/>
        </w:rPr>
        <w:instrText>ADDIN ZOTERO_ITEM CSL_CITATION {"citationID":"ieZNFZKT","properties":{"formattedCitation":"(Barrett and Nearing, 1998)","plainCitation":"(Barrett and Nearing, 1998)","dontUpdate":true,"noteIndex":0},"citationItems":[{"id":"UJQ2oGUC/25XIyynP","uris":["http://zotero.org/users/local/Ax6kcjol/items/8FFIXLUM"],"itemData":{"id":64,"type":"article-journal","title":"Humanization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w:instrText>
      </w:r>
      <w:r>
        <w:rPr>
          <w:rFonts w:ascii="Arial" w:hAnsi="Arial" w:cs="Arial"/>
          <w:sz w:val="24"/>
          <w:szCs w:val="24"/>
        </w:rPr>
        <w:fldChar w:fldCharType="separate"/>
      </w:r>
      <w:r>
        <w:rPr>
          <w:rFonts w:ascii="Arial" w:hAnsi="Arial" w:cs="Arial"/>
          <w:sz w:val="24"/>
        </w:rPr>
        <w:t>(Barrett y Nearing, 1998)</w:t>
      </w:r>
      <w:r>
        <w:rPr>
          <w:rFonts w:ascii="Arial" w:hAnsi="Arial" w:cs="Arial"/>
          <w:sz w:val="24"/>
          <w:szCs w:val="24"/>
        </w:rPr>
        <w:fldChar w:fldCharType="end"/>
      </w:r>
      <w:r>
        <w:rPr>
          <w:rFonts w:ascii="Arial" w:hAnsi="Arial" w:cs="Arial"/>
          <w:sz w:val="24"/>
          <w:szCs w:val="24"/>
        </w:rPr>
        <w:t xml:space="preserve">. </w:t>
      </w:r>
    </w:p>
    <w:p w14:paraId="1D18383E"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Pr>
          <w:rFonts w:ascii="Arial" w:hAnsi="Arial" w:cs="Arial"/>
          <w:sz w:val="24"/>
          <w:szCs w:val="24"/>
        </w:rPr>
        <w:instrText>ADDIN ZOTERO_ITEM CSL_CITATION {"citationID":"dd0hvetw","properties":{"formattedCitation":"(Guevara, 2007)","plainCitation":"(Guevara, 2007)","noteIndex":0},"citationItems":[{"id":"UJQ2oGUC/xi6GeCxJ","uris":["http://zotero.org/users/local/Ax6kcjol/items/HA6TBDAR"],"itemData":{"id":66,"type":"article-journal","title":"La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w:instrText>
      </w:r>
      <w:r>
        <w:rPr>
          <w:rFonts w:ascii="Arial" w:hAnsi="Arial" w:cs="Arial"/>
          <w:sz w:val="24"/>
          <w:szCs w:val="24"/>
        </w:rPr>
        <w:fldChar w:fldCharType="separate"/>
      </w:r>
      <w:r>
        <w:rPr>
          <w:rFonts w:ascii="Arial" w:hAnsi="Arial" w:cs="Arial"/>
          <w:sz w:val="24"/>
        </w:rPr>
        <w:t>(Guevara, 2007)</w:t>
      </w:r>
      <w:r>
        <w:rPr>
          <w:rFonts w:ascii="Arial" w:hAnsi="Arial" w:cs="Arial"/>
          <w:sz w:val="24"/>
          <w:szCs w:val="24"/>
        </w:rPr>
        <w:fldChar w:fldCharType="end"/>
      </w:r>
      <w:r>
        <w:rPr>
          <w:rFonts w:ascii="Arial" w:hAnsi="Arial" w:cs="Arial"/>
          <w:sz w:val="24"/>
          <w:szCs w:val="24"/>
        </w:rPr>
        <w:t>.</w:t>
      </w:r>
    </w:p>
    <w:p w14:paraId="45325F84" w14:textId="77777777" w:rsidR="000630B1" w:rsidRDefault="000630B1" w:rsidP="000630B1">
      <w:pPr>
        <w:spacing w:after="0" w:line="360" w:lineRule="auto"/>
        <w:jc w:val="both"/>
        <w:rPr>
          <w:rFonts w:ascii="Arial" w:hAnsi="Arial" w:cs="Arial"/>
          <w:color w:val="C00000"/>
          <w:sz w:val="24"/>
          <w:szCs w:val="24"/>
        </w:rPr>
      </w:pPr>
    </w:p>
    <w:p w14:paraId="38871F40"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14:paraId="32C69AF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Pr>
          <w:rFonts w:ascii="Arial" w:hAnsi="Arial" w:cs="Arial"/>
          <w:sz w:val="24"/>
          <w:szCs w:val="24"/>
        </w:rPr>
        <w:instrText>ADDIN ZOTERO_ITEM CSL_CITATION {"citationID":"KFqfzfwW","properties":{"formattedCitation":"(Meira and Guevara, 2000)","plainCitation":"(Meira and Guevara, 2000)","dontUpdate":true,"noteIndex":0},"citationItems":[{"id":"UJQ2oGUC/GAYPY4bz","uris":["http://zotero.org/users/local/Ax6kcjol/items/AIH2IVI3"],"itemData":{"id":82,"type":"article-journal","title":"Uso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w:instrText>
      </w:r>
      <w:r>
        <w:rPr>
          <w:rFonts w:ascii="Arial" w:hAnsi="Arial" w:cs="Arial"/>
          <w:sz w:val="24"/>
          <w:szCs w:val="24"/>
        </w:rPr>
        <w:fldChar w:fldCharType="separate"/>
      </w:r>
      <w:r>
        <w:rPr>
          <w:rFonts w:ascii="Arial" w:hAnsi="Arial" w:cs="Arial"/>
          <w:sz w:val="24"/>
        </w:rPr>
        <w:t>(Meira y Guevara, 2000;</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{"citationID":"ijyVHW96","properties":{"formattedCitation":"(Mart\\uc0\\u237{}n et al., 2014)","plainCitation":"(Martín et al., 2014)","dontUpdate":true,"noteIndex":0},"citationItems":[{"id":"UJQ2oGUC/8v0UB6an","uris":["http://zotero.org/users/local/Ax6kcjol/items/MLI89CQH"],"itemData":{"id":153,"type":"article-journal","title":"A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Martín </w:t>
      </w:r>
      <w:r>
        <w:rPr>
          <w:rFonts w:ascii="Arial" w:hAnsi="Arial" w:cs="Arial"/>
          <w:i/>
          <w:sz w:val="24"/>
          <w:szCs w:val="24"/>
        </w:rPr>
        <w:t>et al</w:t>
      </w:r>
      <w:r>
        <w:rPr>
          <w:rFonts w:ascii="Arial" w:hAnsi="Arial" w:cs="Arial"/>
          <w:sz w:val="24"/>
          <w:szCs w:val="24"/>
        </w:rPr>
        <w:t>., 2014</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{"citationID":"wf9xibdV","properties":{"formattedCitation":"(Anwar et al., 2015)","plainCitation":"(Anwar et al., 2015)","dontUpdate":true,"noteIndex":0},"citationItems":[{"id":"UJQ2oGUC/KyXYvn6q","uris":["http://zotero.org/users/local/Ax6kcjol/items/ZZDMW4P6"],"itemData":{"id":146,"type":"article-journal","title":"Climate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Anwar </w:t>
      </w:r>
      <w:r w:rsidRPr="001E5715">
        <w:rPr>
          <w:rFonts w:ascii="Arial" w:hAnsi="Arial" w:cs="Arial"/>
          <w:i/>
          <w:sz w:val="24"/>
          <w:lang w:val="en-US"/>
        </w:rPr>
        <w:t>et al</w:t>
      </w:r>
      <w:r w:rsidRPr="001E5715">
        <w:rPr>
          <w:rFonts w:ascii="Arial" w:hAnsi="Arial" w:cs="Arial"/>
          <w:sz w:val="24"/>
          <w:lang w:val="en-US"/>
        </w:rPr>
        <w:t>., 2015</w:t>
      </w:r>
      <w:r>
        <w:rPr>
          <w:rFonts w:ascii="Arial" w:hAnsi="Arial" w:cs="Arial"/>
          <w:sz w:val="24"/>
          <w:szCs w:val="24"/>
        </w:rPr>
        <w:fldChar w:fldCharType="end"/>
      </w:r>
      <w:r w:rsidRPr="001E5715">
        <w:rPr>
          <w:rFonts w:ascii="Arial" w:hAnsi="Arial" w:cs="Arial"/>
          <w:sz w:val="24"/>
          <w:szCs w:val="24"/>
          <w:lang w:val="en-US"/>
        </w:rPr>
        <w:t xml:space="preserve">; </w:t>
      </w:r>
      <w:r>
        <w:fldChar w:fldCharType="begin"/>
      </w:r>
      <w:r w:rsidRPr="001E5715">
        <w:rPr>
          <w:rFonts w:ascii="Arial" w:hAnsi="Arial" w:cs="Arial"/>
          <w:sz w:val="24"/>
          <w:szCs w:val="24"/>
          <w:lang w:val="en-US"/>
        </w:rPr>
        <w:instrText>ADDIN ZOTERO_ITEM CSL_CITATION {"citationID":"8pzEniK6","properties":{"formattedCitation":"(S. Asseng et al., 2015)","plainCitation":"(S. Asseng et al., 2015)","dontUpdate":true,"noteIndex":0},"citationItems":[{"id":"UJQ2oGUC/lXmlsn4P","uris":["http://zotero.org/users/local/Ax6kcjol/items/8J4P2GCK"],"itemData":{"id":147,"type":"article-journal","title":"Rising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Asseng </w:t>
      </w:r>
      <w:r w:rsidRPr="001E5715">
        <w:rPr>
          <w:rFonts w:ascii="Arial" w:hAnsi="Arial" w:cs="Arial"/>
          <w:i/>
          <w:sz w:val="24"/>
          <w:lang w:val="en-US"/>
        </w:rPr>
        <w:t>et al</w:t>
      </w:r>
      <w:r w:rsidRPr="001E5715">
        <w:rPr>
          <w:rFonts w:ascii="Arial" w:hAnsi="Arial" w:cs="Arial"/>
          <w:sz w:val="24"/>
          <w:lang w:val="en-US"/>
        </w:rPr>
        <w:t>., 2015</w:t>
      </w:r>
      <w:r>
        <w:rPr>
          <w:rFonts w:ascii="Arial" w:hAnsi="Arial" w:cs="Arial"/>
          <w:sz w:val="24"/>
          <w:szCs w:val="24"/>
        </w:rPr>
        <w:fldChar w:fldCharType="end"/>
      </w:r>
      <w:r w:rsidRPr="001E5715">
        <w:rPr>
          <w:rFonts w:ascii="Arial" w:hAnsi="Arial" w:cs="Arial"/>
          <w:sz w:val="24"/>
          <w:szCs w:val="24"/>
          <w:lang w:val="en-US"/>
        </w:rPr>
        <w:t xml:space="preserve">a; </w:t>
      </w:r>
      <w:r>
        <w:fldChar w:fldCharType="begin"/>
      </w:r>
      <w:r w:rsidRPr="001E5715">
        <w:rPr>
          <w:rFonts w:ascii="Arial" w:hAnsi="Arial" w:cs="Arial"/>
          <w:sz w:val="24"/>
          <w:szCs w:val="24"/>
          <w:lang w:val="en-US"/>
        </w:rPr>
        <w:instrText>ADDIN ZOTERO_ITEM CSL_CITATION {"citationID":"pzP1a77e","properties":{"formattedCitation":"(Asseng et al., 2015)","plainCitation":"(Asseng et al., 2015)","dontUpdate":true,"noteIndex":0},"citationItems":[{"id":"UJQ2oGUC/h8OreHhG","uris":["http://zotero.org/users/local/Ax6kcjol/items/6X9PGDP3"],"itemData":{"id":149,"type":"chapter","title":"Crop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Asseng </w:t>
      </w:r>
      <w:r w:rsidRPr="001E5715">
        <w:rPr>
          <w:rFonts w:ascii="Arial" w:hAnsi="Arial" w:cs="Arial"/>
          <w:i/>
          <w:sz w:val="24"/>
          <w:lang w:val="en-US"/>
        </w:rPr>
        <w:t>et al</w:t>
      </w:r>
      <w:r w:rsidRPr="001E5715">
        <w:rPr>
          <w:rFonts w:ascii="Arial" w:hAnsi="Arial" w:cs="Arial"/>
          <w:sz w:val="24"/>
          <w:lang w:val="en-US"/>
        </w:rPr>
        <w:t>., 2015b</w:t>
      </w:r>
      <w:r>
        <w:rPr>
          <w:rFonts w:ascii="Arial" w:hAnsi="Arial" w:cs="Arial"/>
          <w:sz w:val="24"/>
          <w:szCs w:val="24"/>
        </w:rPr>
        <w:fldChar w:fldCharType="end"/>
      </w:r>
      <w:r w:rsidRPr="001E5715">
        <w:rPr>
          <w:rFonts w:ascii="Arial" w:hAnsi="Arial" w:cs="Arial"/>
          <w:sz w:val="24"/>
          <w:szCs w:val="24"/>
          <w:lang w:val="en-US"/>
        </w:rPr>
        <w:t xml:space="preserve">; </w:t>
      </w:r>
      <w:r>
        <w:fldChar w:fldCharType="begin"/>
      </w:r>
      <w:r w:rsidRPr="001E5715">
        <w:rPr>
          <w:rFonts w:ascii="Arial" w:hAnsi="Arial" w:cs="Arial"/>
          <w:sz w:val="24"/>
          <w:szCs w:val="24"/>
          <w:lang w:val="en-US"/>
        </w:rPr>
        <w:instrText>ADDIN ZOTERO_ITEM CSL_CITATION {"citationID":"CJRNhM9n","properties":{"formattedCitation":"(Mohanty et al., 2012)","plainCitation":"(Mohanty et al., 2012)","dontUpdate":true,"noteIndex":0},"citationItems":[{"id":"UJQ2oGUC/4hRbz0KE","uris":["http://zotero.org/users/local/Ax6kcjol/items/MLYBCQEG"],"itemData":{"id":151,"type":"article-journal","title":"Simulating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India.","DOI":"10.1016/j.agee.2012.02.013","ISSN":"01678809","shortTitle":"Simulating soybean–wheat cropping system","language":"en","author":[{"family":"Mohanty","given":"M."},{"family":"Probert","given":"M.E."},{"family":"Reddy","given":"K. Sammi"},{"family":"Dalal","given":"R.C."},{"family":"Mishra","given":"A.K."},{"family":"Subba Rao","given":"A."},{"family":"Singh","given":"M."},{"family":"Menzies","given":"N.W."}],"issued":{"date-parts":[["2012",5]]}}}],"schema":"https://github.com/citation-style-language/schema/raw/master/csl-citation.json"}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Mohanty </w:t>
      </w:r>
      <w:r w:rsidRPr="001E5715">
        <w:rPr>
          <w:rFonts w:ascii="Arial" w:hAnsi="Arial" w:cs="Arial"/>
          <w:i/>
          <w:sz w:val="24"/>
          <w:lang w:val="en-US"/>
        </w:rPr>
        <w:t>et al</w:t>
      </w:r>
      <w:r w:rsidRPr="001E5715">
        <w:rPr>
          <w:rFonts w:ascii="Arial" w:hAnsi="Arial" w:cs="Arial"/>
          <w:sz w:val="24"/>
          <w:lang w:val="en-US"/>
        </w:rPr>
        <w:t>., 2012)</w:t>
      </w:r>
      <w:r>
        <w:rPr>
          <w:rFonts w:ascii="Arial" w:hAnsi="Arial" w:cs="Arial"/>
          <w:sz w:val="24"/>
          <w:szCs w:val="24"/>
        </w:rPr>
        <w:fldChar w:fldCharType="end"/>
      </w:r>
      <w:r w:rsidRPr="001E5715">
        <w:rPr>
          <w:rFonts w:ascii="Arial" w:hAnsi="Arial" w:cs="Arial"/>
          <w:sz w:val="24"/>
          <w:szCs w:val="24"/>
          <w:lang w:val="en-US"/>
        </w:rPr>
        <w:t xml:space="preserve">. </w:t>
      </w:r>
      <w:r>
        <w:rPr>
          <w:rFonts w:ascii="Arial" w:hAnsi="Arial" w:cs="Arial"/>
          <w:sz w:val="24"/>
          <w:szCs w:val="24"/>
        </w:rPr>
        <w:t xml:space="preserve">Modificando la escala </w:t>
      </w:r>
      <w:r>
        <w:rPr>
          <w:rFonts w:ascii="Arial" w:hAnsi="Arial" w:cs="Arial"/>
          <w:sz w:val="24"/>
          <w:szCs w:val="24"/>
        </w:rPr>
        <w:lastRenderedPageBreak/>
        <w:t>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0834B35B" w14:textId="77777777" w:rsidR="000630B1" w:rsidRDefault="000630B1" w:rsidP="000630B1">
      <w:pPr>
        <w:spacing w:after="0" w:line="360" w:lineRule="auto"/>
        <w:jc w:val="both"/>
        <w:rPr>
          <w:rFonts w:ascii="Arial" w:hAnsi="Arial" w:cs="Arial"/>
          <w:color w:val="C00000"/>
          <w:sz w:val="24"/>
          <w:szCs w:val="24"/>
        </w:rPr>
      </w:pPr>
    </w:p>
    <w:p w14:paraId="68D15C8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w:t>
      </w:r>
      <w:r>
        <w:rPr>
          <w:rFonts w:ascii="Arial" w:hAnsi="Arial" w:cs="Arial"/>
          <w:sz w:val="24"/>
          <w:szCs w:val="24"/>
        </w:rPr>
        <w:lastRenderedPageBreak/>
        <w:t>sistemática del conocimiento existente sobre cultivos y recursos naturales.</w:t>
      </w:r>
    </w:p>
    <w:p w14:paraId="42D8C41F" w14:textId="77777777" w:rsidR="000630B1" w:rsidRDefault="000630B1" w:rsidP="000630B1">
      <w:pPr>
        <w:spacing w:after="0" w:line="360" w:lineRule="auto"/>
        <w:jc w:val="both"/>
        <w:rPr>
          <w:rFonts w:ascii="Arial" w:hAnsi="Arial" w:cs="Arial"/>
          <w:sz w:val="24"/>
          <w:szCs w:val="24"/>
        </w:rPr>
      </w:pPr>
    </w:p>
    <w:p w14:paraId="10E8C1D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Pr>
          <w:rFonts w:ascii="Arial" w:hAnsi="Arial" w:cs="Arial"/>
          <w:sz w:val="24"/>
          <w:szCs w:val="24"/>
        </w:rPr>
        <w:instrText>ADDIN ZOTERO_ITEM CSL_CITATION {"citationID":"E2yohgNp","properties":{"formattedCitation":"(G\\uc0\\u225{}lvez, 2008)","plainCitation":"(Gálvez, 2008)","dontUpdate":true,"noteIndex":0},"citationItems":[{"id":"UJQ2oGUC/j5FKoq7h","uris":["http://zotero.org/users/local/Ax6kcjol/items/9WY2AF7H"],"itemData":{"id":67,"type":"article-journal","title":"Modelación del crecimiento de las plantas. Modelación de cultivos agrícolas","container-title":"Seminario de modelación de cultivos.(1: 2008 mar. 13-14)","author":[{"family":"Gálvez","given":"G."}],"issued":{"date-parts":[["2008"]]}}}],"schema":"https://github.com/citation-style-language/schema/raw/master/csl-citation.json"}</w:instrText>
      </w:r>
      <w:r>
        <w:rPr>
          <w:rFonts w:ascii="Arial" w:hAnsi="Arial" w:cs="Arial"/>
          <w:sz w:val="24"/>
          <w:szCs w:val="24"/>
        </w:rPr>
        <w:fldChar w:fldCharType="separate"/>
      </w:r>
      <w:r>
        <w:rPr>
          <w:rFonts w:ascii="Arial" w:hAnsi="Arial" w:cs="Arial"/>
          <w:sz w:val="24"/>
          <w:szCs w:val="24"/>
        </w:rPr>
        <w:t>(Gálvez, 2008</w:t>
      </w:r>
      <w:r>
        <w:rPr>
          <w:rFonts w:ascii="Arial" w:hAnsi="Arial" w:cs="Arial"/>
          <w:sz w:val="24"/>
          <w:szCs w:val="24"/>
        </w:rPr>
        <w:fldChar w:fldCharType="end"/>
      </w:r>
      <w:r>
        <w:fldChar w:fldCharType="begin"/>
      </w:r>
      <w:r>
        <w:rPr>
          <w:rFonts w:ascii="Arial" w:hAnsi="Arial" w:cs="Arial"/>
          <w:sz w:val="24"/>
          <w:szCs w:val="24"/>
        </w:rPr>
        <w:instrText>ADDIN ZOTERO_ITEM CSL_CITATION {"citationID":"Hs920A6g","properties":{"formattedCitation":"(Dong et al., 2014)","plainCitation":"(Dong et al., 2014)","dontUpdate":true,"noteIndex":0},"citationItems":[{"id":"UJQ2oGUC/C7ldGbKh","uris":["http://zotero.org/users/local/Ax6kcjol/items/59I353GH"],"itemData":{"id":155,"type":"article-journal","title":"Analysis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 Dong </w:t>
      </w:r>
      <w:r>
        <w:rPr>
          <w:rFonts w:ascii="Arial" w:hAnsi="Arial" w:cs="Arial"/>
          <w:i/>
          <w:sz w:val="24"/>
        </w:rPr>
        <w:t>et al</w:t>
      </w:r>
      <w:r>
        <w:rPr>
          <w:rFonts w:ascii="Arial" w:hAnsi="Arial" w:cs="Arial"/>
          <w:sz w:val="24"/>
        </w:rPr>
        <w:t>., 2014)</w:t>
      </w:r>
      <w:r>
        <w:rPr>
          <w:rFonts w:ascii="Arial" w:hAnsi="Arial" w:cs="Arial"/>
          <w:sz w:val="24"/>
          <w:szCs w:val="24"/>
        </w:rPr>
        <w:fldChar w:fldCharType="end"/>
      </w:r>
      <w:r>
        <w:rPr>
          <w:rFonts w:ascii="Arial" w:hAnsi="Arial" w:cs="Arial"/>
          <w:sz w:val="24"/>
          <w:szCs w:val="24"/>
        </w:rPr>
        <w:t>.</w:t>
      </w:r>
    </w:p>
    <w:p w14:paraId="4C6204A4" w14:textId="77777777" w:rsidR="000630B1" w:rsidRDefault="000630B1" w:rsidP="000630B1">
      <w:pPr>
        <w:spacing w:after="0" w:line="360" w:lineRule="auto"/>
        <w:jc w:val="both"/>
        <w:rPr>
          <w:rFonts w:ascii="Arial" w:hAnsi="Arial" w:cs="Arial"/>
          <w:b/>
          <w:bCs/>
          <w:color w:val="C00000"/>
          <w:sz w:val="24"/>
          <w:szCs w:val="24"/>
        </w:rPr>
      </w:pPr>
    </w:p>
    <w:p w14:paraId="6758DAB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modelos se desarrollan con diferentes niveles de complejidad, teniendo en cuenta la cantidad de datos y el conocimiento que está disponible. Se han realizado diferentes clasificaciones de los modelos, pero no se pueden </w:t>
      </w:r>
      <w:r>
        <w:rPr>
          <w:rFonts w:ascii="Arial" w:hAnsi="Arial" w:cs="Arial"/>
          <w:sz w:val="24"/>
          <w:szCs w:val="24"/>
        </w:rPr>
        <w:lastRenderedPageBreak/>
        <w:t xml:space="preserve">realizar delimitaciones definidas, ya que los modelos generalmente poseen características de más de un grupo </w:t>
      </w:r>
      <w:r>
        <w:fldChar w:fldCharType="begin"/>
      </w:r>
      <w:r>
        <w:rPr>
          <w:rFonts w:ascii="Arial" w:hAnsi="Arial" w:cs="Arial"/>
          <w:sz w:val="24"/>
          <w:szCs w:val="24"/>
        </w:rPr>
        <w:instrText>ADDIN ZOTERO_ITEM CSL_CITATION {"citationID":"M2w3gt6S","properties":{"formattedCitation":"(Duran-Peralta et\\uc0\\u160{}al., 2022)","plainCitation":"(Duran-Peralta et al., 2022)","noteIndex":0},"citationItems":[{"id":545,"uris":["http://zotero.org/users/local/1mxXpOpa/items/67QR2BG3"],"itemData":{"id":545,"type":"article-journal","container-title":"Revista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w:instrText>
      </w:r>
      <w:r>
        <w:rPr>
          <w:rFonts w:ascii="Arial" w:hAnsi="Arial" w:cs="Arial"/>
          <w:sz w:val="24"/>
          <w:szCs w:val="24"/>
        </w:rPr>
        <w:fldChar w:fldCharType="separate"/>
      </w:r>
      <w:r>
        <w:rPr>
          <w:rFonts w:ascii="Arial" w:hAnsi="Arial" w:cs="Arial"/>
          <w:sz w:val="24"/>
          <w:szCs w:val="24"/>
        </w:rPr>
        <w:t>(Duran-Peralta et al., 2022)</w:t>
      </w:r>
      <w:r>
        <w:rPr>
          <w:rFonts w:ascii="Arial" w:hAnsi="Arial" w:cs="Arial"/>
          <w:sz w:val="24"/>
          <w:szCs w:val="24"/>
        </w:rPr>
        <w:fldChar w:fldCharType="end"/>
      </w:r>
      <w:r>
        <w:rPr>
          <w:rFonts w:ascii="Arial" w:hAnsi="Arial" w:cs="Arial"/>
          <w:sz w:val="24"/>
          <w:szCs w:val="24"/>
        </w:rPr>
        <w:t xml:space="preserve">. Los modelos de simulación se clasifican en dos grandes grupos: empíricos y mecanicistas. </w:t>
      </w:r>
    </w:p>
    <w:p w14:paraId="56CCC30D" w14:textId="77777777" w:rsidR="000630B1" w:rsidRDefault="000630B1" w:rsidP="000630B1">
      <w:pPr>
        <w:spacing w:after="0" w:line="360" w:lineRule="auto"/>
        <w:jc w:val="both"/>
        <w:rPr>
          <w:rFonts w:ascii="Arial" w:hAnsi="Arial" w:cs="Arial"/>
          <w:color w:val="C00000"/>
          <w:sz w:val="24"/>
          <w:szCs w:val="24"/>
        </w:rPr>
      </w:pPr>
    </w:p>
    <w:p w14:paraId="0863B89F" w14:textId="77777777" w:rsidR="000630B1" w:rsidRDefault="000630B1" w:rsidP="000630B1">
      <w:pPr>
        <w:spacing w:after="0" w:line="360" w:lineRule="auto"/>
        <w:jc w:val="both"/>
        <w:rPr>
          <w:rFonts w:ascii="TimesNewRoman" w:eastAsia="TimesNewRoman" w:hAnsi="TimesNewRoman" w:cs="TimesNewRoman"/>
          <w:sz w:val="24"/>
          <w:szCs w:val="24"/>
        </w:rPr>
      </w:pPr>
      <w:r>
        <w:rPr>
          <w:rFonts w:ascii="Arial" w:hAnsi="Arial" w:cs="Arial"/>
          <w:sz w:val="24"/>
          <w:szCs w:val="24"/>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Pr>
          <w:rFonts w:ascii="Arial" w:hAnsi="Arial" w:cs="Arial"/>
          <w:sz w:val="24"/>
          <w:szCs w:val="24"/>
        </w:rPr>
        <w:instrText>ADDIN ZOTERO_ITEM CSL_CITATION {"citationID":"6IQmWPoq","properties":{"formattedCitation":"(Villegas et\\uc0\\u160{}al., 2004)","plainCitation":"(Villegas et al., 2004)","noteIndex":0},"citationItems":[{"id":"UJQ2oGUC/KXW9tYcY","uris":["http://zotero.org/users/local/Ax6kcjol/items/SX67CNVS"],"itemData":{"id":71,"type":"article-journal","title":"MODELOS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w:instrText>
      </w:r>
      <w:r>
        <w:rPr>
          <w:rFonts w:ascii="Arial" w:hAnsi="Arial" w:cs="Arial"/>
          <w:sz w:val="24"/>
          <w:szCs w:val="24"/>
        </w:rPr>
        <w:fldChar w:fldCharType="separate"/>
      </w:r>
      <w:r>
        <w:rPr>
          <w:rFonts w:ascii="Arial" w:hAnsi="Arial" w:cs="Arial"/>
          <w:sz w:val="24"/>
          <w:szCs w:val="24"/>
        </w:rPr>
        <w:t>(Villegas et al., 2004)</w:t>
      </w:r>
      <w:r>
        <w:rPr>
          <w:rFonts w:ascii="Arial" w:hAnsi="Arial" w:cs="Arial"/>
          <w:sz w:val="24"/>
          <w:szCs w:val="24"/>
        </w:rPr>
        <w:fldChar w:fldCharType="end"/>
      </w:r>
      <w:r>
        <w:rPr>
          <w:rFonts w:ascii="Arial" w:hAnsi="Arial" w:cs="Arial"/>
          <w:sz w:val="24"/>
          <w:szCs w:val="24"/>
        </w:rPr>
        <w:t xml:space="preserve">. </w:t>
      </w:r>
      <w:r>
        <w:rPr>
          <w:rFonts w:ascii="Arial" w:eastAsia="TimesNewRoman" w:hAnsi="Arial" w:cs="Arial"/>
          <w:sz w:val="24"/>
          <w:szCs w:val="24"/>
        </w:rPr>
        <w:t xml:space="preserve">Mediante este acercamiento se identifican términos significantes desde el punto de vista físico del problema y se realiza un proceso estadístico-matemático hasta encontrar relaciones que representen </w:t>
      </w:r>
      <w:r>
        <w:rPr>
          <w:rFonts w:ascii="Arial" w:eastAsia="TimesNewRoman" w:hAnsi="Arial" w:cs="Arial"/>
          <w:sz w:val="24"/>
          <w:szCs w:val="24"/>
        </w:rPr>
        <w:lastRenderedPageBreak/>
        <w:t>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sz w:val="24"/>
          <w:szCs w:val="24"/>
        </w:rPr>
        <w:t xml:space="preserve"> </w:t>
      </w:r>
    </w:p>
    <w:p w14:paraId="74AE58A4"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Pr>
          <w:rFonts w:ascii="Arial" w:hAnsi="Arial" w:cs="Arial"/>
          <w:sz w:val="24"/>
          <w:szCs w:val="24"/>
        </w:rPr>
        <w:instrText>ADDIN ZOTERO_ITEM CSL_CITATION {"citationID":"3QAE2rUU","properties":{"formattedCitation":"(I.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w:instrText>
      </w:r>
      <w:r>
        <w:rPr>
          <w:rFonts w:ascii="Arial" w:hAnsi="Arial" w:cs="Arial"/>
          <w:sz w:val="24"/>
          <w:szCs w:val="24"/>
        </w:rPr>
        <w:fldChar w:fldCharType="separate"/>
      </w:r>
      <w:r>
        <w:rPr>
          <w:rFonts w:ascii="Arial" w:hAnsi="Arial" w:cs="Arial"/>
          <w:sz w:val="24"/>
          <w:szCs w:val="24"/>
        </w:rPr>
        <w:t>(I. L. López-Cruz et al., 2005)</w:t>
      </w:r>
      <w:r>
        <w:rPr>
          <w:rFonts w:ascii="Arial" w:hAnsi="Arial" w:cs="Arial"/>
          <w:sz w:val="24"/>
          <w:szCs w:val="24"/>
        </w:rPr>
        <w:fldChar w:fldCharType="end"/>
      </w:r>
      <w:r>
        <w:rPr>
          <w:rFonts w:ascii="Arial" w:hAnsi="Arial" w:cs="Arial"/>
          <w:sz w:val="24"/>
          <w:szCs w:val="24"/>
        </w:rPr>
        <w:t>. Estos modelos son un poderoso medio para describir y resumir datos.</w:t>
      </w:r>
    </w:p>
    <w:p w14:paraId="5F8B8436" w14:textId="77777777" w:rsidR="000630B1" w:rsidRDefault="000630B1" w:rsidP="000630B1">
      <w:pPr>
        <w:spacing w:after="0" w:line="360" w:lineRule="auto"/>
        <w:jc w:val="both"/>
        <w:rPr>
          <w:rFonts w:ascii="Arial" w:hAnsi="Arial" w:cs="Arial"/>
          <w:sz w:val="24"/>
          <w:szCs w:val="24"/>
        </w:rPr>
      </w:pPr>
    </w:p>
    <w:p w14:paraId="065BF68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Un modelo mecanicista es el conjunto o sistema de ecuaciones</w:t>
      </w:r>
    </w:p>
    <w:p w14:paraId="110DEDB1"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Pr>
          <w:rFonts w:ascii="Arial" w:hAnsi="Arial" w:cs="Arial"/>
          <w:sz w:val="24"/>
          <w:szCs w:val="24"/>
        </w:rPr>
        <w:instrText>ADDIN ZOTERO_ITEM CSL_CITATION {"citationID":"TOPaMbxj","properties":{"formattedCitation":"(I.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w:instrText>
      </w:r>
      <w:r>
        <w:rPr>
          <w:rFonts w:ascii="Arial" w:hAnsi="Arial" w:cs="Arial"/>
          <w:sz w:val="24"/>
          <w:szCs w:val="24"/>
        </w:rPr>
        <w:fldChar w:fldCharType="separate"/>
      </w:r>
      <w:r>
        <w:rPr>
          <w:rFonts w:ascii="Arial" w:hAnsi="Arial" w:cs="Arial"/>
          <w:sz w:val="24"/>
          <w:szCs w:val="24"/>
        </w:rPr>
        <w:t>(I. L. López-Cruz et al., 2005)</w:t>
      </w:r>
      <w:r>
        <w:rPr>
          <w:rFonts w:ascii="Arial" w:hAnsi="Arial" w:cs="Arial"/>
          <w:sz w:val="24"/>
          <w:szCs w:val="24"/>
        </w:rPr>
        <w:fldChar w:fldCharType="end"/>
      </w:r>
      <w:r>
        <w:rPr>
          <w:rFonts w:ascii="Arial" w:hAnsi="Arial" w:cs="Arial"/>
          <w:sz w:val="24"/>
          <w:szCs w:val="24"/>
        </w:rPr>
        <w:t xml:space="preserve">. </w:t>
      </w:r>
    </w:p>
    <w:p w14:paraId="5E6465C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los modelos </w:t>
      </w:r>
      <w:proofErr w:type="spellStart"/>
      <w:r>
        <w:rPr>
          <w:rFonts w:ascii="Arial" w:hAnsi="Arial" w:cs="Arial"/>
          <w:sz w:val="24"/>
          <w:szCs w:val="24"/>
        </w:rPr>
        <w:t>mecanísticos</w:t>
      </w:r>
      <w:proofErr w:type="spellEnd"/>
      <w:r>
        <w:rPr>
          <w:rFonts w:ascii="Arial" w:hAnsi="Arial" w:cs="Arial"/>
          <w:sz w:val="24"/>
          <w:szCs w:val="24"/>
        </w:rPr>
        <w:t xml:space="preserve">,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w:t>
      </w:r>
      <w:r>
        <w:rPr>
          <w:rFonts w:ascii="Arial" w:hAnsi="Arial" w:cs="Arial"/>
          <w:sz w:val="24"/>
          <w:szCs w:val="24"/>
        </w:rPr>
        <w:lastRenderedPageBreak/>
        <w:t xml:space="preserve">modelos </w:t>
      </w:r>
      <w:proofErr w:type="spellStart"/>
      <w:r>
        <w:rPr>
          <w:rFonts w:ascii="Arial" w:hAnsi="Arial" w:cs="Arial"/>
          <w:sz w:val="24"/>
          <w:szCs w:val="24"/>
        </w:rPr>
        <w:t>mecanísticos</w:t>
      </w:r>
      <w:proofErr w:type="spellEnd"/>
      <w:r>
        <w:rPr>
          <w:rFonts w:ascii="Arial" w:hAnsi="Arial" w:cs="Arial"/>
          <w:sz w:val="24"/>
          <w:szCs w:val="24"/>
        </w:rPr>
        <w:t xml:space="preserve"> es que ellos pueden ser transferidos a otro conjunto de condiciones y, por lo tanto, ofrecen más posibilidades para manipular y mejorar el sistema, lo que lo hace ideal para construir diversos escenarios </w:t>
      </w:r>
      <w:r>
        <w:fldChar w:fldCharType="begin"/>
      </w:r>
      <w:r>
        <w:rPr>
          <w:rFonts w:ascii="Arial" w:hAnsi="Arial" w:cs="Arial"/>
          <w:sz w:val="24"/>
          <w:szCs w:val="24"/>
        </w:rPr>
        <w:instrText>ADDIN ZOTERO_ITEM CSL_CITATION {"citationID":"6ha519ai","properties":{"formattedCitation":"(De Wit, 1986)","plainCitation":"(De Wit, 1986)","dontUpdate":true,"noteIndex":0},"citationItems":[{"id":"UJQ2oGUC/PVfYTBbi","uris":["http://zotero.org/users/local/Ax6kcjol/items/657CAXUC"],"itemData":{"id":191,"type":"article-journal","title":"Modelling Agricultural Production","container-title":"Acta Horticulturae","page":"59-70","volume":"184","author":[{"family":"De Wit","given":"C.T."}],"issued":{"date-parts":[["1986"]]}}}],"schema":"https://github.com/citation-style-language/schema/raw/master/csl-citation.json"}</w:instrText>
      </w:r>
      <w:r>
        <w:rPr>
          <w:rFonts w:ascii="Arial" w:hAnsi="Arial" w:cs="Arial"/>
          <w:sz w:val="24"/>
          <w:szCs w:val="24"/>
        </w:rPr>
        <w:fldChar w:fldCharType="separate"/>
      </w:r>
      <w:r>
        <w:rPr>
          <w:rFonts w:ascii="Arial" w:hAnsi="Arial" w:cs="Arial"/>
          <w:sz w:val="24"/>
          <w:szCs w:val="24"/>
        </w:rPr>
        <w:t>(De Wit, 1986</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{"citationID":"YJB5XrGx","properties":{"formattedCitation":"(Link, 2005)","plainCitation":"(Link, 2005)","dontUpdate":true,"noteIndex":0},"citationItems":[{"id":"UJQ2oGUC/m2OHlK8P","uris":["http://zotero.org/users/local/Ax6kcjol/items/4RX5BKW4"],"itemData":{"id":192,"type":"thesis","title":"Investigation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w:instrText>
      </w:r>
      <w:r>
        <w:rPr>
          <w:rFonts w:ascii="Arial" w:hAnsi="Arial" w:cs="Arial"/>
          <w:sz w:val="24"/>
          <w:szCs w:val="24"/>
        </w:rPr>
        <w:fldChar w:fldCharType="separate"/>
      </w:r>
      <w:r>
        <w:rPr>
          <w:rFonts w:ascii="Arial" w:hAnsi="Arial" w:cs="Arial"/>
          <w:sz w:val="24"/>
          <w:szCs w:val="24"/>
        </w:rPr>
        <w:t>Link, 2005)</w:t>
      </w:r>
      <w:r>
        <w:rPr>
          <w:rFonts w:ascii="Arial" w:hAnsi="Arial" w:cs="Arial"/>
          <w:sz w:val="24"/>
          <w:szCs w:val="24"/>
        </w:rPr>
        <w:fldChar w:fldCharType="end"/>
      </w:r>
      <w:r>
        <w:rPr>
          <w:rFonts w:ascii="Arial" w:hAnsi="Arial" w:cs="Arial"/>
          <w:sz w:val="24"/>
          <w:szCs w:val="24"/>
        </w:rPr>
        <w:t xml:space="preserve">. </w:t>
      </w:r>
    </w:p>
    <w:p w14:paraId="4CA28D1E" w14:textId="77777777" w:rsidR="000630B1" w:rsidRDefault="000630B1" w:rsidP="000630B1">
      <w:pPr>
        <w:spacing w:after="0" w:line="360" w:lineRule="auto"/>
        <w:jc w:val="both"/>
        <w:rPr>
          <w:rFonts w:ascii="Arial" w:hAnsi="Arial" w:cs="Arial"/>
          <w:sz w:val="24"/>
          <w:szCs w:val="24"/>
        </w:rPr>
      </w:pPr>
    </w:p>
    <w:p w14:paraId="130C865A"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Los modelos de cultivos necesitan ser calibrados y validados para poder realizar simulaciones de la respuesta del cultivo a determinados factores.</w:t>
      </w:r>
    </w:p>
    <w:p w14:paraId="628AE4FD" w14:textId="77777777" w:rsidR="000630B1" w:rsidRDefault="000630B1" w:rsidP="000630B1">
      <w:pPr>
        <w:spacing w:after="0" w:line="360" w:lineRule="auto"/>
        <w:jc w:val="both"/>
        <w:rPr>
          <w:rFonts w:ascii="Arial" w:hAnsi="Arial" w:cs="Arial"/>
          <w:color w:val="C00000"/>
          <w:sz w:val="24"/>
          <w:szCs w:val="24"/>
        </w:rPr>
      </w:pPr>
    </w:p>
    <w:p w14:paraId="057FA3E4"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Calibración</w:t>
      </w:r>
    </w:p>
    <w:p w14:paraId="0CBF1D79" w14:textId="77777777" w:rsidR="000630B1" w:rsidRDefault="000630B1" w:rsidP="000630B1">
      <w:pPr>
        <w:spacing w:after="0" w:line="360" w:lineRule="auto"/>
        <w:jc w:val="both"/>
        <w:rPr>
          <w:rStyle w:val="tlid-translation"/>
        </w:rPr>
      </w:pPr>
      <w:r>
        <w:rPr>
          <w:rStyle w:val="tlid-translation"/>
          <w:rFonts w:ascii="Arial" w:hAnsi="Arial" w:cs="Arial"/>
          <w:sz w:val="24"/>
          <w:szCs w:val="24"/>
        </w:rPr>
        <w:t xml:space="preserve">Todo modelo para su uso debe ser calibrado para ajustar los parámetros con el objetivo de realizar simulaciones más precisas con valores similares a los observados  </w:t>
      </w:r>
      <w:r>
        <w:fldChar w:fldCharType="begin"/>
      </w:r>
      <w:r>
        <w:rPr>
          <w:rStyle w:val="tlid-translation"/>
          <w:rFonts w:ascii="Arial" w:hAnsi="Arial" w:cs="Arial"/>
          <w:sz w:val="24"/>
          <w:szCs w:val="24"/>
        </w:rPr>
        <w:instrText>ADDIN ZOTERO_ITEM CSL_CITATION {"citationID":"9xywRA0H","properties":{"formattedCitation":"(Trombetta et\\uc0\\u160{}al., 2016)","plainCitation":"(Trombetta et al., 2016)","noteIndex":0},"citationItems":[{"id":53,"uris":["http://zotero.org/users/local/1mxXpOpa/items/HGHWBUFF"],"itemData":{"id":53,"type":"article-journal","abstract":"In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w:instrText>
      </w:r>
      <w:r>
        <w:rPr>
          <w:rStyle w:val="tlid-translation"/>
          <w:rFonts w:ascii="Arial" w:hAnsi="Arial" w:cs="Arial"/>
          <w:sz w:val="24"/>
          <w:szCs w:val="24"/>
        </w:rPr>
        <w:fldChar w:fldCharType="separate"/>
      </w:r>
      <w:r>
        <w:rPr>
          <w:rFonts w:ascii="Arial" w:hAnsi="Arial" w:cs="Arial"/>
          <w:sz w:val="24"/>
          <w:szCs w:val="24"/>
        </w:rPr>
        <w:t>(Trombetta et al., 2016)</w:t>
      </w:r>
      <w:r>
        <w:rPr>
          <w:rStyle w:val="tlid-translation"/>
          <w:rFonts w:ascii="Arial" w:hAnsi="Arial" w:cs="Arial"/>
          <w:sz w:val="24"/>
          <w:szCs w:val="24"/>
        </w:rPr>
        <w:fldChar w:fldCharType="end"/>
      </w:r>
      <w:r>
        <w:rPr>
          <w:rStyle w:val="tlid-translation"/>
          <w:rFonts w:ascii="Arial" w:hAnsi="Arial" w:cs="Arial"/>
          <w:sz w:val="24"/>
          <w:szCs w:val="24"/>
        </w:rPr>
        <w:t>.</w:t>
      </w:r>
    </w:p>
    <w:p w14:paraId="1ADA74EA" w14:textId="77777777" w:rsidR="000630B1" w:rsidRDefault="000630B1" w:rsidP="000630B1">
      <w:pPr>
        <w:spacing w:after="0" w:line="360" w:lineRule="auto"/>
        <w:jc w:val="both"/>
        <w:rPr>
          <w:rStyle w:val="tlid-translation"/>
          <w:rFonts w:ascii="Arial" w:hAnsi="Arial" w:cs="Arial"/>
          <w:sz w:val="24"/>
          <w:szCs w:val="24"/>
        </w:rPr>
      </w:pPr>
    </w:p>
    <w:p w14:paraId="49C3F333" w14:textId="77777777" w:rsidR="000630B1" w:rsidRDefault="000630B1" w:rsidP="000630B1">
      <w:pPr>
        <w:spacing w:after="0" w:line="360" w:lineRule="auto"/>
        <w:jc w:val="both"/>
        <w:rPr>
          <w:rFonts w:eastAsia="Times New Roman"/>
          <w:color w:val="C00000"/>
          <w:lang w:eastAsia="es-ES"/>
        </w:rPr>
      </w:pPr>
      <w:r>
        <w:rPr>
          <w:rStyle w:val="tlid-translation"/>
          <w:rFonts w:ascii="Arial" w:hAnsi="Arial" w:cs="Arial"/>
          <w:sz w:val="24"/>
          <w:szCs w:val="24"/>
        </w:rPr>
        <w:t xml:space="preserve">El propósito de calibrar un modelo es obtener resultados de simulaciones precisas y de alta calidad que muestren un buen acuerdo con los datos medidos. Para esta tarea se utilizan varios estadígrafos, como </w:t>
      </w:r>
      <w:r>
        <w:rPr>
          <w:rFonts w:ascii="Arial" w:hAnsi="Arial" w:cs="Arial"/>
          <w:sz w:val="24"/>
          <w:szCs w:val="24"/>
        </w:rPr>
        <w:t xml:space="preserve">la raíz cuadrada del cuadrado medio del error (RMSE), </w:t>
      </w:r>
      <w:r>
        <w:rPr>
          <w:rFonts w:ascii="Arial" w:eastAsiaTheme="minorEastAsia" w:hAnsi="Arial" w:cs="Arial"/>
          <w:sz w:val="24"/>
          <w:szCs w:val="24"/>
        </w:rPr>
        <w:t>el RMSE normalizado (</w:t>
      </w:r>
      <w:proofErr w:type="spellStart"/>
      <w:r>
        <w:rPr>
          <w:rFonts w:ascii="Arial" w:eastAsiaTheme="minorEastAsia" w:hAnsi="Arial" w:cs="Arial"/>
          <w:sz w:val="24"/>
          <w:szCs w:val="24"/>
        </w:rPr>
        <w:t>RMSEn</w:t>
      </w:r>
      <w:proofErr w:type="spellEnd"/>
      <w:r>
        <w:rPr>
          <w:rFonts w:ascii="Arial" w:eastAsiaTheme="minorEastAsia" w:hAnsi="Arial" w:cs="Arial"/>
          <w:sz w:val="24"/>
          <w:szCs w:val="24"/>
        </w:rPr>
        <w:t xml:space="preserve">) y el índice de </w:t>
      </w:r>
      <w:proofErr w:type="spellStart"/>
      <w:r>
        <w:rPr>
          <w:rFonts w:ascii="Arial" w:eastAsiaTheme="minorEastAsia" w:hAnsi="Arial" w:cs="Arial"/>
          <w:sz w:val="24"/>
          <w:szCs w:val="24"/>
        </w:rPr>
        <w:t>Willmott</w:t>
      </w:r>
      <w:proofErr w:type="spellEnd"/>
      <w:r>
        <w:rPr>
          <w:rFonts w:ascii="Arial" w:eastAsiaTheme="minorEastAsia" w:hAnsi="Arial" w:cs="Arial"/>
          <w:sz w:val="24"/>
          <w:szCs w:val="24"/>
        </w:rPr>
        <w:t xml:space="preserve"> (d).</w:t>
      </w:r>
      <w:r>
        <w:rPr>
          <w:rStyle w:val="tlid-translation"/>
          <w:rFonts w:ascii="Arial" w:hAnsi="Arial" w:cs="Arial"/>
          <w:sz w:val="24"/>
          <w:szCs w:val="24"/>
        </w:rPr>
        <w:t xml:space="preserve"> Un modelo de simulación puede ser calibrado hasta que cumpla con todos estos criterios.</w:t>
      </w:r>
    </w:p>
    <w:p w14:paraId="7D55BC39" w14:textId="77777777" w:rsidR="000630B1" w:rsidRDefault="000630B1" w:rsidP="000630B1">
      <w:pPr>
        <w:spacing w:after="0" w:line="360" w:lineRule="auto"/>
        <w:rPr>
          <w:rFonts w:ascii="Arial" w:hAnsi="Arial" w:cs="Arial"/>
          <w:color w:val="C00000"/>
          <w:sz w:val="24"/>
          <w:szCs w:val="24"/>
        </w:rPr>
      </w:pPr>
    </w:p>
    <w:p w14:paraId="5D22C899"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Validación</w:t>
      </w:r>
    </w:p>
    <w:p w14:paraId="1A767305"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validación es una de las principales etapas de un estudio de simulación </w:t>
      </w:r>
      <w:r>
        <w:fldChar w:fldCharType="begin"/>
      </w:r>
      <w:r>
        <w:rPr>
          <w:rFonts w:ascii="Arial" w:hAnsi="Arial" w:cs="Arial"/>
          <w:sz w:val="24"/>
          <w:szCs w:val="24"/>
        </w:rPr>
        <w:instrText>ADDIN ZOTERO_ITEM CSL_CITATION {"citationID":"J048y0P8","properties":{"formattedCitation":"(Ahmed et\\uc0\\u160{}al., 2016)","plainCitation":"(Ahmed et al., 2016)","noteIndex":0},"citationItems":[{"id":39,"uris":["http://zotero.org/users/local/1mxXpOpa/items/4B5HAAGL"],"itemData":{"id":39,"type":"article-journal","abstract":"Crop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w:instrText>
      </w:r>
      <w:r>
        <w:rPr>
          <w:rFonts w:ascii="Arial" w:hAnsi="Arial" w:cs="Arial"/>
          <w:sz w:val="24"/>
          <w:szCs w:val="24"/>
        </w:rPr>
        <w:fldChar w:fldCharType="separate"/>
      </w:r>
      <w:r>
        <w:rPr>
          <w:rFonts w:ascii="Arial" w:hAnsi="Arial" w:cs="Arial"/>
          <w:sz w:val="24"/>
          <w:szCs w:val="24"/>
        </w:rPr>
        <w:t>(Ahmed et al., 2016)</w:t>
      </w:r>
      <w:r>
        <w:rPr>
          <w:rFonts w:ascii="Arial" w:hAnsi="Arial" w:cs="Arial"/>
          <w:sz w:val="24"/>
          <w:szCs w:val="24"/>
        </w:rPr>
        <w:fldChar w:fldCharType="end"/>
      </w:r>
      <w:r>
        <w:rPr>
          <w:rFonts w:ascii="Arial" w:hAnsi="Arial" w:cs="Arial"/>
          <w:sz w:val="24"/>
          <w:szCs w:val="24"/>
        </w:rPr>
        <w:t>, ya que permite determinar deficiencias en la calibración del modelo.</w:t>
      </w:r>
    </w:p>
    <w:p w14:paraId="4D274DB3" w14:textId="77777777" w:rsidR="000630B1" w:rsidRDefault="000630B1" w:rsidP="000630B1">
      <w:pPr>
        <w:spacing w:after="0" w:line="360" w:lineRule="auto"/>
        <w:rPr>
          <w:rFonts w:ascii="Times New Roman PSMT" w:hAnsi="Times New Roman PSMT" w:cs="Times New Roman PSMT"/>
        </w:rPr>
      </w:pPr>
    </w:p>
    <w:p w14:paraId="77DC9F6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 xml:space="preserve">Una forma muy común de validar los modelos es observando la exactitud con que este predice datos históricos utilizando los estadígrafos descritos anteriormente. </w:t>
      </w:r>
    </w:p>
    <w:p w14:paraId="65DCD271" w14:textId="77777777" w:rsidR="000630B1" w:rsidRDefault="000630B1" w:rsidP="000630B1">
      <w:pPr>
        <w:spacing w:after="0" w:line="360" w:lineRule="auto"/>
        <w:jc w:val="both"/>
        <w:rPr>
          <w:rFonts w:ascii="Arial" w:hAnsi="Arial" w:cs="Arial"/>
          <w:color w:val="C00000"/>
          <w:sz w:val="24"/>
          <w:szCs w:val="24"/>
        </w:rPr>
      </w:pPr>
    </w:p>
    <w:p w14:paraId="63821B94"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Simulación</w:t>
      </w:r>
    </w:p>
    <w:p w14:paraId="1168F780"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Torres 2002, define  la simulación como una técnica numérica para la realización de experimentos con determinados tipos de modelos matemáticos, los cuales describen el comportamiento de un sistema complejo dinámico, mediante el empleo de la computación </w:t>
      </w:r>
      <w:r>
        <w:fldChar w:fldCharType="begin"/>
      </w:r>
      <w:r>
        <w:rPr>
          <w:rFonts w:ascii="Arial" w:hAnsi="Arial" w:cs="Arial"/>
          <w:sz w:val="24"/>
          <w:szCs w:val="24"/>
        </w:rPr>
        <w:instrText>ADDIN ZOTERO_ITEM CSL_CITATION {"citationID":"R8BrY2gV","properties":{"formattedCitation":"(Torres et\\uc0\\u160{}al., 2002)","plainCitation":"(Torres et al., 2002)","noteIndex":0},"citationItems":[{"id":"UJQ2oGUC/4nxqsAQ2","uris":["http://zotero.org/users/local/Ax6kcjol/items/ZAB7PSST"],"itemData":{"id":81,"type":"article-journal","title":"SIMULACIÓN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w:instrText>
      </w:r>
      <w:r>
        <w:rPr>
          <w:rFonts w:ascii="Arial" w:hAnsi="Arial" w:cs="Arial"/>
          <w:sz w:val="24"/>
          <w:szCs w:val="24"/>
        </w:rPr>
        <w:fldChar w:fldCharType="separate"/>
      </w:r>
      <w:r>
        <w:rPr>
          <w:rFonts w:ascii="Arial" w:hAnsi="Arial" w:cs="Arial"/>
          <w:sz w:val="24"/>
          <w:szCs w:val="24"/>
        </w:rPr>
        <w:t>(Torres et al., 2002)</w:t>
      </w:r>
      <w:r>
        <w:rPr>
          <w:rFonts w:ascii="Arial" w:hAnsi="Arial" w:cs="Arial"/>
          <w:sz w:val="24"/>
          <w:szCs w:val="24"/>
        </w:rPr>
        <w:fldChar w:fldCharType="end"/>
      </w:r>
      <w:r>
        <w:rPr>
          <w:rFonts w:ascii="Arial" w:hAnsi="Arial" w:cs="Arial"/>
          <w:sz w:val="24"/>
          <w:szCs w:val="24"/>
        </w:rPr>
        <w:t xml:space="preserve">. </w:t>
      </w:r>
    </w:p>
    <w:p w14:paraId="02EBB136" w14:textId="77777777" w:rsidR="000630B1" w:rsidRDefault="000630B1" w:rsidP="000630B1">
      <w:pPr>
        <w:spacing w:after="0" w:line="360" w:lineRule="auto"/>
        <w:jc w:val="both"/>
        <w:rPr>
          <w:rFonts w:ascii="Arial" w:hAnsi="Arial" w:cs="Arial"/>
          <w:color w:val="C00000"/>
          <w:sz w:val="24"/>
          <w:szCs w:val="24"/>
        </w:rPr>
      </w:pPr>
    </w:p>
    <w:p w14:paraId="26FA1193"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La simulación una técnica utilizada para imitar el funcionamiento de sistemas o procesos reales mediante progra</w:t>
      </w:r>
      <w:r>
        <w:rPr>
          <w:rFonts w:ascii="Arial" w:hAnsi="Arial" w:cs="Arial"/>
          <w:sz w:val="24"/>
          <w:szCs w:val="24"/>
        </w:rPr>
        <w:lastRenderedPageBreak/>
        <w:t xml:space="preserve">mas de ordenador. Para estudiar el sistema suele ser necesario hacer algunas suposiciones sobre su forma de operar. </w:t>
      </w:r>
    </w:p>
    <w:p w14:paraId="62810DA4" w14:textId="77777777" w:rsidR="000630B1" w:rsidRDefault="000630B1" w:rsidP="000630B1">
      <w:pPr>
        <w:spacing w:after="0" w:line="360" w:lineRule="auto"/>
        <w:jc w:val="both"/>
        <w:rPr>
          <w:rFonts w:ascii="Arial" w:hAnsi="Arial" w:cs="Arial"/>
          <w:color w:val="C00000"/>
          <w:sz w:val="24"/>
          <w:szCs w:val="24"/>
        </w:rPr>
      </w:pPr>
    </w:p>
    <w:p w14:paraId="0BF54A3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5C2DAAB9" w14:textId="77777777" w:rsidR="000630B1" w:rsidRDefault="000630B1" w:rsidP="000630B1">
      <w:pPr>
        <w:spacing w:after="0" w:line="360" w:lineRule="auto"/>
        <w:jc w:val="both"/>
        <w:rPr>
          <w:rFonts w:ascii="Arial" w:hAnsi="Arial" w:cs="Arial"/>
          <w:color w:val="C00000"/>
          <w:sz w:val="24"/>
          <w:szCs w:val="24"/>
        </w:rPr>
      </w:pPr>
    </w:p>
    <w:p w14:paraId="5EFB6D9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Por otra parte, los modelos de simulación de cultivos son herramientas que utilizan información obtenida a través </w:t>
      </w:r>
      <w:r>
        <w:rPr>
          <w:rFonts w:ascii="Arial" w:hAnsi="Arial" w:cs="Arial"/>
          <w:sz w:val="24"/>
          <w:szCs w:val="24"/>
        </w:rPr>
        <w:lastRenderedPageBreak/>
        <w:t xml:space="preserve">de experiencias anteriores y permiten proyectar los resultados físicos y económicos, teniendo en cuenta todos los factores que interactúan en un determinado ambiente. </w:t>
      </w:r>
    </w:p>
    <w:p w14:paraId="6EA9549C" w14:textId="77777777" w:rsidR="000630B1" w:rsidRDefault="000630B1" w:rsidP="000630B1">
      <w:pPr>
        <w:spacing w:after="0" w:line="360" w:lineRule="auto"/>
        <w:jc w:val="both"/>
        <w:rPr>
          <w:color w:val="C00000"/>
        </w:rPr>
      </w:pPr>
    </w:p>
    <w:p w14:paraId="711FDB6E" w14:textId="77777777" w:rsidR="000630B1" w:rsidRDefault="000630B1" w:rsidP="000630B1">
      <w:pPr>
        <w:spacing w:after="0" w:line="360" w:lineRule="auto"/>
        <w:jc w:val="both"/>
        <w:rPr>
          <w:rFonts w:ascii="Arial" w:eastAsia="TimesNewRoman" w:hAnsi="Arial" w:cs="Arial"/>
          <w:sz w:val="24"/>
          <w:szCs w:val="24"/>
        </w:rPr>
      </w:pPr>
      <w:r>
        <w:rPr>
          <w:rFonts w:ascii="Arial" w:eastAsia="TimesNewRoman" w:hAnsi="Arial" w:cs="Arial"/>
          <w:sz w:val="24"/>
          <w:szCs w:val="24"/>
        </w:rPr>
        <w:t>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t>
      </w:r>
      <w:proofErr w:type="spellStart"/>
      <w:r>
        <w:rPr>
          <w:rFonts w:ascii="Arial" w:eastAsia="TimesNewRoman" w:hAnsi="Arial" w:cs="Arial"/>
          <w:sz w:val="24"/>
          <w:szCs w:val="24"/>
        </w:rPr>
        <w:t>Wheat</w:t>
      </w:r>
      <w:proofErr w:type="spellEnd"/>
      <w:r>
        <w:rPr>
          <w:rFonts w:ascii="Arial" w:eastAsia="TimesNewRoman" w:hAnsi="Arial" w:cs="Arial"/>
          <w:sz w:val="24"/>
          <w:szCs w:val="24"/>
        </w:rPr>
        <w:t xml:space="preserve"> </w:t>
      </w:r>
      <w:r>
        <w:fldChar w:fldCharType="begin"/>
      </w:r>
      <w:r>
        <w:rPr>
          <w:rFonts w:ascii="Arial" w:eastAsia="TimesNewRoman" w:hAnsi="Arial" w:cs="Arial"/>
          <w:sz w:val="24"/>
          <w:szCs w:val="24"/>
        </w:rPr>
        <w:instrText>ADDIN ZOTERO_ITEM CSL_CITATION {"citationID":"ChqZnWCQ","properties":{"formattedCitation":"(Hodges and Ritchie, 1991)","plainCitation":"(Hodges and Ritchie, 1991)","dontUpdate":true,"noteIndex":0},"citationItems":[{"id":"UJQ2oGUC/ptCjglzq","uris":["http://zotero.org/users/local/4iXk4cSJ/items/FPSHWFW7"],"itemData":{"id":200,"type":"article-journal","title":"The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(Hodges y Ritchie, 1991)</w:t>
      </w:r>
      <w:r>
        <w:rPr>
          <w:rFonts w:ascii="Arial" w:eastAsia="TimesNewRoman" w:hAnsi="Arial" w:cs="Arial"/>
          <w:sz w:val="24"/>
          <w:szCs w:val="24"/>
        </w:rPr>
        <w:fldChar w:fldCharType="end"/>
      </w:r>
      <w:r>
        <w:rPr>
          <w:rFonts w:ascii="Arial" w:eastAsia="TimesNewRoman" w:hAnsi="Arial" w:cs="Arial"/>
          <w:sz w:val="24"/>
          <w:szCs w:val="24"/>
        </w:rPr>
        <w:t xml:space="preserve"> y CERES-</w:t>
      </w:r>
      <w:proofErr w:type="spellStart"/>
      <w:r>
        <w:rPr>
          <w:rFonts w:ascii="Arial" w:eastAsia="TimesNewRoman" w:hAnsi="Arial" w:cs="Arial"/>
          <w:sz w:val="24"/>
          <w:szCs w:val="24"/>
        </w:rPr>
        <w:t>Maize</w:t>
      </w:r>
      <w:proofErr w:type="spellEnd"/>
      <w:r>
        <w:rPr>
          <w:rFonts w:ascii="Arial" w:eastAsia="TimesNewRoman" w:hAnsi="Arial" w:cs="Arial"/>
          <w:sz w:val="24"/>
          <w:szCs w:val="24"/>
        </w:rPr>
        <w:t xml:space="preserve"> </w:t>
      </w:r>
      <w:r>
        <w:fldChar w:fldCharType="begin"/>
      </w:r>
      <w:r>
        <w:rPr>
          <w:rFonts w:ascii="Arial" w:eastAsia="TimesNewRoman" w:hAnsi="Arial" w:cs="Arial"/>
          <w:sz w:val="24"/>
          <w:szCs w:val="24"/>
        </w:rPr>
        <w:instrText>ADDIN ZOTERO_ITEM CSL_CITATION {"citationID":"LV2SkcZR","properties":{"formattedCitation":"(Ritchie et\\uc0\\u160{}al., 1989)","plainCitation":"(Ritchie et al., 1989)","noteIndex":0},"citationItems":[{"id":"UJQ2oGUC/7w0LKo7A","uris":["http://zotero.org/users/local/4iXk4cSJ/items/UUB64AH8"],"itemData":{"id":199,"type":"article-journal","title":"A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(Ritchie et al., 1989)</w:t>
      </w:r>
      <w:r>
        <w:rPr>
          <w:rFonts w:ascii="Arial" w:eastAsia="TimesNewRoman" w:hAnsi="Arial" w:cs="Arial"/>
          <w:sz w:val="24"/>
          <w:szCs w:val="24"/>
        </w:rPr>
        <w:fldChar w:fldCharType="end"/>
      </w:r>
      <w:r>
        <w:rPr>
          <w:rFonts w:ascii="Arial" w:eastAsia="TimesNewRoman" w:hAnsi="Arial" w:cs="Arial"/>
          <w:sz w:val="24"/>
          <w:szCs w:val="24"/>
        </w:rPr>
        <w:t xml:space="preserve">, para trigo y maíz, respectivamente. Para el caso del arroz existen CERES-Rice </w:t>
      </w:r>
      <w:r>
        <w:fldChar w:fldCharType="begin"/>
      </w:r>
      <w:r>
        <w:rPr>
          <w:rFonts w:ascii="Arial" w:eastAsia="TimesNewRoman" w:hAnsi="Arial" w:cs="Arial"/>
          <w:sz w:val="24"/>
          <w:szCs w:val="24"/>
        </w:rPr>
        <w:instrText>ADDIN ZOTERO_ITEM CSL_CITATION {"citationID":"W9uIaKA6","properties":{"formattedCitation":"(Singh et\\uc0\\u160{}al., 1993)","plainCitation":"(Singh et al., 1993)","noteIndex":0},"citationItems":[{"id":"UJQ2oGUC/SZt06LE3","uris":["http://zotero.org/users/local/4iXk4cSJ/items/A85SXYGC"],"itemData":{"id":198,"type":"book","title":"A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(Singh et al., 1993)</w:t>
      </w:r>
      <w:r>
        <w:rPr>
          <w:rFonts w:ascii="Arial" w:eastAsia="TimesNewRoman" w:hAnsi="Arial" w:cs="Arial"/>
          <w:sz w:val="24"/>
          <w:szCs w:val="24"/>
        </w:rPr>
        <w:fldChar w:fldCharType="end"/>
      </w:r>
      <w:r>
        <w:rPr>
          <w:rFonts w:ascii="Arial" w:eastAsia="TimesNewRoman" w:hAnsi="Arial" w:cs="Arial"/>
          <w:sz w:val="24"/>
          <w:szCs w:val="24"/>
        </w:rPr>
        <w:t xml:space="preserve"> y Oryza2000 </w:t>
      </w:r>
      <w:r>
        <w:fldChar w:fldCharType="begin"/>
      </w:r>
      <w:r>
        <w:rPr>
          <w:rFonts w:ascii="Arial" w:eastAsia="TimesNewRoman" w:hAnsi="Arial" w:cs="Arial"/>
          <w:sz w:val="24"/>
          <w:szCs w:val="24"/>
        </w:rPr>
        <w:instrText>ADDIN ZOTERO_ITEM CSL_CITATION {"citationID":"u7Q1d6Xu","properties":{"formattedCitation":"(Bouman, 2001)","plainCitation":"(Bouman, 2001)","noteIndex":0},"citationItems":[{"id":"UJQ2oGUC/mjCWLPps","uris":["http://zotero.org/users/local/4iXk4cSJ/items/A6J6K6HU"],"itemData":{"id":201,"type":"book","title":"ORYZA2000: modeling lowland rice","publisher":"IRRI","ISBN":"971-22-0171-6","author":[{"family":"Bouman","given":"B. A. M."}],"issued":{"date-parts":[["2001"]]}}}],"schema":"https://github.com/citation-style-language/schema/raw/master/csl-citation.json"}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(Bouman, 2001)</w:t>
      </w:r>
      <w:r>
        <w:rPr>
          <w:rFonts w:ascii="Arial" w:eastAsia="TimesNewRoman" w:hAnsi="Arial" w:cs="Arial"/>
          <w:sz w:val="24"/>
          <w:szCs w:val="24"/>
        </w:rPr>
        <w:fldChar w:fldCharType="end"/>
      </w:r>
      <w:r>
        <w:rPr>
          <w:rFonts w:ascii="Arial" w:eastAsia="TimesNewRoman" w:hAnsi="Arial" w:cs="Arial"/>
          <w:sz w:val="24"/>
          <w:szCs w:val="24"/>
        </w:rPr>
        <w:t xml:space="preserve">, entre otros. </w:t>
      </w:r>
    </w:p>
    <w:p w14:paraId="6E32076A" w14:textId="77777777" w:rsidR="000630B1" w:rsidRDefault="000630B1" w:rsidP="000630B1">
      <w:pPr>
        <w:spacing w:after="0" w:line="360" w:lineRule="auto"/>
        <w:jc w:val="both"/>
        <w:rPr>
          <w:rFonts w:ascii="Arial" w:eastAsia="TimesNewRoman" w:hAnsi="Arial" w:cs="Arial"/>
          <w:color w:val="C00000"/>
          <w:sz w:val="24"/>
          <w:szCs w:val="24"/>
        </w:rPr>
      </w:pPr>
    </w:p>
    <w:p w14:paraId="10536279" w14:textId="77777777" w:rsidR="000630B1" w:rsidRDefault="000630B1" w:rsidP="000630B1">
      <w:pPr>
        <w:spacing w:after="0" w:line="360" w:lineRule="auto"/>
        <w:jc w:val="both"/>
        <w:rPr>
          <w:rFonts w:ascii="Arial" w:hAnsi="Arial" w:cs="Arial"/>
          <w:color w:val="C00000"/>
          <w:sz w:val="24"/>
          <w:szCs w:val="24"/>
        </w:rPr>
      </w:pPr>
      <w:r>
        <w:rPr>
          <w:rFonts w:ascii="Arial" w:eastAsia="TimesNewRoman" w:hAnsi="Arial" w:cs="Arial"/>
          <w:sz w:val="24"/>
          <w:szCs w:val="24"/>
        </w:rPr>
        <w:lastRenderedPageBreak/>
        <w:t xml:space="preserve">Por otro lado, pueden ser modelos genéricos. Los genéricos pueden ser aplicados a varias especies mediante la utilización de parámetros específicos para cada cultivo. Algunos de estos modelos son DSSAT </w:t>
      </w:r>
      <w:r>
        <w:fldChar w:fldCharType="begin"/>
      </w:r>
      <w:r>
        <w:rPr>
          <w:rFonts w:ascii="Arial" w:eastAsia="TimesNewRoman" w:hAnsi="Arial" w:cs="Arial"/>
          <w:sz w:val="24"/>
          <w:szCs w:val="24"/>
        </w:rPr>
        <w:instrText>ADDIN ZOTERO_ITEM CSL_CITATION {"citationID":"gys3eIic","properties":{"formattedCitation":"(Jones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eastAsia="TimesNewRoman" w:hAnsi="Arial" w:cs="Arial"/>
          <w:sz w:val="24"/>
          <w:szCs w:val="24"/>
        </w:rPr>
        <w:fldChar w:fldCharType="end"/>
      </w:r>
      <w:r>
        <w:rPr>
          <w:rFonts w:ascii="Arial" w:eastAsia="TimesNewRoman" w:hAnsi="Arial" w:cs="Arial"/>
          <w:sz w:val="24"/>
          <w:szCs w:val="24"/>
        </w:rPr>
        <w:t xml:space="preserve">, EPIC </w:t>
      </w:r>
      <w:r>
        <w:fldChar w:fldCharType="begin"/>
      </w:r>
      <w:r>
        <w:rPr>
          <w:rFonts w:ascii="Arial" w:eastAsia="TimesNewRoman" w:hAnsi="Arial" w:cs="Arial"/>
          <w:sz w:val="24"/>
          <w:szCs w:val="24"/>
        </w:rPr>
        <w:instrText>ADDIN ZOTERO_ITEM CSL_CITATION {"citationID":"SVcDlxys","properties":{"formattedCitation":"(C. A. Jones et\\uc0\\u160{}al., 1991)","plainCitation":"(C. A. Jones et al., 1991)","noteIndex":0},"citationItems":[{"id":"UJQ2oGUC/KgwP5F8Y","uris":["http://zotero.org/users/local/4iXk4cSJ/items/HZQ75V8L"],"itemData":{"id":241,"type":"article-journal","title":"EPIC: An operational model for evaluation of agricultural sustainability","container-title":"Agricultural Systems","page":"341-350","volume":"37","issue":"4","source":"Crossref","DOI":"10.1016/0308-521X(91)90057-H","ISSN":"0308521X","shortTitle":"EPIC","language":"en","author":[{"family":"Jones","given":"C.A."},{"family":"Dyke","given":"P.T."},{"family":"Williams","given":"J.R."},{"family":"Kiniry","given":"J.R."},{"family":"Benson","given":"V.W."},{"family":"Griggs","given":"R.H."}],"issued":{"date-parts":[["1991",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(C. A. Jones et al., 1991)</w:t>
      </w:r>
      <w:r>
        <w:rPr>
          <w:rFonts w:ascii="Arial" w:eastAsia="TimesNewRoman" w:hAnsi="Arial" w:cs="Arial"/>
          <w:sz w:val="24"/>
          <w:szCs w:val="24"/>
        </w:rPr>
        <w:fldChar w:fldCharType="end"/>
      </w:r>
      <w:r>
        <w:rPr>
          <w:rFonts w:ascii="Arial" w:eastAsia="TimesNewRoman" w:hAnsi="Arial" w:cs="Arial"/>
          <w:sz w:val="24"/>
          <w:szCs w:val="24"/>
        </w:rPr>
        <w:t xml:space="preserve">, CROPSYST </w:t>
      </w:r>
      <w:r>
        <w:fldChar w:fldCharType="begin"/>
      </w:r>
      <w:r>
        <w:rPr>
          <w:rFonts w:ascii="Arial" w:eastAsia="TimesNewRoman" w:hAnsi="Arial" w:cs="Arial"/>
          <w:sz w:val="24"/>
          <w:szCs w:val="24"/>
        </w:rPr>
        <w:instrText>ADDIN ZOTERO_ITEM CSL_CITATION {"citationID":"sfO822Xy","properties":{"formattedCitation":"(St\\uc0\\u246{}ckle et\\uc0\\u160{}al., 2003)","plainCitation":"(Stöckle et al., 2003)","noteIndex":0},"citationItems":[{"id":"UJQ2oGUC/Tytu83z3","uris":["http://zotero.org/users/local/4iXk4cSJ/items/JSJUWKXF"],"itemData":{"id":222,"type":"article-journal","title":"CropSyst,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(Stöckle et al., 2003)</w:t>
      </w:r>
      <w:r>
        <w:rPr>
          <w:rFonts w:ascii="Arial" w:eastAsia="TimesNewRoman" w:hAnsi="Arial" w:cs="Arial"/>
          <w:sz w:val="24"/>
          <w:szCs w:val="24"/>
        </w:rPr>
        <w:fldChar w:fldCharType="end"/>
      </w:r>
      <w:r>
        <w:rPr>
          <w:rFonts w:ascii="Arial" w:eastAsia="TimesNewRoman" w:hAnsi="Arial" w:cs="Arial"/>
          <w:sz w:val="24"/>
          <w:szCs w:val="24"/>
        </w:rPr>
        <w:t xml:space="preserve">, APSIM </w:t>
      </w:r>
      <w:r>
        <w:fldChar w:fldCharType="begin"/>
      </w:r>
      <w:r w:rsidRPr="001E5715">
        <w:rPr>
          <w:rFonts w:ascii="Arial" w:eastAsia="TimesNewRoman" w:hAnsi="Arial" w:cs="Arial"/>
          <w:sz w:val="24"/>
          <w:szCs w:val="24"/>
        </w:rPr>
        <w:instrText>ADDIN ZOTERO_ITEM CSL_CITATION {"citationID":"Sg6cHo69","properties":{"formattedCitation":"(Keating et\\uc0\\u160{}al., 2003)","plainCitation":"(Keating et al., 2003)","noteIndex":0},"citationItems":[{"id":"UJQ2oGUC/FpVH88z8","uris":["http://zotero.org/users/local/4iXk4cSJ/items/SVZ64XCB"],"itemData":{"id":224,"type":"article-journal","title":"An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w:instrText>
      </w:r>
      <w:r>
        <w:rPr>
          <w:rFonts w:ascii="Arial" w:eastAsia="TimesNewRoman" w:hAnsi="Arial" w:cs="Arial"/>
          <w:sz w:val="24"/>
          <w:szCs w:val="24"/>
          <w:lang w:val="en-US"/>
        </w:rPr>
        <w:fldChar w:fldCharType="separate"/>
      </w:r>
      <w:r>
        <w:rPr>
          <w:rFonts w:ascii="Arial" w:hAnsi="Arial" w:cs="Arial"/>
          <w:sz w:val="24"/>
          <w:szCs w:val="24"/>
        </w:rPr>
        <w:t>(Keating et al., 2003)</w:t>
      </w:r>
      <w:r>
        <w:rPr>
          <w:rFonts w:ascii="Arial" w:eastAsia="TimesNewRoman" w:hAnsi="Arial" w:cs="Arial"/>
          <w:sz w:val="24"/>
          <w:szCs w:val="24"/>
          <w:lang w:val="en-US"/>
        </w:rPr>
        <w:fldChar w:fldCharType="end"/>
      </w:r>
      <w:r>
        <w:rPr>
          <w:rFonts w:ascii="Arial" w:eastAsia="TimesNewRoman" w:hAnsi="Arial" w:cs="Arial"/>
          <w:sz w:val="24"/>
          <w:szCs w:val="24"/>
        </w:rPr>
        <w:t xml:space="preserve"> y STICS </w:t>
      </w:r>
      <w:r>
        <w:fldChar w:fldCharType="begin"/>
      </w:r>
      <w:r>
        <w:rPr>
          <w:rFonts w:ascii="Arial" w:eastAsia="TimesNewRoman" w:hAnsi="Arial" w:cs="Arial"/>
          <w:sz w:val="24"/>
          <w:szCs w:val="24"/>
        </w:rPr>
        <w:instrText>ADDIN ZOTERO_ITEM CSL_CITATION {"citationID":"liYRqCOJ","properties":{"formattedCitation":"(Brisson et al., 1998)","plainCitation":"(Brisson et al., 1998)","dontUpdate":true,"noteIndex":0},"citationItems":[{"id":"UJQ2oGUC/AYTEawLD","uris":["http://zotero.org/users/local/Ax6kcjol/items/VF9BYFKV"],"itemData":{"id":190,"type":"article-journal","title":"STICS: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shortTitle":"STICS","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 xml:space="preserve">(Brisson </w:t>
      </w:r>
      <w:r>
        <w:rPr>
          <w:rFonts w:ascii="Arial" w:hAnsi="Arial" w:cs="Arial"/>
          <w:i/>
          <w:sz w:val="24"/>
        </w:rPr>
        <w:t>et al</w:t>
      </w:r>
      <w:r>
        <w:rPr>
          <w:rFonts w:ascii="Arial" w:hAnsi="Arial" w:cs="Arial"/>
          <w:sz w:val="24"/>
        </w:rPr>
        <w:t>., 1998</w:t>
      </w:r>
      <w:r>
        <w:rPr>
          <w:rFonts w:ascii="Arial" w:eastAsia="TimesNewRoman" w:hAnsi="Arial" w:cs="Arial"/>
          <w:sz w:val="24"/>
          <w:szCs w:val="24"/>
        </w:rPr>
        <w:fldChar w:fldCharType="end"/>
      </w:r>
      <w:r>
        <w:rPr>
          <w:rFonts w:ascii="Arial" w:eastAsia="TimesNewRoman" w:hAnsi="Arial" w:cs="Arial"/>
          <w:sz w:val="24"/>
          <w:szCs w:val="24"/>
        </w:rPr>
        <w:t>), inclusive muchos de estos modelos son de libres acceso y utilización</w:t>
      </w:r>
      <w:r>
        <w:rPr>
          <w:rFonts w:ascii="Arial" w:eastAsia="TimesNewRoman" w:hAnsi="Arial" w:cs="Arial"/>
          <w:color w:val="C00000"/>
          <w:sz w:val="24"/>
          <w:szCs w:val="24"/>
        </w:rPr>
        <w:t>.</w:t>
      </w:r>
    </w:p>
    <w:p w14:paraId="69F58443" w14:textId="77777777" w:rsidR="000630B1" w:rsidRDefault="000630B1" w:rsidP="000630B1">
      <w:pPr>
        <w:spacing w:after="0" w:line="360" w:lineRule="auto"/>
        <w:rPr>
          <w:rFonts w:ascii="Arial" w:hAnsi="Arial" w:cs="Arial"/>
          <w:color w:val="C00000"/>
          <w:sz w:val="24"/>
          <w:szCs w:val="24"/>
        </w:rPr>
      </w:pPr>
    </w:p>
    <w:p w14:paraId="0ADFE30C" w14:textId="77777777" w:rsidR="000630B1" w:rsidRDefault="000630B1" w:rsidP="000630B1">
      <w:pPr>
        <w:pStyle w:val="Ttulo3"/>
        <w:spacing w:before="0" w:line="360" w:lineRule="auto"/>
        <w:jc w:val="both"/>
        <w:rPr>
          <w:rFonts w:cs="Arial"/>
        </w:rPr>
      </w:pPr>
      <w:bookmarkStart w:id="21" w:name="_Toc4070412"/>
      <w:r>
        <w:rPr>
          <w:rFonts w:cs="Arial"/>
        </w:rPr>
        <w:t>1.2.1. Modelo DSSAT</w:t>
      </w:r>
      <w:bookmarkEnd w:id="21"/>
    </w:p>
    <w:p w14:paraId="4A15FBA1"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Desde 1983, un grupo internacional de científicos cooperantes han desarrollado modelos de simulación de cultivos, enfocados a proporcionar estimaciones realistas del comportamiento de los cultivos bajo diferentes estrategias </w:t>
      </w:r>
      <w:r>
        <w:rPr>
          <w:rFonts w:ascii="Arial" w:hAnsi="Arial" w:cs="Arial"/>
          <w:sz w:val="24"/>
          <w:szCs w:val="24"/>
        </w:rPr>
        <w:lastRenderedPageBreak/>
        <w:t>de manejo y condiciones ambientales. Estos modelos se han combinado en un paquete, como parte de un programa de enlaces (</w:t>
      </w:r>
      <w:r>
        <w:rPr>
          <w:rFonts w:ascii="Arial" w:hAnsi="Arial" w:cs="Arial"/>
          <w:i/>
          <w:iCs/>
          <w:sz w:val="24"/>
          <w:szCs w:val="24"/>
        </w:rPr>
        <w:t xml:space="preserve">software </w:t>
      </w:r>
      <w:proofErr w:type="spellStart"/>
      <w:r>
        <w:rPr>
          <w:rFonts w:ascii="Arial" w:hAnsi="Arial" w:cs="Arial"/>
          <w:i/>
          <w:iCs/>
          <w:sz w:val="24"/>
          <w:szCs w:val="24"/>
        </w:rPr>
        <w:t>shell</w:t>
      </w:r>
      <w:proofErr w:type="spellEnd"/>
      <w:r>
        <w:rPr>
          <w:rFonts w:ascii="Arial" w:hAnsi="Arial" w:cs="Arial"/>
          <w:sz w:val="24"/>
          <w:szCs w:val="24"/>
        </w:rPr>
        <w:t>) conocido como DSSAT.</w:t>
      </w:r>
    </w:p>
    <w:p w14:paraId="48633923" w14:textId="77777777" w:rsidR="000630B1" w:rsidRDefault="000630B1" w:rsidP="000630B1">
      <w:pPr>
        <w:spacing w:after="0" w:line="360" w:lineRule="auto"/>
        <w:jc w:val="both"/>
        <w:rPr>
          <w:rFonts w:ascii="Arial" w:hAnsi="Arial" w:cs="Arial"/>
          <w:sz w:val="24"/>
          <w:szCs w:val="24"/>
        </w:rPr>
      </w:pPr>
    </w:p>
    <w:p w14:paraId="2193D1E7" w14:textId="77777777" w:rsidR="000630B1" w:rsidRDefault="000630B1" w:rsidP="000630B1">
      <w:pPr>
        <w:spacing w:after="0" w:line="360" w:lineRule="auto"/>
        <w:jc w:val="both"/>
        <w:rPr>
          <w:rFonts w:ascii="Arial" w:eastAsia="TimesNewRoman" w:hAnsi="Arial" w:cs="Arial"/>
          <w:sz w:val="24"/>
          <w:szCs w:val="24"/>
        </w:rPr>
      </w:pPr>
      <w:r>
        <w:rPr>
          <w:rFonts w:ascii="Arial" w:hAnsi="Arial" w:cs="Arial"/>
          <w:sz w:val="24"/>
          <w:szCs w:val="24"/>
        </w:rPr>
        <w:t xml:space="preserve">El modelo de crecimiento de cultivos DSSAT </w:t>
      </w:r>
      <w:r>
        <w:fldChar w:fldCharType="begin"/>
      </w:r>
      <w:r>
        <w:rPr>
          <w:rFonts w:ascii="Arial" w:hAnsi="Arial" w:cs="Arial"/>
          <w:sz w:val="24"/>
          <w:szCs w:val="24"/>
        </w:rPr>
        <w:instrText>ADDIN ZOTERO_ITEM CSL_CITATION {"citationID":"7BCVHyWn","properties":{"formattedCitation":"(Jones et al., 2003a)","plainCitation":"(Jones et al., 2003a)","dontUpdate":true,"noteIndex":0},"citationItems":[{"id":"UJQ2oGUC/16A1nqbS","uris":["http://zotero.org/users/local/Ax6kcjol/items/TGEM94JY"],"itemData":{"id":57,"type":"article-journal","title":"The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hAnsi="Arial" w:cs="Arial"/>
          <w:sz w:val="24"/>
          <w:szCs w:val="24"/>
        </w:rPr>
        <w:fldChar w:fldCharType="end"/>
      </w:r>
      <w:r>
        <w:rPr>
          <w:rFonts w:ascii="Arial" w:hAnsi="Arial" w:cs="Arial"/>
          <w:sz w:val="24"/>
          <w:szCs w:val="24"/>
        </w:rPr>
        <w:t xml:space="preserve"> es un </w:t>
      </w:r>
      <w:r>
        <w:rPr>
          <w:rFonts w:ascii="Arial" w:eastAsia="TimesNewRoman" w:hAnsi="Arial" w:cs="Arial"/>
          <w:sz w:val="24"/>
          <w:szCs w:val="24"/>
        </w:rPr>
        <w:t>modelo comercial,</w:t>
      </w:r>
      <w:r>
        <w:rPr>
          <w:rFonts w:ascii="Arial" w:hAnsi="Arial" w:cs="Arial"/>
          <w:sz w:val="24"/>
          <w:szCs w:val="24"/>
        </w:rPr>
        <w:t xml:space="preserve"> basado en Windows, </w:t>
      </w:r>
      <w:r>
        <w:rPr>
          <w:rFonts w:ascii="Arial" w:eastAsia="TimesNewRoman" w:hAnsi="Arial" w:cs="Arial"/>
          <w:sz w:val="24"/>
          <w:szCs w:val="24"/>
        </w:rPr>
        <w:t xml:space="preserve">en el cual se integran, en una misma plataforma, modelos específicos desarrollados independientemente para cada uno de los cultivos disponibles. Además, </w:t>
      </w:r>
      <w:r>
        <w:rPr>
          <w:rFonts w:ascii="Arial" w:hAnsi="Arial" w:cs="Arial"/>
          <w:sz w:val="24"/>
          <w:szCs w:val="24"/>
        </w:rPr>
        <w:t xml:space="preserve">incluye herramientas y programas de utilidad para el manejo de suelos, recursos hídricos, clima, coeficientes genéticos, datos de cultivos y plagas. </w:t>
      </w:r>
      <w:r>
        <w:rPr>
          <w:rFonts w:ascii="Arial" w:eastAsia="TimesNewRoman" w:hAnsi="Arial" w:cs="Arial"/>
          <w:sz w:val="24"/>
          <w:szCs w:val="24"/>
        </w:rPr>
        <w:t xml:space="preserve">Es posible abordar el análisis de monocultivos en los cuales se pueden simular condiciones de rotación, interacciones con factores bióticos y abióticos, entre otros. </w:t>
      </w:r>
    </w:p>
    <w:p w14:paraId="3EE84AC2" w14:textId="77777777" w:rsidR="000630B1" w:rsidRDefault="000630B1" w:rsidP="000630B1">
      <w:pPr>
        <w:spacing w:after="0" w:line="360" w:lineRule="auto"/>
        <w:jc w:val="both"/>
        <w:rPr>
          <w:rFonts w:ascii="Arial" w:eastAsia="TimesNewRoman" w:hAnsi="Arial" w:cs="Arial"/>
          <w:sz w:val="24"/>
          <w:szCs w:val="24"/>
        </w:rPr>
      </w:pPr>
    </w:p>
    <w:p w14:paraId="7088C506" w14:textId="77777777" w:rsidR="000630B1" w:rsidRDefault="000630B1" w:rsidP="000630B1">
      <w:pPr>
        <w:spacing w:after="0" w:line="360" w:lineRule="auto"/>
        <w:jc w:val="both"/>
        <w:rPr>
          <w:rFonts w:ascii="Arial" w:hAnsi="Arial" w:cs="Arial"/>
          <w:sz w:val="24"/>
          <w:szCs w:val="24"/>
        </w:rPr>
      </w:pPr>
      <w:r>
        <w:rPr>
          <w:rFonts w:ascii="Arial" w:eastAsia="TimesNewRoman" w:hAnsi="Arial" w:cs="Arial"/>
          <w:sz w:val="24"/>
          <w:szCs w:val="24"/>
        </w:rPr>
        <w:t xml:space="preserve">El programa está compuesto por cinco módulos, cuyo centro son los </w:t>
      </w:r>
      <w:r>
        <w:rPr>
          <w:rFonts w:ascii="Arial" w:eastAsia="TimesNewRoman,Bold" w:hAnsi="Arial" w:cs="Arial"/>
          <w:bCs/>
          <w:sz w:val="24"/>
          <w:szCs w:val="24"/>
        </w:rPr>
        <w:t xml:space="preserve">modelos de cultivo </w:t>
      </w:r>
      <w:r>
        <w:rPr>
          <w:rFonts w:ascii="Arial" w:eastAsia="TimesNewRoman" w:hAnsi="Arial" w:cs="Arial"/>
          <w:sz w:val="24"/>
          <w:szCs w:val="24"/>
        </w:rPr>
        <w:t xml:space="preserve">y se relacionan con las </w:t>
      </w:r>
      <w:r>
        <w:rPr>
          <w:rFonts w:ascii="Arial" w:eastAsia="TimesNewRoman,Bold" w:hAnsi="Arial" w:cs="Arial"/>
          <w:bCs/>
          <w:sz w:val="24"/>
          <w:szCs w:val="24"/>
        </w:rPr>
        <w:t xml:space="preserve">bases de datos </w:t>
      </w:r>
      <w:r>
        <w:rPr>
          <w:rFonts w:ascii="Arial" w:eastAsia="TimesNewRoman" w:hAnsi="Arial" w:cs="Arial"/>
          <w:sz w:val="24"/>
          <w:szCs w:val="24"/>
        </w:rPr>
        <w:t xml:space="preserve">de clima, suelo, genética, entre otras; </w:t>
      </w:r>
      <w:r>
        <w:rPr>
          <w:rFonts w:ascii="Arial" w:eastAsia="TimesNewRoman,Bold" w:hAnsi="Arial" w:cs="Arial"/>
          <w:bCs/>
          <w:sz w:val="24"/>
          <w:szCs w:val="24"/>
        </w:rPr>
        <w:t>el software de soporte</w:t>
      </w:r>
      <w:r>
        <w:rPr>
          <w:rFonts w:ascii="Arial" w:eastAsia="TimesNewRoman" w:hAnsi="Arial" w:cs="Arial"/>
          <w:sz w:val="24"/>
          <w:szCs w:val="24"/>
        </w:rPr>
        <w:t xml:space="preserve">; </w:t>
      </w:r>
      <w:r>
        <w:rPr>
          <w:rFonts w:ascii="Arial" w:eastAsia="TimesNewRoman,Bold" w:hAnsi="Arial" w:cs="Arial"/>
          <w:bCs/>
          <w:sz w:val="24"/>
          <w:szCs w:val="24"/>
        </w:rPr>
        <w:t xml:space="preserve">aplicaciones </w:t>
      </w:r>
      <w:r>
        <w:rPr>
          <w:rFonts w:ascii="Arial" w:eastAsia="TimesNewRoman" w:hAnsi="Arial" w:cs="Arial"/>
          <w:sz w:val="24"/>
          <w:szCs w:val="24"/>
        </w:rPr>
        <w:t xml:space="preserve">que incluyen relación con SIG y análisis estadísticos y, finalmente, la </w:t>
      </w:r>
      <w:r>
        <w:rPr>
          <w:rFonts w:ascii="Arial" w:eastAsia="TimesNewRoman,Bold" w:hAnsi="Arial" w:cs="Arial"/>
          <w:bCs/>
          <w:sz w:val="24"/>
          <w:szCs w:val="24"/>
        </w:rPr>
        <w:t>interface con el usuario</w:t>
      </w:r>
      <w:r>
        <w:rPr>
          <w:rFonts w:ascii="Arial" w:hAnsi="Arial" w:cs="Arial"/>
          <w:sz w:val="24"/>
          <w:szCs w:val="24"/>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49FB5B22" w14:textId="77777777" w:rsidR="000630B1" w:rsidRDefault="000630B1" w:rsidP="000630B1">
      <w:pPr>
        <w:spacing w:after="0" w:line="360" w:lineRule="auto"/>
        <w:jc w:val="both"/>
        <w:rPr>
          <w:rFonts w:ascii="Arial" w:hAnsi="Arial" w:cs="Arial"/>
          <w:sz w:val="24"/>
          <w:szCs w:val="24"/>
        </w:rPr>
      </w:pPr>
    </w:p>
    <w:p w14:paraId="4AE40D2E" w14:textId="77777777" w:rsidR="000630B1" w:rsidRDefault="000630B1" w:rsidP="000630B1">
      <w:pPr>
        <w:spacing w:after="0" w:line="360" w:lineRule="auto"/>
        <w:jc w:val="both"/>
        <w:rPr>
          <w:rFonts w:ascii="Arial" w:hAnsi="Arial" w:cs="Arial"/>
          <w:sz w:val="24"/>
          <w:szCs w:val="24"/>
        </w:rPr>
      </w:pPr>
      <w:r>
        <w:rPr>
          <w:rStyle w:val="tlid-translation"/>
          <w:rFonts w:ascii="Arial" w:hAnsi="Arial" w:cs="Arial"/>
          <w:sz w:val="24"/>
          <w:szCs w:val="24"/>
        </w:rPr>
        <w:lastRenderedPageBreak/>
        <w:t xml:space="preserve">DSSAT se ha utilizado cada vez más como una herramienta para comparar el rendimiento de diferentes sistemas de cultivo y </w:t>
      </w:r>
      <w:r>
        <w:rPr>
          <w:rFonts w:ascii="Arial" w:hAnsi="Arial" w:cs="Arial"/>
          <w:sz w:val="24"/>
          <w:szCs w:val="24"/>
        </w:rPr>
        <w:t xml:space="preserve">para estudiar la agricultura de precisión en el marco de un sistema de apoyo a la decisión que automatiza las simulaciones utilizando diferentes estrategias de manejo de cultivos </w:t>
      </w:r>
      <w:r>
        <w:fldChar w:fldCharType="begin"/>
      </w:r>
      <w:r>
        <w:rPr>
          <w:rFonts w:ascii="Arial" w:hAnsi="Arial" w:cs="Arial"/>
          <w:sz w:val="24"/>
          <w:szCs w:val="24"/>
        </w:rPr>
        <w:instrText>ADDIN ZOTERO_ITEM CSL_CITATION {"citationID":"guYlmEOz","properties":{"formattedCitation":"(Corbeels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(Corbeels et al., 2016)</w:t>
      </w:r>
      <w:r>
        <w:rPr>
          <w:rFonts w:ascii="Arial" w:hAnsi="Arial" w:cs="Arial"/>
          <w:sz w:val="24"/>
          <w:szCs w:val="24"/>
        </w:rPr>
        <w:fldChar w:fldCharType="end"/>
      </w:r>
      <w:r>
        <w:rPr>
          <w:rFonts w:ascii="Arial" w:hAnsi="Arial" w:cs="Arial"/>
          <w:sz w:val="24"/>
          <w:szCs w:val="24"/>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y determinar </w:t>
      </w:r>
      <w:r>
        <w:rPr>
          <w:rFonts w:ascii="Arial" w:hAnsi="Arial" w:cs="Arial"/>
          <w:sz w:val="24"/>
          <w:szCs w:val="24"/>
        </w:rPr>
        <w:lastRenderedPageBreak/>
        <w:t xml:space="preserve">estrategias de manejo debido a su capacidad para predecir el crecimiento y el rendimiento de los cultivos </w:t>
      </w:r>
      <w:r>
        <w:fldChar w:fldCharType="begin"/>
      </w:r>
      <w:r>
        <w:rPr>
          <w:rFonts w:ascii="Arial" w:hAnsi="Arial" w:cs="Arial"/>
          <w:sz w:val="24"/>
          <w:szCs w:val="24"/>
        </w:rPr>
        <w:instrText>ADDIN ZOTERO_ITEM CSL_CITATION {"citationID":"UnE6Ws7G","properties":{"formattedCitation":"(Rodr\\uc0\\u237{}guez Gonz\\uc0\\u225{}lez et\\uc0\\u160{}al., 2021)","plainCitation":"(Rodríguez González et al., 2021)","noteIndex":0},"citationItems":[{"id":547,"uris":["http://zotero.org/users/local/1mxXpOpa/items/P8FPU5FC"],"itemData":{"id":547,"type":"article-journal","abstract":"AbstractCrop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w:instrText>
      </w:r>
      <w:r>
        <w:rPr>
          <w:rFonts w:ascii="Arial" w:hAnsi="Arial" w:cs="Arial"/>
          <w:sz w:val="24"/>
          <w:szCs w:val="24"/>
        </w:rPr>
        <w:fldChar w:fldCharType="separate"/>
      </w:r>
      <w:r>
        <w:rPr>
          <w:rFonts w:ascii="Arial" w:hAnsi="Arial" w:cs="Arial"/>
          <w:sz w:val="24"/>
          <w:szCs w:val="24"/>
        </w:rPr>
        <w:t>(Rodríguez González et al., 2021)</w:t>
      </w:r>
      <w:r>
        <w:rPr>
          <w:rFonts w:ascii="Arial" w:hAnsi="Arial" w:cs="Arial"/>
          <w:sz w:val="24"/>
          <w:szCs w:val="24"/>
        </w:rPr>
        <w:fldChar w:fldCharType="end"/>
      </w:r>
      <w:r>
        <w:rPr>
          <w:rFonts w:ascii="Arial" w:hAnsi="Arial" w:cs="Arial"/>
          <w:sz w:val="24"/>
          <w:szCs w:val="24"/>
        </w:rPr>
        <w:t>.</w:t>
      </w:r>
    </w:p>
    <w:p w14:paraId="29DA71C8" w14:textId="77777777" w:rsidR="000630B1" w:rsidRDefault="000630B1" w:rsidP="000630B1">
      <w:pPr>
        <w:spacing w:after="0" w:line="360" w:lineRule="auto"/>
        <w:jc w:val="both"/>
        <w:rPr>
          <w:rFonts w:ascii="Arial" w:hAnsi="Arial" w:cs="Arial"/>
          <w:sz w:val="24"/>
          <w:szCs w:val="24"/>
        </w:rPr>
      </w:pPr>
    </w:p>
    <w:p w14:paraId="3C4BD7DA"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El modelo ha sido probado en una amplia gama de entornos por la Red Internacional de Sitios de Referencia para la Transferencia de Tecnología Agrícola (IBSNAT) </w:t>
      </w:r>
      <w:r>
        <w:fldChar w:fldCharType="begin"/>
      </w:r>
      <w:r>
        <w:rPr>
          <w:rFonts w:ascii="Arial" w:hAnsi="Arial" w:cs="Arial"/>
          <w:sz w:val="24"/>
          <w:szCs w:val="24"/>
        </w:rPr>
        <w:instrText>ADDIN ZOTERO_ITEM CSL_CITATION {"citationID":"SNnhzijp","properties":{"formattedCitation":"(Singh et\\uc0\\u160{}al., 1988)","plainCitation":"(Singh et al., 1988)","noteIndex":0},"citationItems":[{"id":"UJQ2oGUC/lrtSXWLS","uris":["http://zotero.org/users/local/Ax6kcjol/items/3YS7EJZB"],"itemData":{"id":194,"type":"article-journal","title":"Modeling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w:instrText>
      </w:r>
      <w:r>
        <w:rPr>
          <w:rFonts w:ascii="Arial" w:hAnsi="Arial" w:cs="Arial"/>
          <w:sz w:val="24"/>
          <w:szCs w:val="24"/>
        </w:rPr>
        <w:fldChar w:fldCharType="separate"/>
      </w:r>
      <w:r>
        <w:rPr>
          <w:rFonts w:ascii="Arial" w:hAnsi="Arial" w:cs="Arial"/>
          <w:sz w:val="24"/>
          <w:szCs w:val="24"/>
        </w:rPr>
        <w:t>(Singh et al., 1988)</w:t>
      </w:r>
      <w:r>
        <w:rPr>
          <w:rFonts w:ascii="Arial" w:hAnsi="Arial" w:cs="Arial"/>
          <w:sz w:val="24"/>
          <w:szCs w:val="24"/>
        </w:rPr>
        <w:fldChar w:fldCharType="end"/>
      </w:r>
      <w:r>
        <w:rPr>
          <w:rFonts w:ascii="Arial" w:hAnsi="Arial" w:cs="Arial"/>
          <w:sz w:val="24"/>
          <w:szCs w:val="24"/>
        </w:rPr>
        <w:t xml:space="preserve">. Incorpora coeficientes que explican las variaciones genotípicas en términos de fenología, fisiología y atributos genéticos </w:t>
      </w:r>
      <w:r>
        <w:fldChar w:fldCharType="begin"/>
      </w:r>
      <w:r>
        <w:rPr>
          <w:rFonts w:ascii="Arial" w:hAnsi="Arial" w:cs="Arial"/>
          <w:sz w:val="24"/>
          <w:szCs w:val="24"/>
        </w:rPr>
        <w:instrText>ADDIN ZOTERO_ITEM CSL_CITATION {"citationID":"ugtrs269","properties":{"formattedCitation":"(Hunt et\\uc0\\u160{}al., 1989)","plainCitation":"(Hunt et al., 1989)","noteIndex":0},"citationItems":[{"id":"UJQ2oGUC/2Ca1sqF3","uris":["http://zotero.org/users/local/Ax6kcjol/items/PAT5WL68"],"itemData":{"id":195,"type":"paper-conference","title":"Genetic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w:instrText>
      </w:r>
      <w:r>
        <w:rPr>
          <w:rFonts w:ascii="Arial" w:hAnsi="Arial" w:cs="Arial"/>
          <w:sz w:val="24"/>
          <w:szCs w:val="24"/>
        </w:rPr>
        <w:fldChar w:fldCharType="separate"/>
      </w:r>
      <w:r>
        <w:rPr>
          <w:rFonts w:ascii="Arial" w:hAnsi="Arial" w:cs="Arial"/>
          <w:sz w:val="24"/>
          <w:szCs w:val="24"/>
        </w:rPr>
        <w:t>(Hunt et al., 1989)</w:t>
      </w:r>
      <w:r>
        <w:rPr>
          <w:rFonts w:ascii="Arial" w:hAnsi="Arial" w:cs="Arial"/>
          <w:sz w:val="24"/>
          <w:szCs w:val="24"/>
        </w:rPr>
        <w:fldChar w:fldCharType="end"/>
      </w:r>
      <w:r>
        <w:rPr>
          <w:rFonts w:ascii="Arial" w:hAnsi="Arial" w:cs="Arial"/>
          <w:sz w:val="24"/>
          <w:szCs w:val="24"/>
        </w:rPr>
        <w:t xml:space="preserve">. Estos coeficientes genéticos se requieren como entradas del modelo y varían ampliamente entre las diferentes variedades </w:t>
      </w:r>
      <w:r>
        <w:fldChar w:fldCharType="begin"/>
      </w:r>
      <w:r>
        <w:rPr>
          <w:rFonts w:ascii="Arial" w:hAnsi="Arial" w:cs="Arial"/>
          <w:sz w:val="24"/>
          <w:szCs w:val="24"/>
        </w:rPr>
        <w:instrText>ADDIN ZOTERO_ITEM CSL_CITATION {"citationID":"IyC7qwkk","properties":{"formattedCitation":"(Abou El-Enin et\\uc0\\u160{}al., 2016)","plainCitation":"(Abou El-Enin et al., 2016)","noteIndex":0},"citationItems":[{"id":"UJQ2oGUC/KsRfu4JJ","uris":["http://zotero.org/users/local/Ax6kcjol/items/SJPGU4YP"],"itemData":{"id":87,"type":"article-journal","title":"Application and Evaluation of DSSAT V.4.6.1 Program for Simulation of Wheat and Soybean yields in Egypt","container-title":"Journal of Basic and Environmental Sciences","page":"85-97","volume":"3","source":"Crossref","abstract":"Adoption of conservation agriculture (CA) is increasingly being promoted as a way of adapting agricultural systems to increasing climate variability, especially for areas such as Africa where rainfall is projected to decrease. The DSSAT (Decision Support System for Agro Technology) crop simulation models can be a valuable tool in evaluating the effects of CA, which are viable both economically and environmentally. Our objectives were to evaluate the ability of DSSAT to predict the combined effect of tillage system and fertilizer rates through wheat/soybean rotation on crop yield. DSSAT v.4.6.1 (CERES-wheat and CROPGRO-soybean) was utilized for the study to simulate crop yield. Observed field data revealed that, the effect of tillage systems during the summer season of 2013 did not differ significantly due to studied Soybean traits. Related to, winter season of 2013/2014, the results revealed that, CA tillage system increased significantly all studied wheat traits as compared with the other tillage systems. Referring to, the summer season of 2014, CA system scored the significant high values for the studied Soybean traits. As for the effect of studied NPK fertilizer levels, results showed that, 100% of the recommended doses of NPK favored the values of the studied soybean and wheat traits significantly during summer 2013 and winter 2013/2014, as compared by 50% of the recommended dose of it, in addition, there are no-significant difference between the two fertilizer levels for soybean traits in the third season (summer, 2014). Regarding, the interaction effect between the tested factors, results of the three trial seasons revealed that, growing soybean or wheat under the condition of conservation agriculture (CA) and fed by 100% or 50% of the recommended dose of NPK fertilizers scored the greatest values for most of soybean and wheat traits. On contrast, the lowest value was resulted under the condition of conventional tillage (CT) and fed by the 50% of the recommended dose of NPK fertilizers. The DSSAT– CERES-wheat and CROPGRO-soybean models also reflected this trend. These results indicated that, The DSSAT program exposed powerful for stimulation for grain yield/fed., harvest index as affected by interaction effect between tillage systems and fertilizer rats, which there RMSE ranged between good and excellent, RMSE = (12.44, 12.29) and (7.92, 1.76) and (1.68, 16.24) for summer 2013, winter 2013/2014 and summer 2014 seasons respectively, through (soybean→ wheat→ soybean) crop sequence.","ISSN":"2356 - 6388","language":"en","author":[{"family":"Abou El-Enin","given":"M.M."},{"family":"Abo-Remaila","given":"S.I."},{"family":"Mahmoud","given":"A.S."}],"issued":{"date-parts":[["2016"]]}}}],"schema":"https://github.com/citation-style-language/schema/raw/master/csl-citation.json"}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(Abou El-Enin et al., 2016)</w:t>
      </w:r>
      <w:r>
        <w:rPr>
          <w:rFonts w:ascii="Arial" w:hAnsi="Arial" w:cs="Arial"/>
          <w:sz w:val="24"/>
          <w:szCs w:val="24"/>
        </w:rPr>
        <w:fldChar w:fldCharType="end"/>
      </w:r>
      <w:r>
        <w:rPr>
          <w:rFonts w:ascii="Arial" w:hAnsi="Arial" w:cs="Arial"/>
          <w:sz w:val="24"/>
          <w:szCs w:val="24"/>
        </w:rPr>
        <w:t>.</w:t>
      </w:r>
    </w:p>
    <w:p w14:paraId="44A4AA00" w14:textId="77777777" w:rsidR="000630B1" w:rsidRDefault="000630B1" w:rsidP="000630B1">
      <w:pPr>
        <w:spacing w:after="0" w:line="360" w:lineRule="auto"/>
        <w:jc w:val="both"/>
        <w:rPr>
          <w:rFonts w:ascii="Arial" w:hAnsi="Arial" w:cs="Arial"/>
          <w:sz w:val="24"/>
          <w:szCs w:val="24"/>
        </w:rPr>
      </w:pPr>
    </w:p>
    <w:p w14:paraId="7C1A99BD" w14:textId="77777777" w:rsidR="000630B1" w:rsidRDefault="000630B1" w:rsidP="000630B1">
      <w:pPr>
        <w:shd w:val="clear" w:color="auto" w:fill="FFFFFF"/>
        <w:spacing w:after="0" w:line="360" w:lineRule="auto"/>
        <w:jc w:val="both"/>
        <w:rPr>
          <w:rFonts w:ascii="Arial" w:hAnsi="Arial" w:cs="Arial"/>
          <w:color w:val="C00000"/>
          <w:sz w:val="24"/>
          <w:szCs w:val="24"/>
        </w:rPr>
      </w:pPr>
      <w:r>
        <w:rPr>
          <w:rFonts w:ascii="Arial" w:hAnsi="Arial" w:cs="Arial"/>
          <w:sz w:val="24"/>
          <w:szCs w:val="24"/>
        </w:rPr>
        <w:lastRenderedPageBreak/>
        <w:t xml:space="preserve">En Cuba este modelo se ha utilizado en varias investigaciones para el análisis de las respuestas de las interacciones planta-ambiente-manejo en distintos escenarios de la producción de cultivos de cereales en Cuba. El modelo se calibró y validó para las condiciones de estudio. La calibración y validación del modelo demostró la factibilidad de su utilización en las condiciones de estudio para la predicción del rendimiento y sus componentes. </w:t>
      </w:r>
    </w:p>
    <w:p w14:paraId="2388DC67" w14:textId="77777777" w:rsidR="000630B1" w:rsidRDefault="000630B1" w:rsidP="000630B1">
      <w:pPr>
        <w:spacing w:after="0" w:line="360" w:lineRule="auto"/>
        <w:jc w:val="both"/>
        <w:rPr>
          <w:rFonts w:ascii="Arial" w:hAnsi="Arial" w:cs="Arial"/>
          <w:color w:val="C00000"/>
          <w:sz w:val="24"/>
          <w:szCs w:val="24"/>
        </w:rPr>
      </w:pPr>
      <w:r>
        <w:rPr>
          <w:rFonts w:ascii="Arial" w:hAnsi="Arial" w:cs="Arial"/>
          <w:sz w:val="24"/>
          <w:szCs w:val="24"/>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Pr>
          <w:rFonts w:ascii="Arial" w:hAnsi="Arial" w:cs="Arial"/>
          <w:color w:val="C00000"/>
          <w:sz w:val="24"/>
          <w:szCs w:val="24"/>
        </w:rPr>
        <w:instrText>ADDIN ZOTERO_ITEM CSL_CITATION {"citationID":"muBdmYqH","properties":{"formattedCitation":"(Corbeels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ascii="Arial" w:hAnsi="Arial" w:cs="Arial"/>
          <w:color w:val="C00000"/>
          <w:sz w:val="24"/>
          <w:szCs w:val="24"/>
        </w:rPr>
        <w:fldChar w:fldCharType="separate"/>
      </w:r>
      <w:r>
        <w:rPr>
          <w:rFonts w:ascii="Arial" w:hAnsi="Arial" w:cs="Arial"/>
          <w:sz w:val="24"/>
          <w:szCs w:val="24"/>
        </w:rPr>
        <w:t>(Corbeels et al., 2016)</w:t>
      </w:r>
      <w:r>
        <w:rPr>
          <w:rFonts w:ascii="Arial" w:hAnsi="Arial" w:cs="Arial"/>
          <w:color w:val="C00000"/>
          <w:sz w:val="24"/>
          <w:szCs w:val="24"/>
        </w:rPr>
        <w:fldChar w:fldCharType="end"/>
      </w:r>
      <w:r>
        <w:rPr>
          <w:rFonts w:ascii="Arial" w:hAnsi="Arial" w:cs="Arial"/>
          <w:color w:val="C00000"/>
          <w:sz w:val="24"/>
          <w:szCs w:val="24"/>
        </w:rPr>
        <w:t>.</w:t>
      </w:r>
    </w:p>
    <w:p w14:paraId="547C0EE5" w14:textId="77777777" w:rsidR="000630B1" w:rsidRDefault="000630B1" w:rsidP="000630B1">
      <w:pPr>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g">
            <w:drawing>
              <wp:anchor distT="0" distB="10160" distL="0" distR="26670" simplePos="0" relativeHeight="251664384" behindDoc="0" locked="0" layoutInCell="1" allowOverlap="1" wp14:anchorId="469C0AAD" wp14:editId="6B526F94">
                <wp:simplePos x="0" y="0"/>
                <wp:positionH relativeFrom="column">
                  <wp:posOffset>722630</wp:posOffset>
                </wp:positionH>
                <wp:positionV relativeFrom="page">
                  <wp:posOffset>2001520</wp:posOffset>
                </wp:positionV>
                <wp:extent cx="4754880" cy="3285490"/>
                <wp:effectExtent l="6350" t="6985" r="6350" b="6350"/>
                <wp:wrapNone/>
                <wp:docPr id="6" name="Grupo 3"/>
                <wp:cNvGraphicFramePr/>
                <a:graphic xmlns:a="http://schemas.openxmlformats.org/drawingml/2006/main">
                  <a:graphicData uri="http://schemas.microsoft.com/office/word/2010/wordprocessingGroup">
                    <wpg:wgp>
                      <wpg:cNvGrpSpPr/>
                      <wpg:grpSpPr>
                        <a:xfrm>
                          <a:off x="0" y="0"/>
                          <a:ext cx="4754880" cy="3285360"/>
                          <a:chOff x="0" y="0"/>
                          <a:chExt cx="4754880" cy="3285360"/>
                        </a:xfrm>
                      </wpg:grpSpPr>
                      <wps:wsp>
                        <wps:cNvPr id="8" name="Llamada de flecha hacia abajo 8"/>
                        <wps:cNvSpPr/>
                        <wps:spPr>
                          <a:xfrm>
                            <a:off x="0" y="0"/>
                            <a:ext cx="4702680" cy="1423080"/>
                          </a:xfrm>
                          <a:prstGeom prst="downArrowCallout">
                            <a:avLst>
                              <a:gd name="adj1" fmla="val 25000"/>
                              <a:gd name="adj2" fmla="val 25000"/>
                              <a:gd name="adj3" fmla="val 25000"/>
                              <a:gd name="adj4" fmla="val 64977"/>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1689B00A"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wps:txbx>
                        <wps:bodyPr lIns="0" tIns="0" rIns="0" bIns="0" anchor="ctr">
                          <a:noAutofit/>
                        </wps:bodyPr>
                      </wps:wsp>
                      <wps:wsp>
                        <wps:cNvPr id="9" name="Tarjeta 5"/>
                        <wps:cNvSpPr/>
                        <wps:spPr>
                          <a:xfrm>
                            <a:off x="165600" y="2303280"/>
                            <a:ext cx="4589280" cy="982440"/>
                          </a:xfrm>
                          <a:prstGeom prst="flowChartPunchedCard">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5A85DD1" w14:textId="77777777" w:rsidR="007C3032" w:rsidRDefault="007C303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wps:txbx>
                        <wps:bodyPr lIns="0" tIns="0" rIns="0" bIns="0" anchor="ctr">
                          <a:noAutofit/>
                        </wps:bodyPr>
                      </wps:wsp>
                    </wpg:wgp>
                  </a:graphicData>
                </a:graphic>
              </wp:anchor>
            </w:drawing>
          </mc:Choice>
          <mc:Fallback>
            <w:pict>
              <v:group w14:anchorId="469C0AAD" id="Grupo 3" o:spid="_x0000_s1026" style="position:absolute;left:0;text-align:left;margin-left:56.9pt;margin-top:157.6pt;width:374.4pt;height:258.7pt;z-index:251664384;mso-wrap-distance-left:0;mso-wrap-distance-right:2.1pt;mso-wrap-distance-bottom:.8pt;mso-position-vertical-relative:page" coordsize="47548,3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8" o:spid="_x0000_s1027" type="#_x0000_t80" style="position:absolute;width:47026;height:14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" adj="14035,9166,16200,9983" filled="f" strokecolor="#43729d" strokeweight="1pt">
                  <v:textbox inset="0,0,0,0">
                    <w:txbxContent>
                      <w:p w14:paraId="1689B00A"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v:textbox>
                </v:shape>
                <v:shapetype id="_x0000_t121" coordsize="21600,21600" o:spt="121" path="m4321,l21600,r,21600l,21600,,4338xe">
                  <v:stroke joinstyle="miter"/>
                  <v:path gradientshapeok="t" o:connecttype="rect" textboxrect="0,4321,21600,21600"/>
                </v:shapetype>
                <v:shape id="Tarjeta 5" o:spid="_x0000_s1028" type="#_x0000_t121" style="position:absolute;left:1656;top:23032;width:45892;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" filled="f" strokecolor="#43729d" strokeweight="1pt">
                  <v:textbox inset="0,0,0,0">
                    <w:txbxContent>
                      <w:p w14:paraId="65A85DD1" w14:textId="77777777" w:rsidR="007C3032" w:rsidRDefault="007C303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v:textbox>
                </v:shape>
                <w10:wrap anchory="page"/>
              </v:group>
            </w:pict>
          </mc:Fallback>
        </mc:AlternateContent>
      </w:r>
    </w:p>
    <w:p w14:paraId="365438DD" w14:textId="77777777" w:rsidR="000630B1" w:rsidRDefault="000630B1" w:rsidP="000630B1">
      <w:pPr>
        <w:spacing w:after="0" w:line="360" w:lineRule="auto"/>
        <w:jc w:val="center"/>
        <w:rPr>
          <w:rFonts w:ascii="Arial" w:hAnsi="Arial" w:cs="Arial"/>
          <w:color w:val="C00000"/>
          <w:sz w:val="24"/>
          <w:szCs w:val="24"/>
        </w:rPr>
      </w:pPr>
    </w:p>
    <w:p w14:paraId="58164FAC" w14:textId="77777777" w:rsidR="000630B1" w:rsidRDefault="000630B1" w:rsidP="000630B1">
      <w:pPr>
        <w:spacing w:after="0" w:line="360" w:lineRule="auto"/>
        <w:jc w:val="both"/>
        <w:rPr>
          <w:rFonts w:ascii="Arial" w:hAnsi="Arial" w:cs="Arial"/>
          <w:color w:val="C00000"/>
          <w:sz w:val="24"/>
          <w:szCs w:val="24"/>
        </w:rPr>
      </w:pPr>
    </w:p>
    <w:p w14:paraId="6AFB6E12" w14:textId="77777777" w:rsidR="000630B1" w:rsidRDefault="000630B1" w:rsidP="000630B1">
      <w:pPr>
        <w:spacing w:after="0" w:line="360" w:lineRule="auto"/>
        <w:jc w:val="both"/>
        <w:rPr>
          <w:rFonts w:ascii="Arial" w:hAnsi="Arial" w:cs="Arial"/>
          <w:color w:val="C00000"/>
          <w:sz w:val="24"/>
          <w:szCs w:val="24"/>
        </w:rPr>
      </w:pPr>
    </w:p>
    <w:p w14:paraId="4ABA9AA8" w14:textId="77777777" w:rsidR="000630B1" w:rsidRDefault="000630B1" w:rsidP="000630B1">
      <w:pPr>
        <w:spacing w:after="0" w:line="360" w:lineRule="auto"/>
        <w:jc w:val="both"/>
        <w:rPr>
          <w:rFonts w:ascii="Arial" w:hAnsi="Arial" w:cs="Arial"/>
          <w:color w:val="C00000"/>
          <w:sz w:val="24"/>
          <w:szCs w:val="24"/>
        </w:rPr>
      </w:pPr>
    </w:p>
    <w:p w14:paraId="73CBEB15" w14:textId="77777777" w:rsidR="000630B1" w:rsidRDefault="000630B1" w:rsidP="000630B1">
      <w:pPr>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s">
            <w:drawing>
              <wp:anchor distT="0" distB="106045" distL="0" distR="10795" simplePos="0" relativeHeight="251665408" behindDoc="0" locked="0" layoutInCell="1" allowOverlap="1" wp14:anchorId="548F6DB6" wp14:editId="1D70BD28">
                <wp:simplePos x="0" y="0"/>
                <wp:positionH relativeFrom="column">
                  <wp:posOffset>1050290</wp:posOffset>
                </wp:positionH>
                <wp:positionV relativeFrom="paragraph">
                  <wp:posOffset>158750</wp:posOffset>
                </wp:positionV>
                <wp:extent cx="4123690" cy="656590"/>
                <wp:effectExtent l="6985" t="6985" r="6985" b="89535"/>
                <wp:wrapNone/>
                <wp:docPr id="4" name="Llamada rectangular redondeada 7"/>
                <wp:cNvGraphicFramePr/>
                <a:graphic xmlns:a="http://schemas.openxmlformats.org/drawingml/2006/main">
                  <a:graphicData uri="http://schemas.microsoft.com/office/word/2010/wordprocessingShape">
                    <wps:wsp>
                      <wps:cNvSpPr/>
                      <wps:spPr>
                        <a:xfrm>
                          <a:off x="0" y="0"/>
                          <a:ext cx="4123800" cy="656640"/>
                        </a:xfrm>
                        <a:prstGeom prst="wedgeRoundRectCallout">
                          <a:avLst>
                            <a:gd name="adj1" fmla="val -20833"/>
                            <a:gd name="adj2" fmla="val 62500"/>
                            <a:gd name="adj3"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3306FA49" w14:textId="77777777" w:rsidR="007C3032" w:rsidRDefault="007C3032" w:rsidP="000630B1">
                            <w:pPr>
                              <w:pStyle w:val="Contenidodelmarco"/>
                              <w:jc w:val="center"/>
                              <w:rPr>
                                <w:rFonts w:ascii="Arial" w:hAnsi="Arial" w:cs="Arial"/>
                                <w:b/>
                                <w:sz w:val="24"/>
                                <w:szCs w:val="24"/>
                              </w:rPr>
                            </w:pPr>
                            <w:r>
                              <w:rPr>
                                <w:rFonts w:ascii="Arial" w:hAnsi="Arial" w:cs="Arial"/>
                                <w:b/>
                                <w:color w:val="000000"/>
                                <w:sz w:val="24"/>
                                <w:szCs w:val="24"/>
                              </w:rPr>
                              <w:t>Modelación de cultivos</w:t>
                            </w:r>
                          </w:p>
                        </w:txbxContent>
                      </wps:txbx>
                      <wps:bodyPr anchor="ctr">
                        <a:prstTxWarp prst="textNoShape">
                          <a:avLst/>
                        </a:prstTxWarp>
                        <a:noAutofit/>
                      </wps:bodyPr>
                    </wps:wsp>
                  </a:graphicData>
                </a:graphic>
              </wp:anchor>
            </w:drawing>
          </mc:Choice>
          <mc:Fallback>
            <w:pict>
              <v:shapetype w14:anchorId="548F6DB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7" o:spid="_x0000_s1029" type="#_x0000_t62" style="position:absolute;left:0;text-align:left;margin-left:82.7pt;margin-top:12.5pt;width:324.7pt;height:51.7pt;z-index:251665408;visibility:visible;mso-wrap-style:square;mso-wrap-distance-left:0;mso-wrap-distance-top:0;mso-wrap-distance-right:.85pt;mso-wrap-distance-bottom:8.3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" adj="6300,24300" strokeweight="1pt">
                <v:textbox>
                  <w:txbxContent>
                    <w:p w14:paraId="3306FA49" w14:textId="77777777" w:rsidR="007C3032" w:rsidRDefault="007C3032" w:rsidP="000630B1">
                      <w:pPr>
                        <w:pStyle w:val="Contenidodelmarco"/>
                        <w:jc w:val="center"/>
                        <w:rPr>
                          <w:rFonts w:ascii="Arial" w:hAnsi="Arial" w:cs="Arial"/>
                          <w:b/>
                          <w:sz w:val="24"/>
                          <w:szCs w:val="24"/>
                        </w:rPr>
                      </w:pPr>
                      <w:r>
                        <w:rPr>
                          <w:rFonts w:ascii="Arial" w:hAnsi="Arial" w:cs="Arial"/>
                          <w:b/>
                          <w:color w:val="000000"/>
                          <w:sz w:val="24"/>
                          <w:szCs w:val="24"/>
                        </w:rPr>
                        <w:t>Modelación de cultivos</w:t>
                      </w:r>
                    </w:p>
                  </w:txbxContent>
                </v:textbox>
              </v:shape>
            </w:pict>
          </mc:Fallback>
        </mc:AlternateContent>
      </w:r>
    </w:p>
    <w:p w14:paraId="71066C7A" w14:textId="77777777" w:rsidR="000630B1" w:rsidRDefault="000630B1" w:rsidP="000630B1">
      <w:pPr>
        <w:spacing w:after="0" w:line="360" w:lineRule="auto"/>
        <w:jc w:val="both"/>
        <w:rPr>
          <w:rFonts w:ascii="Arial" w:hAnsi="Arial" w:cs="Arial"/>
          <w:color w:val="C00000"/>
          <w:sz w:val="24"/>
          <w:szCs w:val="24"/>
        </w:rPr>
      </w:pPr>
    </w:p>
    <w:p w14:paraId="1E7C7B3C" w14:textId="77777777" w:rsidR="000630B1" w:rsidRDefault="000630B1" w:rsidP="000630B1">
      <w:pPr>
        <w:spacing w:after="0" w:line="360" w:lineRule="auto"/>
        <w:jc w:val="both"/>
        <w:rPr>
          <w:rFonts w:ascii="Arial" w:hAnsi="Arial" w:cs="Arial"/>
          <w:color w:val="C00000"/>
          <w:sz w:val="24"/>
          <w:szCs w:val="24"/>
        </w:rPr>
      </w:pPr>
    </w:p>
    <w:p w14:paraId="28906A77" w14:textId="77777777" w:rsidR="000630B1" w:rsidRDefault="000630B1" w:rsidP="000630B1">
      <w:pPr>
        <w:spacing w:after="0" w:line="360" w:lineRule="auto"/>
        <w:jc w:val="both"/>
        <w:rPr>
          <w:rFonts w:ascii="Arial" w:hAnsi="Arial" w:cs="Arial"/>
          <w:color w:val="C00000"/>
          <w:sz w:val="24"/>
          <w:szCs w:val="24"/>
        </w:rPr>
      </w:pPr>
    </w:p>
    <w:p w14:paraId="47511D83" w14:textId="77777777" w:rsidR="000630B1" w:rsidRDefault="000630B1" w:rsidP="000630B1">
      <w:pPr>
        <w:spacing w:after="0" w:line="360" w:lineRule="auto"/>
        <w:jc w:val="both"/>
        <w:rPr>
          <w:rFonts w:ascii="Arial" w:hAnsi="Arial" w:cs="Arial"/>
          <w:color w:val="C00000"/>
          <w:sz w:val="24"/>
          <w:szCs w:val="24"/>
        </w:rPr>
      </w:pPr>
    </w:p>
    <w:p w14:paraId="0DE612F8" w14:textId="77777777" w:rsidR="000630B1" w:rsidRDefault="000630B1" w:rsidP="000630B1">
      <w:pPr>
        <w:spacing w:after="0" w:line="360" w:lineRule="auto"/>
        <w:jc w:val="both"/>
        <w:rPr>
          <w:rFonts w:ascii="Arial" w:hAnsi="Arial" w:cs="Arial"/>
          <w:color w:val="C00000"/>
          <w:sz w:val="24"/>
          <w:szCs w:val="24"/>
        </w:rPr>
      </w:pPr>
    </w:p>
    <w:p w14:paraId="4E72688B" w14:textId="77777777" w:rsidR="000630B1" w:rsidRDefault="000630B1" w:rsidP="000630B1">
      <w:pPr>
        <w:spacing w:after="0" w:line="360" w:lineRule="auto"/>
        <w:jc w:val="both"/>
        <w:rPr>
          <w:rFonts w:ascii="Arial" w:hAnsi="Arial" w:cs="Arial"/>
          <w:color w:val="C00000"/>
          <w:sz w:val="24"/>
          <w:szCs w:val="24"/>
        </w:rPr>
      </w:pPr>
    </w:p>
    <w:p w14:paraId="16217C08" w14:textId="77777777" w:rsidR="000630B1" w:rsidRDefault="000630B1" w:rsidP="000630B1">
      <w:pPr>
        <w:spacing w:after="0" w:line="360" w:lineRule="auto"/>
        <w:jc w:val="both"/>
        <w:rPr>
          <w:rFonts w:ascii="Arial" w:hAnsi="Arial" w:cs="Arial"/>
          <w:color w:val="C00000"/>
          <w:sz w:val="24"/>
          <w:szCs w:val="24"/>
        </w:rPr>
      </w:pPr>
    </w:p>
    <w:p w14:paraId="1DA00916"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Figura 1: Estructura de DSSAT </w:t>
      </w:r>
      <w:r>
        <w:fldChar w:fldCharType="begin"/>
      </w:r>
      <w:r>
        <w:rPr>
          <w:rFonts w:ascii="Arial" w:hAnsi="Arial" w:cs="Arial"/>
          <w:sz w:val="24"/>
          <w:szCs w:val="24"/>
        </w:rPr>
        <w:instrText>ADDIN ZOTERO_ITEM CSL_CITATION {"citationID":"jNagCVwQ","properties":{"formattedCitation":"(Jones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hAnsi="Arial" w:cs="Arial"/>
          <w:sz w:val="24"/>
          <w:szCs w:val="24"/>
        </w:rPr>
        <w:fldChar w:fldCharType="end"/>
      </w:r>
    </w:p>
    <w:p w14:paraId="1F89641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Fuente: Elaboración propia</w:t>
      </w:r>
    </w:p>
    <w:p w14:paraId="74D18AB0" w14:textId="77777777" w:rsidR="000630B1" w:rsidRDefault="000630B1" w:rsidP="000630B1">
      <w:pPr>
        <w:spacing w:after="0" w:line="360" w:lineRule="auto"/>
        <w:jc w:val="both"/>
        <w:rPr>
          <w:rFonts w:ascii="Arial" w:hAnsi="Arial" w:cs="Arial"/>
          <w:color w:val="C00000"/>
          <w:sz w:val="24"/>
          <w:szCs w:val="24"/>
        </w:rPr>
      </w:pPr>
    </w:p>
    <w:p w14:paraId="25C274F4"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300D8796" w14:textId="77777777" w:rsidR="000630B1" w:rsidRDefault="000630B1" w:rsidP="000630B1">
      <w:pPr>
        <w:spacing w:after="0" w:line="360" w:lineRule="auto"/>
        <w:jc w:val="both"/>
        <w:rPr>
          <w:rFonts w:ascii="Arial" w:hAnsi="Arial" w:cs="Arial"/>
          <w:sz w:val="24"/>
          <w:szCs w:val="24"/>
        </w:rPr>
      </w:pPr>
    </w:p>
    <w:p w14:paraId="12176242"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26212C82" w14:textId="77777777" w:rsidR="000630B1" w:rsidRDefault="000630B1" w:rsidP="000630B1">
      <w:pPr>
        <w:spacing w:after="0" w:line="360" w:lineRule="auto"/>
        <w:rPr>
          <w:rFonts w:ascii="Arial" w:hAnsi="Arial" w:cs="Arial"/>
          <w:sz w:val="24"/>
          <w:szCs w:val="24"/>
        </w:rPr>
      </w:pPr>
    </w:p>
    <w:p w14:paraId="61B54959"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archivos A y T almacenan los valores observados en el experimento relacionados con la fenología del cultivo y los procesos de crecimiento, los que se compararán con los valores simulados y se utilizarán, además, para estimar los coeficientes genéticos. </w:t>
      </w:r>
    </w:p>
    <w:p w14:paraId="02CBB82C" w14:textId="77777777" w:rsidR="000630B1" w:rsidRDefault="000630B1" w:rsidP="000630B1">
      <w:pPr>
        <w:spacing w:after="0" w:line="360" w:lineRule="auto"/>
        <w:rPr>
          <w:rFonts w:ascii="Arial" w:hAnsi="Arial" w:cs="Arial"/>
          <w:sz w:val="24"/>
          <w:szCs w:val="24"/>
        </w:rPr>
      </w:pPr>
    </w:p>
    <w:p w14:paraId="5C65257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2F5BD40D" w14:textId="77777777" w:rsidR="000630B1" w:rsidRDefault="000630B1" w:rsidP="000630B1"/>
    <w:p w14:paraId="70E2C492"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w:t>
      </w:r>
      <w:proofErr w:type="spellStart"/>
      <w:r>
        <w:rPr>
          <w:rFonts w:ascii="Arial" w:hAnsi="Arial" w:cs="Arial"/>
          <w:sz w:val="24"/>
          <w:szCs w:val="24"/>
        </w:rPr>
        <w:t>bioproductos</w:t>
      </w:r>
      <w:proofErr w:type="spellEnd"/>
      <w:r>
        <w:rPr>
          <w:rFonts w:ascii="Arial" w:hAnsi="Arial" w:cs="Arial"/>
          <w:sz w:val="24"/>
          <w:szCs w:val="24"/>
        </w:rPr>
        <w:t xml:space="preserve"> donde se integren cultivo-</w:t>
      </w:r>
      <w:proofErr w:type="spellStart"/>
      <w:r>
        <w:rPr>
          <w:rFonts w:ascii="Arial" w:hAnsi="Arial" w:cs="Arial"/>
          <w:sz w:val="24"/>
          <w:szCs w:val="24"/>
        </w:rPr>
        <w:t>bioproducto</w:t>
      </w:r>
      <w:proofErr w:type="spellEnd"/>
      <w:r>
        <w:rPr>
          <w:rFonts w:ascii="Arial" w:hAnsi="Arial" w:cs="Arial"/>
          <w:sz w:val="24"/>
          <w:szCs w:val="24"/>
        </w:rPr>
        <w:t xml:space="preserve">-agua-ambiente. </w:t>
      </w:r>
    </w:p>
    <w:p w14:paraId="266F358C" w14:textId="301FD0EC" w:rsidR="00F725CE" w:rsidRPr="00A6097C" w:rsidRDefault="00F725CE" w:rsidP="00A6097C">
      <w:pPr>
        <w:autoSpaceDE w:val="0"/>
        <w:autoSpaceDN w:val="0"/>
        <w:adjustRightInd w:val="0"/>
        <w:spacing w:after="0" w:line="360" w:lineRule="auto"/>
        <w:jc w:val="both"/>
        <w:rPr>
          <w:rFonts w:ascii="Arial" w:hAnsi="Arial" w:cs="Arial"/>
          <w:sz w:val="24"/>
          <w:szCs w:val="24"/>
        </w:rPr>
      </w:pPr>
      <w:r w:rsidRPr="00A6097C">
        <w:rPr>
          <w:rFonts w:ascii="Arial" w:hAnsi="Arial" w:cs="Arial"/>
          <w:sz w:val="24"/>
          <w:szCs w:val="24"/>
        </w:rPr>
        <w:t xml:space="preserve"> </w:t>
      </w:r>
    </w:p>
    <w:p w14:paraId="196BD8F0" w14:textId="77777777" w:rsidR="00252DF7" w:rsidRDefault="00252DF7">
      <w:pPr>
        <w:rPr>
          <w:rFonts w:ascii="Arial" w:eastAsiaTheme="majorEastAsia" w:hAnsi="Arial" w:cstheme="majorBidi"/>
          <w:b/>
          <w:bCs/>
          <w:sz w:val="28"/>
          <w:szCs w:val="28"/>
        </w:rPr>
      </w:pPr>
      <w:r>
        <w:br w:type="page"/>
      </w:r>
    </w:p>
    <w:p w14:paraId="189A6978" w14:textId="5F4FF4B6" w:rsidR="00A16170" w:rsidRPr="001877EF" w:rsidRDefault="00A16170" w:rsidP="001877EF">
      <w:pPr>
        <w:pStyle w:val="Ttulo1"/>
      </w:pPr>
      <w:r w:rsidRPr="001877EF">
        <w:lastRenderedPageBreak/>
        <w:t>CAPÍTULO 2. MATERIALES Y MÉTODOS</w:t>
      </w:r>
    </w:p>
    <w:p w14:paraId="354C00D9" w14:textId="77777777" w:rsidR="00720401" w:rsidRDefault="00720401" w:rsidP="00720401">
      <w:pPr>
        <w:pStyle w:val="Standard"/>
        <w:spacing w:line="360" w:lineRule="auto"/>
        <w:rPr>
          <w:rFonts w:ascii="Arial" w:hAnsi="Arial"/>
          <w:b/>
          <w:bCs/>
        </w:rPr>
      </w:pPr>
      <w:r>
        <w:rPr>
          <w:rFonts w:ascii="Arial" w:hAnsi="Arial"/>
          <w:b/>
          <w:bCs/>
        </w:rPr>
        <w:t>MATERIALES Y MÉTODOS</w:t>
      </w:r>
    </w:p>
    <w:p w14:paraId="3FC9662A" w14:textId="77777777" w:rsidR="00720401" w:rsidRDefault="00720401" w:rsidP="00720401">
      <w:pPr>
        <w:pStyle w:val="Standard"/>
        <w:spacing w:line="360" w:lineRule="auto"/>
        <w:rPr>
          <w:rFonts w:ascii="Arial" w:hAnsi="Arial"/>
        </w:rPr>
      </w:pPr>
      <w:r>
        <w:rPr>
          <w:rFonts w:ascii="Arial" w:hAnsi="Arial"/>
          <w:b/>
          <w:bCs/>
        </w:rPr>
        <w:t>2</w:t>
      </w:r>
      <w:bookmarkStart w:id="22" w:name="_Toc148350406_Copia_1"/>
      <w:bookmarkStart w:id="23" w:name="_Toc138712736_Copia_1"/>
      <w:r>
        <w:rPr>
          <w:rFonts w:ascii="Arial" w:hAnsi="Arial"/>
          <w:b/>
          <w:bCs/>
        </w:rPr>
        <w:t>.1 Condiciones de los experimentos</w:t>
      </w:r>
      <w:bookmarkEnd w:id="22"/>
      <w:bookmarkEnd w:id="23"/>
    </w:p>
    <w:p w14:paraId="2C61313A" w14:textId="77777777" w:rsidR="00720401" w:rsidRDefault="00720401" w:rsidP="00720401">
      <w:pPr>
        <w:pStyle w:val="Standard"/>
        <w:spacing w:line="360" w:lineRule="auto"/>
        <w:jc w:val="both"/>
        <w:rPr>
          <w:rFonts w:ascii="Arial" w:hAnsi="Arial"/>
        </w:rPr>
      </w:pPr>
      <w:r>
        <w:rPr>
          <w:rFonts w:ascii="Arial" w:hAnsi="Arial"/>
        </w:rPr>
        <w:t xml:space="preserve">En la investigación se utilizaron dos experimentos. El primero en la Finca “El </w:t>
      </w:r>
      <w:proofErr w:type="spellStart"/>
      <w:r>
        <w:rPr>
          <w:rFonts w:ascii="Arial" w:hAnsi="Arial"/>
        </w:rPr>
        <w:t>Mulato</w:t>
      </w:r>
      <w:proofErr w:type="gramStart"/>
      <w:r>
        <w:rPr>
          <w:rFonts w:ascii="Arial" w:hAnsi="Arial"/>
        </w:rPr>
        <w:t>”,ubicada</w:t>
      </w:r>
      <w:proofErr w:type="spellEnd"/>
      <w:proofErr w:type="gramEnd"/>
      <w:r>
        <w:rPr>
          <w:rFonts w:ascii="Arial" w:hAnsi="Arial"/>
        </w:rPr>
        <w:t xml:space="preserve"> a 23°00'34.6"LN y 82°08'20.5"LO, a una altura de 122 </w:t>
      </w:r>
      <w:proofErr w:type="spellStart"/>
      <w:r>
        <w:rPr>
          <w:rFonts w:ascii="Arial" w:hAnsi="Arial"/>
        </w:rPr>
        <w:t>m.s.n.m.,que</w:t>
      </w:r>
      <w:proofErr w:type="spellEnd"/>
      <w:r>
        <w:rPr>
          <w:rFonts w:ascii="Arial" w:hAnsi="Arial"/>
        </w:rPr>
        <w:t xml:space="preserve"> pertenece a la CCS Orlando Cuellar del Municipio San José de las Lajas, de la provincia Mayabeque. El experimento fue sembrado en el período abril-julio de 2016, con 25,59 ± 1,81°C de temperatura promedio, 77,82 ± 6,40 % de humedad relativa y 620,7 mm de precipitaciones acumuladas.</w:t>
      </w:r>
    </w:p>
    <w:p w14:paraId="27AA3AFD" w14:textId="77777777" w:rsidR="00720401" w:rsidRDefault="00720401" w:rsidP="00720401">
      <w:pPr>
        <w:pStyle w:val="Standard"/>
        <w:spacing w:line="360" w:lineRule="auto"/>
        <w:jc w:val="both"/>
        <w:rPr>
          <w:rFonts w:ascii="Arial" w:hAnsi="Arial"/>
        </w:rPr>
      </w:pPr>
      <w:r>
        <w:rPr>
          <w:rFonts w:ascii="Arial" w:hAnsi="Arial"/>
        </w:rPr>
        <w:t xml:space="preserve">El segundo experimento se desarrolló en áreas de la Granja San Blas (Finca de semillas) perteneciente a la Empresa Agropecuaria del MININT, ubicada en la localidad de Cerca Blanca del municipio Bayamo en </w:t>
      </w:r>
      <w:proofErr w:type="gramStart"/>
      <w:r>
        <w:rPr>
          <w:rFonts w:ascii="Arial" w:hAnsi="Arial"/>
        </w:rPr>
        <w:t>Granma .</w:t>
      </w:r>
      <w:proofErr w:type="gramEnd"/>
    </w:p>
    <w:p w14:paraId="48A5C93C" w14:textId="77777777" w:rsidR="00720401" w:rsidRDefault="00720401" w:rsidP="00720401">
      <w:pPr>
        <w:pStyle w:val="Standard"/>
        <w:spacing w:line="360" w:lineRule="auto"/>
        <w:jc w:val="both"/>
        <w:rPr>
          <w:rFonts w:ascii="Arial" w:hAnsi="Arial"/>
        </w:rPr>
      </w:pPr>
      <w:r>
        <w:rPr>
          <w:rFonts w:ascii="Arial" w:hAnsi="Arial"/>
          <w:shd w:val="clear" w:color="auto" w:fill="FFFF00"/>
        </w:rPr>
        <w:t>Tabla 2. Fechas de siembra utilizadas en los experimentos para la calibración del cultivar P-7928</w:t>
      </w:r>
    </w:p>
    <w:tbl>
      <w:tblPr>
        <w:tblW w:w="3654" w:type="dxa"/>
        <w:jc w:val="center"/>
        <w:tblLayout w:type="fixed"/>
        <w:tblCellMar>
          <w:left w:w="10" w:type="dxa"/>
          <w:right w:w="10" w:type="dxa"/>
        </w:tblCellMar>
        <w:tblLook w:val="0000" w:firstRow="0" w:lastRow="0" w:firstColumn="0" w:lastColumn="0" w:noHBand="0" w:noVBand="0"/>
      </w:tblPr>
      <w:tblGrid>
        <w:gridCol w:w="657"/>
        <w:gridCol w:w="724"/>
        <w:gridCol w:w="1390"/>
        <w:gridCol w:w="883"/>
      </w:tblGrid>
      <w:tr w:rsidR="00720401" w14:paraId="35A63261" w14:textId="77777777" w:rsidTr="003A6D1F">
        <w:trPr>
          <w:jc w:val="center"/>
        </w:trPr>
        <w:tc>
          <w:tcPr>
            <w:tcW w:w="656" w:type="dxa"/>
            <w:tcBorders>
              <w:top w:val="single" w:sz="4" w:space="0" w:color="FFFFFF"/>
              <w:left w:val="single" w:sz="4" w:space="0" w:color="FFFFFF"/>
              <w:bottom w:val="single" w:sz="4" w:space="0" w:color="FFFFFF"/>
              <w:right w:val="single" w:sz="4" w:space="0" w:color="FFFFFF"/>
            </w:tcBorders>
            <w:shd w:val="clear" w:color="auto" w:fill="FFC000"/>
            <w:tcMar>
              <w:top w:w="0" w:type="dxa"/>
              <w:left w:w="108" w:type="dxa"/>
              <w:bottom w:w="0" w:type="dxa"/>
              <w:right w:w="108" w:type="dxa"/>
            </w:tcMar>
          </w:tcPr>
          <w:p w14:paraId="1B25EE06" w14:textId="77777777" w:rsidR="00720401" w:rsidRDefault="00720401" w:rsidP="003A6D1F">
            <w:pPr>
              <w:pStyle w:val="Standard"/>
              <w:spacing w:line="360" w:lineRule="auto"/>
              <w:jc w:val="both"/>
              <w:rPr>
                <w:rFonts w:ascii="Arial" w:eastAsia="Calibri" w:hAnsi="Arial" w:cs="F"/>
                <w:b/>
                <w:bCs/>
                <w:color w:val="FFFFFF"/>
                <w:kern w:val="0"/>
                <w:lang w:eastAsia="en-US" w:bidi="ar-SA"/>
              </w:rPr>
            </w:pPr>
            <w:r>
              <w:rPr>
                <w:rFonts w:ascii="Arial" w:eastAsia="Calibri" w:hAnsi="Arial"/>
                <w:b/>
                <w:bCs/>
                <w:color w:val="000000"/>
                <w:kern w:val="0"/>
                <w:lang w:eastAsia="en-US" w:bidi="ar-SA"/>
              </w:rPr>
              <w:t>No</w:t>
            </w:r>
          </w:p>
        </w:tc>
        <w:tc>
          <w:tcPr>
            <w:tcW w:w="724"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19290CE3"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Día</w:t>
            </w:r>
          </w:p>
        </w:tc>
        <w:tc>
          <w:tcPr>
            <w:tcW w:w="1390"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56E0167D"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Mes</w:t>
            </w:r>
          </w:p>
        </w:tc>
        <w:tc>
          <w:tcPr>
            <w:tcW w:w="883"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6DCB91D3"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Año</w:t>
            </w:r>
          </w:p>
        </w:tc>
      </w:tr>
      <w:tr w:rsidR="00720401" w14:paraId="30AEFDEE" w14:textId="77777777" w:rsidTr="003A6D1F">
        <w:trPr>
          <w:jc w:val="center"/>
        </w:trPr>
        <w:tc>
          <w:tcPr>
            <w:tcW w:w="65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vAlign w:val="center"/>
          </w:tcPr>
          <w:p w14:paraId="43E78E47" w14:textId="77777777" w:rsidR="00720401" w:rsidRDefault="00720401" w:rsidP="003A6D1F">
            <w:pPr>
              <w:pStyle w:val="Standard"/>
              <w:spacing w:line="360" w:lineRule="auto"/>
              <w:jc w:val="both"/>
              <w:rPr>
                <w:rFonts w:ascii="Arial" w:eastAsia="Calibri" w:hAnsi="Arial" w:cs="F"/>
                <w:b/>
                <w:bCs/>
                <w:color w:val="FFFFFF"/>
                <w:kern w:val="0"/>
                <w:lang w:eastAsia="en-US" w:bidi="ar-SA"/>
              </w:rPr>
            </w:pPr>
            <w:r>
              <w:rPr>
                <w:rFonts w:ascii="Arial" w:eastAsia="Calibri" w:hAnsi="Arial"/>
                <w:b/>
                <w:bCs/>
                <w:color w:val="000000"/>
                <w:kern w:val="0"/>
                <w:lang w:eastAsia="en-US" w:bidi="ar-SA"/>
              </w:rPr>
              <w:t>1</w:t>
            </w:r>
          </w:p>
        </w:tc>
        <w:tc>
          <w:tcPr>
            <w:tcW w:w="72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254A07DF"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18</w:t>
            </w:r>
          </w:p>
        </w:tc>
        <w:tc>
          <w:tcPr>
            <w:tcW w:w="1390"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241CB3D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noviembre</w:t>
            </w:r>
          </w:p>
        </w:tc>
        <w:tc>
          <w:tcPr>
            <w:tcW w:w="883"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7C2BA03B"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2008</w:t>
            </w:r>
          </w:p>
        </w:tc>
      </w:tr>
      <w:tr w:rsidR="00720401" w14:paraId="692BB66A" w14:textId="77777777" w:rsidTr="003A6D1F">
        <w:trPr>
          <w:jc w:val="center"/>
        </w:trPr>
        <w:tc>
          <w:tcPr>
            <w:tcW w:w="65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vAlign w:val="center"/>
          </w:tcPr>
          <w:p w14:paraId="44506F19" w14:textId="77777777" w:rsidR="00720401" w:rsidRDefault="00720401" w:rsidP="003A6D1F">
            <w:pPr>
              <w:pStyle w:val="Standard"/>
              <w:spacing w:line="360" w:lineRule="auto"/>
              <w:jc w:val="both"/>
              <w:rPr>
                <w:rFonts w:ascii="Arial" w:eastAsia="Calibri" w:hAnsi="Arial" w:cs="F"/>
                <w:b/>
                <w:bCs/>
                <w:color w:val="FFFFFF"/>
                <w:kern w:val="0"/>
                <w:lang w:eastAsia="en-US" w:bidi="ar-SA"/>
              </w:rPr>
            </w:pPr>
            <w:r>
              <w:rPr>
                <w:rFonts w:ascii="Arial" w:eastAsia="Calibri" w:hAnsi="Arial"/>
                <w:b/>
                <w:bCs/>
                <w:color w:val="000000"/>
                <w:kern w:val="0"/>
                <w:lang w:eastAsia="en-US" w:bidi="ar-SA"/>
              </w:rPr>
              <w:t>2</w:t>
            </w:r>
          </w:p>
        </w:tc>
        <w:tc>
          <w:tcPr>
            <w:tcW w:w="72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vAlign w:val="center"/>
          </w:tcPr>
          <w:p w14:paraId="5CC2F18A"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12</w:t>
            </w:r>
          </w:p>
        </w:tc>
        <w:tc>
          <w:tcPr>
            <w:tcW w:w="1390"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vAlign w:val="center"/>
          </w:tcPr>
          <w:p w14:paraId="3DB924B5"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junio</w:t>
            </w:r>
          </w:p>
        </w:tc>
        <w:tc>
          <w:tcPr>
            <w:tcW w:w="883"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vAlign w:val="center"/>
          </w:tcPr>
          <w:p w14:paraId="02C20AF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2009</w:t>
            </w:r>
          </w:p>
        </w:tc>
      </w:tr>
      <w:tr w:rsidR="00720401" w14:paraId="6C77C4EE" w14:textId="77777777" w:rsidTr="003A6D1F">
        <w:trPr>
          <w:jc w:val="center"/>
        </w:trPr>
        <w:tc>
          <w:tcPr>
            <w:tcW w:w="65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vAlign w:val="center"/>
          </w:tcPr>
          <w:p w14:paraId="4D01F70C" w14:textId="77777777" w:rsidR="00720401" w:rsidRDefault="00720401" w:rsidP="003A6D1F">
            <w:pPr>
              <w:pStyle w:val="Standard"/>
              <w:spacing w:line="360" w:lineRule="auto"/>
              <w:jc w:val="both"/>
              <w:rPr>
                <w:rFonts w:ascii="Arial" w:eastAsia="Calibri" w:hAnsi="Arial" w:cs="F"/>
                <w:b/>
                <w:bCs/>
                <w:color w:val="FFFFFF"/>
                <w:kern w:val="0"/>
                <w:lang w:eastAsia="en-US" w:bidi="ar-SA"/>
              </w:rPr>
            </w:pPr>
            <w:r>
              <w:rPr>
                <w:rFonts w:ascii="Arial" w:eastAsia="Calibri" w:hAnsi="Arial"/>
                <w:b/>
                <w:bCs/>
                <w:color w:val="000000"/>
                <w:kern w:val="0"/>
                <w:lang w:eastAsia="en-US" w:bidi="ar-SA"/>
              </w:rPr>
              <w:t>3</w:t>
            </w:r>
          </w:p>
        </w:tc>
        <w:tc>
          <w:tcPr>
            <w:tcW w:w="72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5F6F5F7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31</w:t>
            </w:r>
          </w:p>
        </w:tc>
        <w:tc>
          <w:tcPr>
            <w:tcW w:w="1390"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4EAE962C"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julio</w:t>
            </w:r>
          </w:p>
        </w:tc>
        <w:tc>
          <w:tcPr>
            <w:tcW w:w="883"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vAlign w:val="center"/>
          </w:tcPr>
          <w:p w14:paraId="1AC4016F"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2009</w:t>
            </w:r>
          </w:p>
        </w:tc>
      </w:tr>
    </w:tbl>
    <w:p w14:paraId="49CAD4D9" w14:textId="77777777" w:rsidR="00720401" w:rsidRDefault="00720401" w:rsidP="00720401">
      <w:pPr>
        <w:pStyle w:val="Standard"/>
        <w:spacing w:line="360" w:lineRule="auto"/>
        <w:jc w:val="both"/>
        <w:rPr>
          <w:rFonts w:ascii="Arial" w:hAnsi="Arial"/>
          <w:b/>
          <w:color w:val="221F1F"/>
        </w:rPr>
      </w:pPr>
    </w:p>
    <w:p w14:paraId="05546260" w14:textId="77777777" w:rsidR="00720401" w:rsidRDefault="00720401" w:rsidP="00720401">
      <w:pPr>
        <w:pStyle w:val="Ttulo3"/>
        <w:spacing w:before="0" w:line="360" w:lineRule="auto"/>
      </w:pPr>
      <w:bookmarkStart w:id="24" w:name="_Toc148350407"/>
      <w:bookmarkStart w:id="25" w:name="_Toc138712737"/>
      <w:r>
        <w:rPr>
          <w:rFonts w:cs="Arial"/>
          <w:color w:val="000000"/>
        </w:rPr>
        <w:t>2.2 Características climáticas</w:t>
      </w:r>
      <w:bookmarkEnd w:id="24"/>
      <w:bookmarkEnd w:id="25"/>
    </w:p>
    <w:p w14:paraId="114EB2AD" w14:textId="77777777" w:rsidR="00720401" w:rsidRDefault="00720401" w:rsidP="00720401">
      <w:pPr>
        <w:pStyle w:val="Standard"/>
        <w:spacing w:line="360" w:lineRule="auto"/>
        <w:jc w:val="both"/>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C), precipitaciones (mm) y 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y de la Estación Meteorológica de la Jíquima, para el experimento 1 y 2 respectivamente, ambas cercanas al área experimental.</w:t>
      </w:r>
    </w:p>
    <w:p w14:paraId="13295A5C" w14:textId="77777777" w:rsidR="00720401" w:rsidRDefault="00720401" w:rsidP="00720401">
      <w:pPr>
        <w:pStyle w:val="Standard"/>
        <w:spacing w:line="360" w:lineRule="auto"/>
        <w:jc w:val="both"/>
        <w:rPr>
          <w:rFonts w:ascii="Arial" w:hAnsi="Arial"/>
        </w:rPr>
      </w:pPr>
      <w:r>
        <w:rPr>
          <w:rFonts w:ascii="Arial" w:hAnsi="Arial"/>
        </w:rPr>
        <w:t xml:space="preserve">La radiación solar se determinó por el método de cálculo según la metodología propuesta por Allen </w:t>
      </w:r>
      <w:r>
        <w:rPr>
          <w:rFonts w:ascii="Arial" w:hAnsi="Arial"/>
          <w:i/>
        </w:rPr>
        <w:t>et al</w:t>
      </w:r>
      <w:r>
        <w:rPr>
          <w:rFonts w:ascii="Arial" w:hAnsi="Arial"/>
        </w:rPr>
        <w:t>. (1998) a partir de los valores de temperatura máxima y mínima y mediante la siguiente ecuación (ecuación 1):</w:t>
      </w:r>
    </w:p>
    <w:p w14:paraId="347C4826" w14:textId="77777777" w:rsidR="00720401" w:rsidRDefault="00720401" w:rsidP="00720401">
      <w:pPr>
        <w:pStyle w:val="Standard"/>
        <w:spacing w:line="360" w:lineRule="auto"/>
        <w:jc w:val="center"/>
        <w:rPr>
          <w:rFonts w:ascii="Arial" w:hAnsi="Arial"/>
        </w:rPr>
      </w:pPr>
      <m:oMathPara>
        <m:oMathParaPr>
          <m:jc m:val="center"/>
        </m:oMathParaPr>
        <m:oMath>
          <m:r>
            <w:rPr>
              <w:rFonts w:ascii="Cambria Math" w:hAnsi="Cambria Math"/>
            </w:rPr>
            <m:t>Rs=Krs*</m:t>
          </m:r>
          <m:rad>
            <m:radPr>
              <m:degHide m:val="1"/>
              <m:ctrlPr>
                <w:rPr>
                  <w:rFonts w:ascii="Cambria Math" w:hAnsi="Cambria Math"/>
                </w:rPr>
              </m:ctrlPr>
            </m:radPr>
            <m:deg/>
            <m:e>
              <m:r>
                <w:rPr>
                  <w:rFonts w:ascii="Cambria Math" w:hAnsi="Cambria Math"/>
                </w:rPr>
                <m:t>Tmáx-Tmín</m:t>
              </m:r>
            </m:e>
          </m:rad>
          <m:r>
            <w:rPr>
              <w:rFonts w:ascii="Cambria Math" w:hAnsi="Cambria Math"/>
            </w:rPr>
            <m:t>*Ra</m:t>
          </m:r>
        </m:oMath>
      </m:oMathPara>
    </w:p>
    <w:p w14:paraId="1EE8B3A5" w14:textId="77777777" w:rsidR="00720401" w:rsidRDefault="00720401" w:rsidP="00720401">
      <w:pPr>
        <w:pStyle w:val="Standard"/>
        <w:spacing w:line="360" w:lineRule="auto"/>
        <w:jc w:val="both"/>
        <w:rPr>
          <w:rFonts w:ascii="Arial" w:hAnsi="Arial"/>
        </w:rPr>
      </w:pPr>
      <w:r>
        <w:rPr>
          <w:rFonts w:ascii="Arial" w:hAnsi="Arial"/>
        </w:rPr>
        <w:t>Donde:</w:t>
      </w:r>
    </w:p>
    <w:p w14:paraId="6040929D" w14:textId="77777777" w:rsidR="00720401" w:rsidRDefault="00720401" w:rsidP="00720401">
      <w:pPr>
        <w:pStyle w:val="Standard"/>
        <w:spacing w:line="360" w:lineRule="auto"/>
        <w:jc w:val="both"/>
        <w:rPr>
          <w:rFonts w:ascii="Arial" w:hAnsi="Arial"/>
        </w:rPr>
      </w:pPr>
      <w:r>
        <w:rPr>
          <w:rFonts w:ascii="Arial" w:hAnsi="Arial"/>
        </w:rPr>
        <w:t xml:space="preserve"> </w:t>
      </w:r>
      <w:proofErr w:type="spellStart"/>
      <w:r>
        <w:rPr>
          <w:rFonts w:ascii="Arial" w:hAnsi="Arial"/>
        </w:rPr>
        <w:t>Rs</w:t>
      </w:r>
      <w:proofErr w:type="spellEnd"/>
      <w:r>
        <w:rPr>
          <w:rFonts w:ascii="Arial" w:hAnsi="Arial"/>
        </w:rPr>
        <w:t>: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14:paraId="28456A6D" w14:textId="77777777" w:rsidR="00720401" w:rsidRDefault="00720401" w:rsidP="00720401">
      <w:pPr>
        <w:pStyle w:val="Standard"/>
        <w:spacing w:line="360" w:lineRule="auto"/>
        <w:jc w:val="both"/>
        <w:rPr>
          <w:rFonts w:ascii="Arial" w:hAnsi="Arial"/>
        </w:rPr>
      </w:pPr>
      <w:proofErr w:type="spellStart"/>
      <w:r>
        <w:rPr>
          <w:rFonts w:ascii="Arial" w:hAnsi="Arial"/>
        </w:rPr>
        <w:t>Tmáx</w:t>
      </w:r>
      <w:proofErr w:type="spellEnd"/>
      <w:r>
        <w:rPr>
          <w:rFonts w:ascii="Arial" w:hAnsi="Arial"/>
        </w:rPr>
        <w:t>: Temperatura máxima (°C)</w:t>
      </w:r>
    </w:p>
    <w:p w14:paraId="0A10A5D4" w14:textId="77777777" w:rsidR="00720401" w:rsidRDefault="00720401" w:rsidP="00720401">
      <w:pPr>
        <w:pStyle w:val="Standard"/>
        <w:spacing w:line="360" w:lineRule="auto"/>
        <w:jc w:val="both"/>
        <w:rPr>
          <w:rFonts w:ascii="Arial" w:hAnsi="Arial"/>
        </w:rPr>
      </w:pPr>
      <w:proofErr w:type="spellStart"/>
      <w:r>
        <w:rPr>
          <w:rFonts w:ascii="Arial" w:hAnsi="Arial"/>
        </w:rPr>
        <w:t>Tmín</w:t>
      </w:r>
      <w:proofErr w:type="spellEnd"/>
      <w:r>
        <w:rPr>
          <w:rFonts w:ascii="Arial" w:hAnsi="Arial"/>
        </w:rPr>
        <w:t>: Temperatura mínima (°C)</w:t>
      </w:r>
    </w:p>
    <w:p w14:paraId="3BB65B68" w14:textId="77777777" w:rsidR="00720401" w:rsidRDefault="00720401" w:rsidP="00720401">
      <w:pPr>
        <w:pStyle w:val="Standard"/>
        <w:spacing w:line="360" w:lineRule="auto"/>
        <w:jc w:val="both"/>
        <w:rPr>
          <w:rFonts w:ascii="Arial" w:hAnsi="Arial"/>
        </w:rPr>
      </w:pPr>
      <w:proofErr w:type="spellStart"/>
      <w:r>
        <w:rPr>
          <w:rFonts w:ascii="Arial" w:hAnsi="Arial"/>
        </w:rPr>
        <w:t>Krs</w:t>
      </w:r>
      <w:proofErr w:type="spellEnd"/>
      <w:r>
        <w:rPr>
          <w:rFonts w:ascii="Arial" w:hAnsi="Arial"/>
        </w:rPr>
        <w:t>: Coeficiente de ajuste (0,16-0,19)</w:t>
      </w:r>
    </w:p>
    <w:p w14:paraId="5DDD70C2" w14:textId="77777777" w:rsidR="00720401" w:rsidRDefault="00720401" w:rsidP="00720401">
      <w:pPr>
        <w:pStyle w:val="Standard"/>
        <w:spacing w:line="360" w:lineRule="auto"/>
        <w:jc w:val="both"/>
        <w:rPr>
          <w:rFonts w:ascii="Arial" w:hAnsi="Arial"/>
        </w:rPr>
      </w:pPr>
      <w:r>
        <w:rPr>
          <w:rFonts w:ascii="Arial" w:hAnsi="Arial"/>
        </w:rPr>
        <w:t>Ra: Radiación extraterrestre MJm</w:t>
      </w:r>
      <w:r>
        <w:rPr>
          <w:rFonts w:ascii="Arial" w:hAnsi="Arial"/>
          <w:vertAlign w:val="superscript"/>
        </w:rPr>
        <w:t>-2</w:t>
      </w:r>
      <w:r>
        <w:rPr>
          <w:rFonts w:ascii="Arial" w:hAnsi="Arial"/>
        </w:rPr>
        <w:t xml:space="preserve"> día</w:t>
      </w:r>
      <w:r>
        <w:rPr>
          <w:rFonts w:ascii="Arial" w:hAnsi="Arial"/>
          <w:vertAlign w:val="superscript"/>
        </w:rPr>
        <w:t>-1</w:t>
      </w:r>
    </w:p>
    <w:p w14:paraId="133BA35D" w14:textId="77777777" w:rsidR="00720401" w:rsidRDefault="00720401" w:rsidP="00720401">
      <w:pPr>
        <w:pStyle w:val="Standard"/>
        <w:spacing w:line="360" w:lineRule="auto"/>
        <w:jc w:val="both"/>
        <w:rPr>
          <w:rFonts w:ascii="Arial" w:hAnsi="Arial"/>
          <w:shd w:val="clear" w:color="auto" w:fill="FFFF00"/>
        </w:rPr>
      </w:pPr>
      <w:r>
        <w:rPr>
          <w:rFonts w:ascii="Arial" w:hAnsi="Arial"/>
          <w:color w:val="000000"/>
          <w:shd w:val="clear" w:color="auto" w:fill="FFFF00"/>
        </w:rPr>
        <w:t>En el Anexo 1 aparecen graficadas los valores para cada variable.</w:t>
      </w:r>
    </w:p>
    <w:p w14:paraId="71F6D4F0" w14:textId="77777777" w:rsidR="00720401" w:rsidRDefault="00720401" w:rsidP="00720401">
      <w:pPr>
        <w:pStyle w:val="Ttulo3"/>
        <w:spacing w:before="0" w:line="360" w:lineRule="auto"/>
        <w:rPr>
          <w:rFonts w:cs="Arial"/>
          <w:color w:val="000000"/>
        </w:rPr>
      </w:pPr>
    </w:p>
    <w:p w14:paraId="2553F732" w14:textId="77777777" w:rsidR="00720401" w:rsidRDefault="00720401" w:rsidP="00720401">
      <w:pPr>
        <w:pStyle w:val="Ttulo3"/>
        <w:spacing w:before="0" w:line="360" w:lineRule="auto"/>
        <w:rPr>
          <w:rFonts w:cs="Arial"/>
          <w:color w:val="000000"/>
        </w:rPr>
      </w:pPr>
      <w:bookmarkStart w:id="26" w:name="_Toc148350408_Copia_1"/>
      <w:bookmarkStart w:id="27" w:name="_Toc138712738_Copia_1"/>
      <w:r>
        <w:rPr>
          <w:rFonts w:cs="Arial"/>
          <w:color w:val="000000"/>
        </w:rPr>
        <w:t>2.3 Características edáficas</w:t>
      </w:r>
      <w:bookmarkEnd w:id="26"/>
      <w:bookmarkEnd w:id="27"/>
    </w:p>
    <w:p w14:paraId="213F0452" w14:textId="77777777" w:rsidR="00720401" w:rsidRDefault="00720401" w:rsidP="00720401">
      <w:pPr>
        <w:pStyle w:val="Standard"/>
        <w:spacing w:line="360" w:lineRule="auto"/>
        <w:jc w:val="both"/>
        <w:rPr>
          <w:rFonts w:ascii="Arial" w:hAnsi="Arial"/>
        </w:rPr>
      </w:pPr>
      <w:r>
        <w:rPr>
          <w:rFonts w:ascii="Arial" w:hAnsi="Arial"/>
          <w:color w:val="000000"/>
        </w:rPr>
        <w:t xml:space="preserve">El suelo del área donde se desarrollaron los experimentos se clasificó como Ferralítico Rojo Lixiviado </w:t>
      </w:r>
      <w:proofErr w:type="spellStart"/>
      <w:r>
        <w:rPr>
          <w:rFonts w:ascii="Arial" w:hAnsi="Arial"/>
          <w:color w:val="000000"/>
        </w:rPr>
        <w:t>agrogénico</w:t>
      </w:r>
      <w:proofErr w:type="spellEnd"/>
      <w:r>
        <w:rPr>
          <w:rFonts w:ascii="Arial" w:hAnsi="Arial"/>
          <w:color w:val="000000"/>
        </w:rPr>
        <w:t xml:space="preserve">, según la Clasificación de los Suelos de Cuba </w:t>
      </w:r>
      <w:r>
        <w:rPr>
          <w:rFonts w:ascii="Arial" w:hAnsi="Arial"/>
        </w:rPr>
        <w:t xml:space="preserve">(A. Hernández </w:t>
      </w:r>
      <w:r>
        <w:rPr>
          <w:rFonts w:ascii="Arial" w:hAnsi="Arial"/>
          <w:i/>
        </w:rPr>
        <w:t>et al</w:t>
      </w:r>
      <w:r>
        <w:rPr>
          <w:rFonts w:ascii="Arial" w:hAnsi="Arial"/>
        </w:rPr>
        <w:t>., 2015)</w:t>
      </w:r>
      <w:r>
        <w:rPr>
          <w:rFonts w:ascii="Arial" w:hAnsi="Arial"/>
          <w:color w:val="000000"/>
        </w:rPr>
        <w:t>.</w:t>
      </w:r>
    </w:p>
    <w:p w14:paraId="09957863" w14:textId="77777777" w:rsidR="00720401" w:rsidRDefault="00720401" w:rsidP="00720401">
      <w:pPr>
        <w:pStyle w:val="Standard"/>
        <w:spacing w:line="360" w:lineRule="auto"/>
        <w:jc w:val="both"/>
        <w:rPr>
          <w:rFonts w:ascii="Arial" w:hAnsi="Arial"/>
        </w:rPr>
      </w:pPr>
      <w:r>
        <w:rPr>
          <w:rFonts w:ascii="Arial" w:hAnsi="Arial"/>
        </w:rPr>
        <w:t xml:space="preserve">Se realizó la descripción del perfil del suelo. A las muestras tomadas se le realizaron las determinaciones de propiedades físicas y químicas informadas por Cid </w:t>
      </w:r>
      <w:r>
        <w:rPr>
          <w:rFonts w:ascii="Arial" w:hAnsi="Arial"/>
          <w:i/>
        </w:rPr>
        <w:t>et al</w:t>
      </w:r>
      <w:r>
        <w:rPr>
          <w:rFonts w:ascii="Arial" w:hAnsi="Arial"/>
        </w:rPr>
        <w:t xml:space="preserve">. (2011). Las mismas fueron realizadas según el procedimiento descrito por </w:t>
      </w:r>
      <w:proofErr w:type="spellStart"/>
      <w:r>
        <w:rPr>
          <w:rFonts w:ascii="Arial" w:hAnsi="Arial"/>
        </w:rPr>
        <w:t>Paneque</w:t>
      </w:r>
      <w:proofErr w:type="spellEnd"/>
      <w:r>
        <w:rPr>
          <w:rFonts w:ascii="Arial" w:hAnsi="Arial"/>
        </w:rPr>
        <w:t xml:space="preserve"> (2010) en el Manual de técnicas analíticas para análisis de suelo, foliar, abonos orgánicos y fertilizantes químicos.</w:t>
      </w:r>
    </w:p>
    <w:p w14:paraId="46382317"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pH por potenciometría, relación </w:t>
      </w:r>
      <w:proofErr w:type="spellStart"/>
      <w:proofErr w:type="gramStart"/>
      <w:r>
        <w:rPr>
          <w:rFonts w:ascii="Arial" w:hAnsi="Arial"/>
        </w:rPr>
        <w:t>suelo:agua</w:t>
      </w:r>
      <w:proofErr w:type="spellEnd"/>
      <w:proofErr w:type="gramEnd"/>
      <w:r>
        <w:rPr>
          <w:rFonts w:ascii="Arial" w:hAnsi="Arial"/>
        </w:rPr>
        <w:t xml:space="preserve"> 1:2,5</w:t>
      </w:r>
    </w:p>
    <w:p w14:paraId="72A6FAE0"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Materia orgánica (MO) por el método de </w:t>
      </w:r>
      <w:proofErr w:type="spellStart"/>
      <w:r>
        <w:rPr>
          <w:rFonts w:ascii="Arial" w:hAnsi="Arial"/>
        </w:rPr>
        <w:t>Walkley</w:t>
      </w:r>
      <w:proofErr w:type="spellEnd"/>
      <w:r>
        <w:rPr>
          <w:rFonts w:ascii="Arial" w:hAnsi="Arial"/>
        </w:rPr>
        <w:t xml:space="preserve"> y Black</w:t>
      </w:r>
    </w:p>
    <w:p w14:paraId="0AF35532"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Cationes intercambiables, por </w:t>
      </w:r>
      <w:proofErr w:type="spellStart"/>
      <w:r>
        <w:rPr>
          <w:rFonts w:ascii="Arial" w:hAnsi="Arial"/>
        </w:rPr>
        <w:t>complejometría</w:t>
      </w:r>
      <w:proofErr w:type="spellEnd"/>
      <w:r>
        <w:rPr>
          <w:rFonts w:ascii="Arial" w:hAnsi="Arial"/>
        </w:rPr>
        <w:t xml:space="preserve"> (Ca</w:t>
      </w:r>
      <w:r>
        <w:rPr>
          <w:rFonts w:ascii="Arial" w:hAnsi="Arial"/>
          <w:vertAlign w:val="superscript"/>
        </w:rPr>
        <w:t>2+</w:t>
      </w:r>
      <w:r>
        <w:rPr>
          <w:rFonts w:ascii="Arial" w:hAnsi="Arial"/>
        </w:rPr>
        <w:t xml:space="preserve"> y Mg</w:t>
      </w:r>
      <w:r>
        <w:rPr>
          <w:rFonts w:ascii="Arial" w:hAnsi="Arial"/>
          <w:vertAlign w:val="superscript"/>
        </w:rPr>
        <w:t>2+</w:t>
      </w:r>
      <w:r>
        <w:rPr>
          <w:rFonts w:ascii="Arial" w:hAnsi="Arial"/>
        </w:rPr>
        <w:t>) y fotometría de llama (</w:t>
      </w:r>
      <w:proofErr w:type="spellStart"/>
      <w:r>
        <w:rPr>
          <w:rFonts w:ascii="Arial" w:hAnsi="Arial"/>
        </w:rPr>
        <w:t>Na</w:t>
      </w:r>
      <w:proofErr w:type="spellEnd"/>
      <w:r>
        <w:rPr>
          <w:rFonts w:ascii="Arial" w:hAnsi="Arial"/>
          <w:vertAlign w:val="superscript"/>
        </w:rPr>
        <w:t>+</w:t>
      </w:r>
      <w:r>
        <w:rPr>
          <w:rFonts w:ascii="Arial" w:hAnsi="Arial"/>
        </w:rPr>
        <w:t xml:space="preserve"> y K</w:t>
      </w:r>
      <w:r>
        <w:rPr>
          <w:rFonts w:ascii="Arial" w:hAnsi="Arial"/>
          <w:vertAlign w:val="superscript"/>
        </w:rPr>
        <w:t>+</w:t>
      </w:r>
      <w:r>
        <w:rPr>
          <w:rFonts w:ascii="Arial" w:hAnsi="Arial"/>
        </w:rPr>
        <w:t>)</w:t>
      </w:r>
    </w:p>
    <w:p w14:paraId="34180F58"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Fósforo asimilable (P) según el método de </w:t>
      </w:r>
      <w:proofErr w:type="spellStart"/>
      <w:r>
        <w:rPr>
          <w:rFonts w:ascii="Arial" w:hAnsi="Arial"/>
        </w:rPr>
        <w:t>Oniani</w:t>
      </w:r>
      <w:proofErr w:type="spellEnd"/>
    </w:p>
    <w:p w14:paraId="1A1174F1"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Contenido de carbono, se dividió el % de materia orgánica entre 1,724. Se empleó este factor de Van </w:t>
      </w:r>
      <w:proofErr w:type="spellStart"/>
      <w:r>
        <w:rPr>
          <w:rFonts w:ascii="Arial" w:hAnsi="Arial"/>
        </w:rPr>
        <w:t>Benmelen</w:t>
      </w:r>
      <w:proofErr w:type="spellEnd"/>
      <w:r>
        <w:rPr>
          <w:rFonts w:ascii="Arial" w:hAnsi="Arial"/>
        </w:rPr>
        <w:t xml:space="preserve"> basado en la suposición de que la materia orgánica del suelo contiene un 58 % de Carbono (J. M. Martínez </w:t>
      </w:r>
      <w:r>
        <w:rPr>
          <w:rFonts w:ascii="Arial" w:hAnsi="Arial"/>
          <w:i/>
        </w:rPr>
        <w:t>et al</w:t>
      </w:r>
      <w:r>
        <w:rPr>
          <w:rFonts w:ascii="Arial" w:hAnsi="Arial"/>
        </w:rPr>
        <w:t>., 2017)</w:t>
      </w:r>
    </w:p>
    <w:p w14:paraId="2AC01074" w14:textId="77777777" w:rsidR="00720401" w:rsidRDefault="00720401" w:rsidP="00720401">
      <w:pPr>
        <w:pStyle w:val="Prrafodelista"/>
        <w:numPr>
          <w:ilvl w:val="0"/>
          <w:numId w:val="4"/>
        </w:numPr>
        <w:suppressAutoHyphens/>
        <w:autoSpaceDN w:val="0"/>
        <w:spacing w:after="0" w:line="360" w:lineRule="auto"/>
        <w:ind w:left="0" w:firstLine="0"/>
        <w:jc w:val="both"/>
        <w:textAlignment w:val="baseline"/>
        <w:rPr>
          <w:rFonts w:ascii="Arial" w:hAnsi="Arial"/>
        </w:rPr>
      </w:pPr>
      <w:r>
        <w:rPr>
          <w:rFonts w:ascii="Arial" w:hAnsi="Arial"/>
        </w:rPr>
        <w:t xml:space="preserve">Nitrógeno total, por el método de cálculo a partir del % de materia orgánica. Bajo la consideración de que se mineraliza el 5 % de nitrógeno del total de materia orgánica (Cruz-Sánchez </w:t>
      </w:r>
      <w:r>
        <w:rPr>
          <w:rFonts w:ascii="Arial" w:hAnsi="Arial"/>
          <w:i/>
        </w:rPr>
        <w:t>et al.</w:t>
      </w:r>
      <w:r>
        <w:rPr>
          <w:rFonts w:ascii="Arial" w:hAnsi="Arial"/>
        </w:rPr>
        <w:t>, 2013).</w:t>
      </w:r>
    </w:p>
    <w:p w14:paraId="2543EFE2" w14:textId="77777777" w:rsidR="00720401" w:rsidRDefault="00720401" w:rsidP="00720401">
      <w:pPr>
        <w:pStyle w:val="Standard"/>
        <w:spacing w:line="360" w:lineRule="auto"/>
        <w:jc w:val="both"/>
        <w:rPr>
          <w:rFonts w:ascii="Arial" w:hAnsi="Arial"/>
        </w:rPr>
      </w:pPr>
      <w:r>
        <w:rPr>
          <w:rFonts w:ascii="Arial" w:hAnsi="Arial"/>
          <w:color w:val="000000"/>
        </w:rPr>
        <w:t>Algunas propiedades que caracterizan su fertilidad se presentan en la Tabla 3 y Tabla 4. La descripción del perfil se muestra en el Anexo 2.</w:t>
      </w:r>
    </w:p>
    <w:p w14:paraId="3A567E5A" w14:textId="77777777" w:rsidR="00720401" w:rsidRDefault="00720401" w:rsidP="00720401">
      <w:pPr>
        <w:pStyle w:val="Standard"/>
        <w:spacing w:line="360" w:lineRule="auto"/>
        <w:jc w:val="both"/>
        <w:rPr>
          <w:rFonts w:ascii="Arial" w:hAnsi="Arial"/>
        </w:rPr>
      </w:pPr>
      <w:r>
        <w:rPr>
          <w:rFonts w:ascii="Arial" w:hAnsi="Arial"/>
          <w:color w:val="000000"/>
        </w:rPr>
        <w:t>Tabla 3. Algunas propiedades físico-químicas del suelo donde se desarrollaron los experimentos</w:t>
      </w:r>
      <w:r>
        <w:rPr>
          <w:rFonts w:ascii="Arial" w:hAnsi="Arial"/>
        </w:rPr>
        <w:t xml:space="preserve"> para la calibración del cultivar P-7928</w:t>
      </w:r>
    </w:p>
    <w:tbl>
      <w:tblPr>
        <w:tblW w:w="7288" w:type="dxa"/>
        <w:jc w:val="center"/>
        <w:tblLayout w:type="fixed"/>
        <w:tblCellMar>
          <w:left w:w="10" w:type="dxa"/>
          <w:right w:w="10" w:type="dxa"/>
        </w:tblCellMar>
        <w:tblLook w:val="0000" w:firstRow="0" w:lastRow="0" w:firstColumn="0" w:lastColumn="0" w:noHBand="0" w:noVBand="0"/>
      </w:tblPr>
      <w:tblGrid>
        <w:gridCol w:w="989"/>
        <w:gridCol w:w="887"/>
        <w:gridCol w:w="1451"/>
        <w:gridCol w:w="955"/>
        <w:gridCol w:w="751"/>
        <w:gridCol w:w="707"/>
        <w:gridCol w:w="651"/>
        <w:gridCol w:w="897"/>
      </w:tblGrid>
      <w:tr w:rsidR="00720401" w14:paraId="1EC67541" w14:textId="77777777" w:rsidTr="003A6D1F">
        <w:trPr>
          <w:jc w:val="center"/>
        </w:trPr>
        <w:tc>
          <w:tcPr>
            <w:tcW w:w="988" w:type="dxa"/>
            <w:vMerge w:val="restart"/>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233A26F4"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proofErr w:type="spellStart"/>
            <w:r>
              <w:rPr>
                <w:rFonts w:ascii="Arial" w:eastAsia="Calibri" w:hAnsi="Arial"/>
                <w:b/>
                <w:bCs/>
                <w:color w:val="000000"/>
                <w:kern w:val="0"/>
                <w:lang w:eastAsia="en-US" w:bidi="ar-SA"/>
              </w:rPr>
              <w:t>Prof</w:t>
            </w:r>
            <w:proofErr w:type="spellEnd"/>
            <w:r>
              <w:rPr>
                <w:rFonts w:ascii="Arial" w:eastAsia="Calibri" w:hAnsi="Arial"/>
                <w:b/>
                <w:bCs/>
                <w:color w:val="000000"/>
                <w:kern w:val="0"/>
                <w:lang w:eastAsia="en-US" w:bidi="ar-SA"/>
              </w:rPr>
              <w:t xml:space="preserve"> (cm)</w:t>
            </w:r>
          </w:p>
        </w:tc>
        <w:tc>
          <w:tcPr>
            <w:tcW w:w="887" w:type="dxa"/>
            <w:vMerge w:val="restart"/>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08F51378"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pH</w:t>
            </w:r>
          </w:p>
          <w:p w14:paraId="3CF8983E"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H</w:t>
            </w:r>
            <w:r>
              <w:rPr>
                <w:rFonts w:ascii="Arial" w:eastAsia="Calibri" w:hAnsi="Arial"/>
                <w:b/>
                <w:bCs/>
                <w:color w:val="000000"/>
                <w:kern w:val="0"/>
                <w:vertAlign w:val="subscript"/>
                <w:lang w:eastAsia="en-US" w:bidi="ar-SA"/>
              </w:rPr>
              <w:t>2</w:t>
            </w:r>
            <w:r>
              <w:rPr>
                <w:rFonts w:ascii="Arial" w:eastAsia="Calibri" w:hAnsi="Arial"/>
                <w:b/>
                <w:bCs/>
                <w:color w:val="000000"/>
                <w:kern w:val="0"/>
                <w:lang w:eastAsia="en-US" w:bidi="ar-SA"/>
              </w:rPr>
              <w:t>O</w:t>
            </w:r>
          </w:p>
        </w:tc>
        <w:tc>
          <w:tcPr>
            <w:tcW w:w="1451" w:type="dxa"/>
            <w:vMerge w:val="restart"/>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27F55E76"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P</w:t>
            </w:r>
          </w:p>
          <w:p w14:paraId="0B35A9D7"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proofErr w:type="spellStart"/>
            <w:r>
              <w:rPr>
                <w:rFonts w:ascii="Arial" w:eastAsia="Calibri" w:hAnsi="Arial"/>
                <w:b/>
                <w:bCs/>
                <w:color w:val="000000"/>
                <w:kern w:val="0"/>
                <w:lang w:val="pt-BR" w:eastAsia="en-US" w:bidi="ar-SA"/>
              </w:rPr>
              <w:t>asimil</w:t>
            </w:r>
            <w:proofErr w:type="spellEnd"/>
          </w:p>
          <w:p w14:paraId="24C14FD5"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(mg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955"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27207719"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Ca</w:t>
            </w:r>
            <w:r>
              <w:rPr>
                <w:rFonts w:ascii="Arial" w:eastAsia="Calibri" w:hAnsi="Arial"/>
                <w:b/>
                <w:bCs/>
                <w:color w:val="000000"/>
                <w:kern w:val="0"/>
                <w:vertAlign w:val="superscript"/>
                <w:lang w:val="pt-BR" w:eastAsia="en-US" w:bidi="ar-SA"/>
              </w:rPr>
              <w:t>2+</w:t>
            </w:r>
            <w:r>
              <w:rPr>
                <w:rFonts w:ascii="Arial" w:eastAsia="Calibri" w:hAnsi="Arial"/>
                <w:b/>
                <w:bCs/>
                <w:color w:val="000000"/>
                <w:kern w:val="0"/>
                <w:lang w:val="pt-BR" w:eastAsia="en-US" w:bidi="ar-SA"/>
              </w:rPr>
              <w:t xml:space="preserve">                                                                                                                          </w:t>
            </w:r>
          </w:p>
        </w:tc>
        <w:tc>
          <w:tcPr>
            <w:tcW w:w="751"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2385AFF5"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Mg</w:t>
            </w:r>
            <w:r>
              <w:rPr>
                <w:rFonts w:ascii="Arial" w:eastAsia="Calibri" w:hAnsi="Arial"/>
                <w:b/>
                <w:bCs/>
                <w:color w:val="000000"/>
                <w:kern w:val="0"/>
                <w:vertAlign w:val="superscript"/>
                <w:lang w:val="pt-BR" w:eastAsia="en-US" w:bidi="ar-SA"/>
              </w:rPr>
              <w:t>2+</w:t>
            </w:r>
            <w:r>
              <w:rPr>
                <w:rFonts w:ascii="Arial" w:eastAsia="Calibri" w:hAnsi="Arial"/>
                <w:b/>
                <w:bCs/>
                <w:color w:val="000000"/>
                <w:kern w:val="0"/>
                <w:lang w:val="pt-BR" w:eastAsia="en-US" w:bidi="ar-SA"/>
              </w:rPr>
              <w:t xml:space="preserve">                           </w:t>
            </w:r>
          </w:p>
        </w:tc>
        <w:tc>
          <w:tcPr>
            <w:tcW w:w="707"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5ABC147B"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Na</w:t>
            </w:r>
            <w:r>
              <w:rPr>
                <w:rFonts w:ascii="Arial" w:eastAsia="Calibri" w:hAnsi="Arial"/>
                <w:b/>
                <w:bCs/>
                <w:color w:val="000000"/>
                <w:kern w:val="0"/>
                <w:vertAlign w:val="superscript"/>
                <w:lang w:val="pt-BR" w:eastAsia="en-US" w:bidi="ar-SA"/>
              </w:rPr>
              <w:t>+</w:t>
            </w:r>
          </w:p>
        </w:tc>
        <w:tc>
          <w:tcPr>
            <w:tcW w:w="651"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7C6AA1A6"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K</w:t>
            </w:r>
            <w:r>
              <w:rPr>
                <w:rFonts w:ascii="Arial" w:eastAsia="Calibri" w:hAnsi="Arial"/>
                <w:b/>
                <w:bCs/>
                <w:color w:val="000000"/>
                <w:kern w:val="0"/>
                <w:vertAlign w:val="superscript"/>
                <w:lang w:val="pt-BR" w:eastAsia="en-US" w:bidi="ar-SA"/>
              </w:rPr>
              <w:t>+</w:t>
            </w:r>
          </w:p>
        </w:tc>
        <w:tc>
          <w:tcPr>
            <w:tcW w:w="897"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21C85DE2"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Suma</w:t>
            </w:r>
          </w:p>
        </w:tc>
      </w:tr>
      <w:tr w:rsidR="00720401" w14:paraId="584F8AB6" w14:textId="77777777" w:rsidTr="003A6D1F">
        <w:trPr>
          <w:jc w:val="center"/>
        </w:trPr>
        <w:tc>
          <w:tcPr>
            <w:tcW w:w="988" w:type="dxa"/>
            <w:vMerge/>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3E8D0366" w14:textId="77777777" w:rsidR="00720401" w:rsidRDefault="00720401" w:rsidP="003A6D1F">
            <w:pPr>
              <w:rPr>
                <w:rFonts w:hint="eastAsia"/>
              </w:rPr>
            </w:pPr>
          </w:p>
        </w:tc>
        <w:tc>
          <w:tcPr>
            <w:tcW w:w="887" w:type="dxa"/>
            <w:vMerge/>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42C83027" w14:textId="77777777" w:rsidR="00720401" w:rsidRDefault="00720401" w:rsidP="003A6D1F">
            <w:pPr>
              <w:rPr>
                <w:rFonts w:hint="eastAsia"/>
              </w:rPr>
            </w:pPr>
          </w:p>
        </w:tc>
        <w:tc>
          <w:tcPr>
            <w:tcW w:w="1451" w:type="dxa"/>
            <w:vMerge/>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14EC28AE" w14:textId="77777777" w:rsidR="00720401" w:rsidRDefault="00720401" w:rsidP="003A6D1F">
            <w:pPr>
              <w:rPr>
                <w:rFonts w:hint="eastAsia"/>
              </w:rPr>
            </w:pPr>
          </w:p>
        </w:tc>
        <w:tc>
          <w:tcPr>
            <w:tcW w:w="3961" w:type="dxa"/>
            <w:gridSpan w:val="5"/>
            <w:tcBorders>
              <w:top w:val="single" w:sz="4" w:space="0" w:color="FFFFFF"/>
              <w:left w:val="single" w:sz="4" w:space="0" w:color="FFFFFF"/>
              <w:bottom w:val="single" w:sz="4" w:space="0" w:color="FFFFFF"/>
              <w:right w:val="single" w:sz="4" w:space="0" w:color="FFFFFF"/>
            </w:tcBorders>
            <w:shd w:val="clear" w:color="auto" w:fill="FFC000"/>
            <w:tcMar>
              <w:top w:w="0" w:type="dxa"/>
              <w:left w:w="108" w:type="dxa"/>
              <w:bottom w:w="0" w:type="dxa"/>
              <w:right w:w="108" w:type="dxa"/>
            </w:tcMar>
          </w:tcPr>
          <w:p w14:paraId="42E14CE3" w14:textId="77777777" w:rsidR="00720401" w:rsidRDefault="00720401" w:rsidP="003A6D1F">
            <w:pPr>
              <w:pStyle w:val="Standard"/>
              <w:spacing w:line="360" w:lineRule="auto"/>
              <w:jc w:val="center"/>
              <w:rPr>
                <w:rFonts w:ascii="Arial" w:eastAsia="Calibri" w:hAnsi="Arial" w:cs="F"/>
                <w:kern w:val="0"/>
                <w:lang w:eastAsia="en-US" w:bidi="ar-SA"/>
              </w:rPr>
            </w:pPr>
            <w:proofErr w:type="spellStart"/>
            <w:r>
              <w:rPr>
                <w:rFonts w:ascii="Arial" w:eastAsia="Calibri" w:hAnsi="Arial"/>
                <w:b/>
                <w:color w:val="000000"/>
                <w:kern w:val="0"/>
                <w:lang w:val="pt-BR" w:eastAsia="en-US" w:bidi="ar-SA"/>
              </w:rPr>
              <w:t>cmol</w:t>
            </w:r>
            <w:proofErr w:type="spellEnd"/>
            <w:r>
              <w:rPr>
                <w:rFonts w:ascii="Arial" w:eastAsia="Calibri" w:hAnsi="Arial"/>
                <w:b/>
                <w:color w:val="000000"/>
                <w:kern w:val="0"/>
                <w:lang w:val="pt-BR" w:eastAsia="en-US" w:bidi="ar-SA"/>
              </w:rPr>
              <w:t xml:space="preserve"> kg</w:t>
            </w:r>
            <w:r>
              <w:rPr>
                <w:rFonts w:ascii="Arial" w:eastAsia="Calibri" w:hAnsi="Arial"/>
                <w:b/>
                <w:color w:val="000000"/>
                <w:kern w:val="0"/>
                <w:vertAlign w:val="superscript"/>
                <w:lang w:val="pt-BR" w:eastAsia="en-US" w:bidi="ar-SA"/>
              </w:rPr>
              <w:t>-1</w:t>
            </w:r>
          </w:p>
        </w:tc>
      </w:tr>
      <w:tr w:rsidR="00720401" w14:paraId="53746327" w14:textId="77777777" w:rsidTr="003A6D1F">
        <w:trPr>
          <w:jc w:val="center"/>
        </w:trPr>
        <w:tc>
          <w:tcPr>
            <w:tcW w:w="988"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7E8957AF"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0-19</w:t>
            </w:r>
          </w:p>
        </w:tc>
        <w:tc>
          <w:tcPr>
            <w:tcW w:w="88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75F5C02B"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7,34</w:t>
            </w:r>
          </w:p>
        </w:tc>
        <w:tc>
          <w:tcPr>
            <w:tcW w:w="14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FDA2B87"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24,9</w:t>
            </w:r>
          </w:p>
        </w:tc>
        <w:tc>
          <w:tcPr>
            <w:tcW w:w="95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FC4C84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16,3</w:t>
            </w:r>
          </w:p>
        </w:tc>
        <w:tc>
          <w:tcPr>
            <w:tcW w:w="7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B4393AC"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2,1</w:t>
            </w:r>
          </w:p>
        </w:tc>
        <w:tc>
          <w:tcPr>
            <w:tcW w:w="70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4A850573"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C2EF00E"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0,9</w:t>
            </w:r>
          </w:p>
        </w:tc>
        <w:tc>
          <w:tcPr>
            <w:tcW w:w="89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FBC3CC6"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19,5</w:t>
            </w:r>
          </w:p>
        </w:tc>
      </w:tr>
      <w:tr w:rsidR="00720401" w14:paraId="38805F88" w14:textId="77777777" w:rsidTr="003A6D1F">
        <w:trPr>
          <w:jc w:val="center"/>
        </w:trPr>
        <w:tc>
          <w:tcPr>
            <w:tcW w:w="988"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330CA63C"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19-44</w:t>
            </w:r>
          </w:p>
        </w:tc>
        <w:tc>
          <w:tcPr>
            <w:tcW w:w="88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0752283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6,85</w:t>
            </w:r>
          </w:p>
        </w:tc>
        <w:tc>
          <w:tcPr>
            <w:tcW w:w="14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75DC6B7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18,8</w:t>
            </w:r>
          </w:p>
        </w:tc>
        <w:tc>
          <w:tcPr>
            <w:tcW w:w="95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2414812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13,4</w:t>
            </w:r>
          </w:p>
        </w:tc>
        <w:tc>
          <w:tcPr>
            <w:tcW w:w="7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41AAF6C1"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2,8</w:t>
            </w:r>
          </w:p>
        </w:tc>
        <w:tc>
          <w:tcPr>
            <w:tcW w:w="70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56C9183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7BB1CD9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0,5</w:t>
            </w:r>
          </w:p>
        </w:tc>
        <w:tc>
          <w:tcPr>
            <w:tcW w:w="89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6F29FA9E"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16,9</w:t>
            </w:r>
          </w:p>
        </w:tc>
      </w:tr>
      <w:tr w:rsidR="00720401" w14:paraId="2EA11D32" w14:textId="77777777" w:rsidTr="003A6D1F">
        <w:trPr>
          <w:jc w:val="center"/>
        </w:trPr>
        <w:tc>
          <w:tcPr>
            <w:tcW w:w="988"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2FDDC00B"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44-60</w:t>
            </w:r>
          </w:p>
        </w:tc>
        <w:tc>
          <w:tcPr>
            <w:tcW w:w="88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91D457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6,72</w:t>
            </w:r>
          </w:p>
        </w:tc>
        <w:tc>
          <w:tcPr>
            <w:tcW w:w="14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22FE5CB7"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14,4</w:t>
            </w:r>
          </w:p>
        </w:tc>
        <w:tc>
          <w:tcPr>
            <w:tcW w:w="95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337AFB3"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9,5</w:t>
            </w:r>
          </w:p>
        </w:tc>
        <w:tc>
          <w:tcPr>
            <w:tcW w:w="7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A5C29FC"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1,5</w:t>
            </w:r>
          </w:p>
        </w:tc>
        <w:tc>
          <w:tcPr>
            <w:tcW w:w="70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CC39F16"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7BAD01C"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0,3</w:t>
            </w:r>
          </w:p>
        </w:tc>
        <w:tc>
          <w:tcPr>
            <w:tcW w:w="897"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74CE6FBA"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11,5</w:t>
            </w:r>
          </w:p>
        </w:tc>
      </w:tr>
      <w:tr w:rsidR="00720401" w14:paraId="393C0C8B" w14:textId="77777777" w:rsidTr="003A6D1F">
        <w:trPr>
          <w:jc w:val="center"/>
        </w:trPr>
        <w:tc>
          <w:tcPr>
            <w:tcW w:w="988"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75E9CCEB"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60-100</w:t>
            </w:r>
          </w:p>
        </w:tc>
        <w:tc>
          <w:tcPr>
            <w:tcW w:w="88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256757B2"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5,77</w:t>
            </w:r>
          </w:p>
        </w:tc>
        <w:tc>
          <w:tcPr>
            <w:tcW w:w="14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089C191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13,5</w:t>
            </w:r>
          </w:p>
        </w:tc>
        <w:tc>
          <w:tcPr>
            <w:tcW w:w="95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677C320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8,3</w:t>
            </w:r>
          </w:p>
        </w:tc>
        <w:tc>
          <w:tcPr>
            <w:tcW w:w="7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2297C468"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w:t>
            </w:r>
          </w:p>
        </w:tc>
        <w:tc>
          <w:tcPr>
            <w:tcW w:w="70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3356946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1"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1B8856B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897"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58726FE8"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9,7</w:t>
            </w:r>
          </w:p>
        </w:tc>
      </w:tr>
    </w:tbl>
    <w:p w14:paraId="4FBA149A" w14:textId="77777777" w:rsidR="00720401" w:rsidRDefault="00720401" w:rsidP="00720401">
      <w:pPr>
        <w:pStyle w:val="Standard"/>
        <w:spacing w:line="360" w:lineRule="auto"/>
        <w:rPr>
          <w:rFonts w:ascii="Arial" w:hAnsi="Arial"/>
        </w:rPr>
      </w:pPr>
    </w:p>
    <w:p w14:paraId="30B52533" w14:textId="77777777" w:rsidR="00720401" w:rsidRDefault="00720401" w:rsidP="00720401">
      <w:pPr>
        <w:pStyle w:val="Standard"/>
        <w:spacing w:line="360" w:lineRule="auto"/>
        <w:jc w:val="both"/>
        <w:rPr>
          <w:rFonts w:ascii="Arial" w:hAnsi="Arial"/>
        </w:rPr>
      </w:pPr>
      <w:r>
        <w:rPr>
          <w:rFonts w:ascii="Arial" w:hAnsi="Arial"/>
          <w:color w:val="000000"/>
        </w:rPr>
        <w:t>Tabla 4. Contenido de materia orgánica, Carbono, Nitrógeno total y densidad del suelo donde se desarrollaron los experimentos para la calibración del cultivar P-7928</w:t>
      </w:r>
    </w:p>
    <w:tbl>
      <w:tblPr>
        <w:tblW w:w="5760" w:type="dxa"/>
        <w:jc w:val="center"/>
        <w:tblLayout w:type="fixed"/>
        <w:tblCellMar>
          <w:left w:w="10" w:type="dxa"/>
          <w:right w:w="10" w:type="dxa"/>
        </w:tblCellMar>
        <w:tblLook w:val="0000" w:firstRow="0" w:lastRow="0" w:firstColumn="0" w:lastColumn="0" w:noHBand="0" w:noVBand="0"/>
      </w:tblPr>
      <w:tblGrid>
        <w:gridCol w:w="987"/>
        <w:gridCol w:w="1134"/>
        <w:gridCol w:w="1135"/>
        <w:gridCol w:w="1145"/>
        <w:gridCol w:w="1359"/>
      </w:tblGrid>
      <w:tr w:rsidR="00720401" w14:paraId="59DC183F" w14:textId="77777777" w:rsidTr="003A6D1F">
        <w:trPr>
          <w:trHeight w:val="711"/>
          <w:jc w:val="center"/>
        </w:trPr>
        <w:tc>
          <w:tcPr>
            <w:tcW w:w="987" w:type="dxa"/>
            <w:tcBorders>
              <w:top w:val="single" w:sz="4" w:space="0" w:color="FFFFFF"/>
              <w:left w:val="single" w:sz="4" w:space="0" w:color="FFFFFF"/>
              <w:bottom w:val="single" w:sz="4" w:space="0" w:color="FFFFFF"/>
              <w:right w:val="single" w:sz="4" w:space="0" w:color="FFFFFF"/>
            </w:tcBorders>
            <w:shd w:val="clear" w:color="auto" w:fill="FFC000"/>
            <w:tcMar>
              <w:top w:w="0" w:type="dxa"/>
              <w:left w:w="108" w:type="dxa"/>
              <w:bottom w:w="0" w:type="dxa"/>
              <w:right w:w="108" w:type="dxa"/>
            </w:tcMar>
          </w:tcPr>
          <w:p w14:paraId="3060D36B"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proofErr w:type="spellStart"/>
            <w:r>
              <w:rPr>
                <w:rFonts w:ascii="Arial" w:eastAsia="Calibri" w:hAnsi="Arial"/>
                <w:b/>
                <w:bCs/>
                <w:color w:val="000000"/>
                <w:kern w:val="0"/>
                <w:lang w:eastAsia="en-US" w:bidi="ar-SA"/>
              </w:rPr>
              <w:t>Prof</w:t>
            </w:r>
            <w:proofErr w:type="spellEnd"/>
            <w:r>
              <w:rPr>
                <w:rFonts w:ascii="Arial" w:eastAsia="Calibri" w:hAnsi="Arial"/>
                <w:b/>
                <w:bCs/>
                <w:color w:val="000000"/>
                <w:kern w:val="0"/>
                <w:lang w:eastAsia="en-US" w:bidi="ar-SA"/>
              </w:rPr>
              <w:t xml:space="preserve"> (cm)</w:t>
            </w:r>
          </w:p>
        </w:tc>
        <w:tc>
          <w:tcPr>
            <w:tcW w:w="1134"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0D9B8B10"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MO</w:t>
            </w:r>
          </w:p>
          <w:p w14:paraId="23329A77"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135"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675C7CCD"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C</w:t>
            </w:r>
          </w:p>
          <w:p w14:paraId="622CBFCE"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145"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69C71AEC"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N</w:t>
            </w:r>
          </w:p>
          <w:p w14:paraId="1660CED1"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(g kg</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1359"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1AEADDCD"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proofErr w:type="spellStart"/>
            <w:r>
              <w:rPr>
                <w:rFonts w:ascii="Arial" w:eastAsia="Calibri" w:hAnsi="Arial"/>
                <w:b/>
                <w:bCs/>
                <w:color w:val="000000"/>
                <w:kern w:val="0"/>
                <w:lang w:val="pt-BR" w:eastAsia="en-US" w:bidi="ar-SA"/>
              </w:rPr>
              <w:t>Dv</w:t>
            </w:r>
            <w:proofErr w:type="spellEnd"/>
          </w:p>
          <w:p w14:paraId="3F4BCBF4"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val="pt-BR" w:eastAsia="en-US" w:bidi="ar-SA"/>
              </w:rPr>
              <w:t>(kg dm</w:t>
            </w:r>
            <w:r>
              <w:rPr>
                <w:rFonts w:ascii="Arial" w:eastAsia="Calibri" w:hAnsi="Arial"/>
                <w:b/>
                <w:bCs/>
                <w:color w:val="000000"/>
                <w:kern w:val="0"/>
                <w:vertAlign w:val="superscript"/>
                <w:lang w:val="pt-BR" w:eastAsia="en-US" w:bidi="ar-SA"/>
              </w:rPr>
              <w:t>-3</w:t>
            </w:r>
            <w:r>
              <w:rPr>
                <w:rFonts w:ascii="Arial" w:eastAsia="Calibri" w:hAnsi="Arial"/>
                <w:b/>
                <w:bCs/>
                <w:color w:val="000000"/>
                <w:kern w:val="0"/>
                <w:lang w:val="pt-BR" w:eastAsia="en-US" w:bidi="ar-SA"/>
              </w:rPr>
              <w:t>)</w:t>
            </w:r>
          </w:p>
        </w:tc>
      </w:tr>
      <w:tr w:rsidR="00720401" w14:paraId="5395B1EF" w14:textId="77777777" w:rsidTr="003A6D1F">
        <w:trPr>
          <w:jc w:val="center"/>
        </w:trPr>
        <w:tc>
          <w:tcPr>
            <w:tcW w:w="987"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6B9B0319"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0-19</w:t>
            </w:r>
          </w:p>
        </w:tc>
        <w:tc>
          <w:tcPr>
            <w:tcW w:w="113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34D2CA9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36,7</w:t>
            </w:r>
          </w:p>
        </w:tc>
        <w:tc>
          <w:tcPr>
            <w:tcW w:w="113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15B31472"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21,3</w:t>
            </w:r>
          </w:p>
        </w:tc>
        <w:tc>
          <w:tcPr>
            <w:tcW w:w="114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12240A1F"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1,80</w:t>
            </w:r>
          </w:p>
        </w:tc>
        <w:tc>
          <w:tcPr>
            <w:tcW w:w="1359"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0BA4FD4A"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1,11</w:t>
            </w:r>
          </w:p>
        </w:tc>
      </w:tr>
      <w:tr w:rsidR="00720401" w14:paraId="536E094B" w14:textId="77777777" w:rsidTr="003A6D1F">
        <w:trPr>
          <w:jc w:val="center"/>
        </w:trPr>
        <w:tc>
          <w:tcPr>
            <w:tcW w:w="987"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30D8048D"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19-44</w:t>
            </w:r>
          </w:p>
        </w:tc>
        <w:tc>
          <w:tcPr>
            <w:tcW w:w="113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A33702F"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19,2</w:t>
            </w:r>
          </w:p>
        </w:tc>
        <w:tc>
          <w:tcPr>
            <w:tcW w:w="113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263A88B"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11,1</w:t>
            </w:r>
          </w:p>
        </w:tc>
        <w:tc>
          <w:tcPr>
            <w:tcW w:w="114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445C4CC"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39B99F5"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1,17</w:t>
            </w:r>
          </w:p>
        </w:tc>
      </w:tr>
      <w:tr w:rsidR="00720401" w14:paraId="59F38940" w14:textId="77777777" w:rsidTr="003A6D1F">
        <w:trPr>
          <w:jc w:val="center"/>
        </w:trPr>
        <w:tc>
          <w:tcPr>
            <w:tcW w:w="987"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3F67726A"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44-60</w:t>
            </w:r>
          </w:p>
        </w:tc>
        <w:tc>
          <w:tcPr>
            <w:tcW w:w="113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7E9D231F"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20,0</w:t>
            </w:r>
          </w:p>
        </w:tc>
        <w:tc>
          <w:tcPr>
            <w:tcW w:w="113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6D595B9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11,6</w:t>
            </w:r>
          </w:p>
        </w:tc>
        <w:tc>
          <w:tcPr>
            <w:tcW w:w="1145"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181A9488"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4EC0EA91"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166989D7" w14:textId="77777777" w:rsidTr="003A6D1F">
        <w:trPr>
          <w:jc w:val="center"/>
        </w:trPr>
        <w:tc>
          <w:tcPr>
            <w:tcW w:w="987"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6EE54E83"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60-100</w:t>
            </w:r>
          </w:p>
        </w:tc>
        <w:tc>
          <w:tcPr>
            <w:tcW w:w="113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E01F7D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11,2</w:t>
            </w:r>
          </w:p>
        </w:tc>
        <w:tc>
          <w:tcPr>
            <w:tcW w:w="113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5C8ED84A"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6,50</w:t>
            </w:r>
          </w:p>
        </w:tc>
        <w:tc>
          <w:tcPr>
            <w:tcW w:w="1145"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F0C643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0,60</w:t>
            </w:r>
          </w:p>
        </w:tc>
        <w:tc>
          <w:tcPr>
            <w:tcW w:w="1359"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496DDAA3"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bl>
    <w:p w14:paraId="69D9C2C9" w14:textId="77777777" w:rsidR="00720401" w:rsidRDefault="00720401" w:rsidP="00720401">
      <w:pPr>
        <w:pStyle w:val="Standard"/>
        <w:spacing w:line="360" w:lineRule="auto"/>
        <w:jc w:val="both"/>
        <w:rPr>
          <w:rFonts w:ascii="Arial" w:hAnsi="Arial"/>
        </w:rPr>
      </w:pPr>
    </w:p>
    <w:p w14:paraId="6212965F" w14:textId="77777777" w:rsidR="00720401" w:rsidRDefault="00720401" w:rsidP="00720401">
      <w:pPr>
        <w:pStyle w:val="Ttulo3"/>
        <w:spacing w:before="0" w:line="360" w:lineRule="auto"/>
      </w:pPr>
      <w:bookmarkStart w:id="28" w:name="_Toc148350409_Copia_1"/>
      <w:r>
        <w:rPr>
          <w:rFonts w:cs="Arial"/>
          <w:color w:val="000000"/>
        </w:rPr>
        <w:t>2.4 Material vegetal y densidad de siembra</w:t>
      </w:r>
      <w:bookmarkEnd w:id="28"/>
    </w:p>
    <w:p w14:paraId="7E1FB64A" w14:textId="77777777" w:rsidR="00720401" w:rsidRDefault="00720401" w:rsidP="00720401">
      <w:pPr>
        <w:pStyle w:val="Standard"/>
        <w:spacing w:line="360" w:lineRule="auto"/>
        <w:jc w:val="both"/>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14:paraId="21A137C9" w14:textId="77777777" w:rsidR="00720401" w:rsidRDefault="00720401" w:rsidP="00720401">
      <w:pPr>
        <w:pStyle w:val="Standard"/>
        <w:spacing w:line="360" w:lineRule="auto"/>
        <w:jc w:val="both"/>
        <w:rPr>
          <w:rFonts w:ascii="Arial" w:hAnsi="Arial"/>
        </w:rPr>
      </w:pPr>
      <w:r>
        <w:rPr>
          <w:rFonts w:ascii="Arial" w:hAnsi="Arial"/>
        </w:rPr>
        <w:t>La siembra se realizó en una parcela de diez surcos de 25 m de largo. Para los muestreos se seleccionaron 20 plantas de forma aleatoria.</w:t>
      </w:r>
    </w:p>
    <w:p w14:paraId="40E5DA15" w14:textId="77777777" w:rsidR="00720401" w:rsidRDefault="00720401" w:rsidP="00720401">
      <w:pPr>
        <w:pStyle w:val="Standard"/>
        <w:spacing w:line="360" w:lineRule="auto"/>
        <w:rPr>
          <w:rFonts w:ascii="Arial" w:hAnsi="Arial"/>
        </w:rPr>
      </w:pPr>
      <w:r>
        <w:rPr>
          <w:rFonts w:ascii="Arial" w:hAnsi="Arial"/>
          <w:color w:val="221F1F"/>
        </w:rPr>
        <w:t xml:space="preserve">Tabla 5. </w:t>
      </w:r>
      <w:r>
        <w:rPr>
          <w:rFonts w:ascii="Arial" w:hAnsi="Arial"/>
          <w:color w:val="000000"/>
        </w:rPr>
        <w:t>Principales características biológicas del cultivar P-7928</w:t>
      </w:r>
    </w:p>
    <w:tbl>
      <w:tblPr>
        <w:tblW w:w="6101" w:type="dxa"/>
        <w:jc w:val="center"/>
        <w:tblLayout w:type="fixed"/>
        <w:tblCellMar>
          <w:left w:w="10" w:type="dxa"/>
          <w:right w:w="10" w:type="dxa"/>
        </w:tblCellMar>
        <w:tblLook w:val="0000" w:firstRow="0" w:lastRow="0" w:firstColumn="0" w:lastColumn="0" w:noHBand="0" w:noVBand="0"/>
      </w:tblPr>
      <w:tblGrid>
        <w:gridCol w:w="4017"/>
        <w:gridCol w:w="2084"/>
      </w:tblGrid>
      <w:tr w:rsidR="00720401" w14:paraId="20F71926" w14:textId="77777777" w:rsidTr="003A6D1F">
        <w:trPr>
          <w:jc w:val="center"/>
        </w:trPr>
        <w:tc>
          <w:tcPr>
            <w:tcW w:w="4016" w:type="dxa"/>
            <w:tcBorders>
              <w:top w:val="single" w:sz="4" w:space="0" w:color="FFFFFF"/>
              <w:left w:val="single" w:sz="4" w:space="0" w:color="FFFFFF"/>
              <w:bottom w:val="single" w:sz="4" w:space="0" w:color="FFFFFF"/>
              <w:right w:val="single" w:sz="4" w:space="0" w:color="FFFFFF"/>
            </w:tcBorders>
            <w:shd w:val="clear" w:color="auto" w:fill="FFC000"/>
            <w:tcMar>
              <w:top w:w="0" w:type="dxa"/>
              <w:left w:w="108" w:type="dxa"/>
              <w:bottom w:w="0" w:type="dxa"/>
              <w:right w:w="108" w:type="dxa"/>
            </w:tcMar>
          </w:tcPr>
          <w:p w14:paraId="4CEC3D15"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Característica</w:t>
            </w:r>
          </w:p>
        </w:tc>
        <w:tc>
          <w:tcPr>
            <w:tcW w:w="2084" w:type="dxa"/>
            <w:tcBorders>
              <w:top w:val="single" w:sz="4" w:space="0" w:color="FFFFFF"/>
              <w:left w:val="single" w:sz="4" w:space="0" w:color="FFFFFF"/>
              <w:right w:val="single" w:sz="4" w:space="0" w:color="FFFFFF"/>
            </w:tcBorders>
            <w:shd w:val="clear" w:color="auto" w:fill="FFC000"/>
            <w:tcMar>
              <w:top w:w="0" w:type="dxa"/>
              <w:left w:w="108" w:type="dxa"/>
              <w:bottom w:w="0" w:type="dxa"/>
              <w:right w:w="108" w:type="dxa"/>
            </w:tcMar>
          </w:tcPr>
          <w:p w14:paraId="1DF02639"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Cultivar P-7928</w:t>
            </w:r>
          </w:p>
        </w:tc>
      </w:tr>
      <w:tr w:rsidR="00720401" w14:paraId="75D46398"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428C825F"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Días a floración</w:t>
            </w:r>
          </w:p>
        </w:tc>
        <w:tc>
          <w:tcPr>
            <w:tcW w:w="208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23725FD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w:t>
            </w:r>
          </w:p>
        </w:tc>
      </w:tr>
      <w:tr w:rsidR="00720401" w14:paraId="134A43A2"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6FFDB4E7"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Días a cosecha (tierno)</w:t>
            </w:r>
          </w:p>
        </w:tc>
        <w:tc>
          <w:tcPr>
            <w:tcW w:w="208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7311F75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85</w:t>
            </w:r>
          </w:p>
        </w:tc>
      </w:tr>
      <w:tr w:rsidR="00720401" w14:paraId="435C17F7"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231169E8"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Días a cosecha (seco)</w:t>
            </w:r>
          </w:p>
        </w:tc>
        <w:tc>
          <w:tcPr>
            <w:tcW w:w="208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6E18AAC4"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130</w:t>
            </w:r>
          </w:p>
        </w:tc>
      </w:tr>
      <w:tr w:rsidR="00720401" w14:paraId="588212F9"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3F1034D3"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Ciclo Vegetativo (días)</w:t>
            </w:r>
          </w:p>
        </w:tc>
        <w:tc>
          <w:tcPr>
            <w:tcW w:w="208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6BC7512D"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7874E4BC"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111EBC64"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Altura de la planta (cm)</w:t>
            </w:r>
          </w:p>
        </w:tc>
        <w:tc>
          <w:tcPr>
            <w:tcW w:w="208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632E0B5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230</w:t>
            </w:r>
          </w:p>
        </w:tc>
      </w:tr>
      <w:tr w:rsidR="00720401" w14:paraId="25FCE943"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3777F6FC"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Altura de la mazorca (cm)</w:t>
            </w:r>
          </w:p>
        </w:tc>
        <w:tc>
          <w:tcPr>
            <w:tcW w:w="2084" w:type="dxa"/>
            <w:tcBorders>
              <w:top w:val="single" w:sz="4" w:space="0" w:color="FFFFFF"/>
              <w:left w:val="single" w:sz="4" w:space="0" w:color="FFFFFF"/>
              <w:bottom w:val="single" w:sz="4" w:space="0" w:color="FFFFFF"/>
              <w:right w:val="single" w:sz="4" w:space="0" w:color="FFFFFF"/>
            </w:tcBorders>
            <w:shd w:val="clear" w:color="auto" w:fill="FFF2CC"/>
            <w:tcMar>
              <w:top w:w="0" w:type="dxa"/>
              <w:left w:w="108" w:type="dxa"/>
              <w:bottom w:w="0" w:type="dxa"/>
              <w:right w:w="108" w:type="dxa"/>
            </w:tcMar>
          </w:tcPr>
          <w:p w14:paraId="104AF09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720401" w14:paraId="44173A63" w14:textId="77777777" w:rsidTr="003A6D1F">
        <w:trPr>
          <w:jc w:val="center"/>
        </w:trPr>
        <w:tc>
          <w:tcPr>
            <w:tcW w:w="4016" w:type="dxa"/>
            <w:tcBorders>
              <w:top w:val="single" w:sz="4" w:space="0" w:color="FFFFFF"/>
              <w:left w:val="single" w:sz="4" w:space="0" w:color="FFFFFF"/>
              <w:bottom w:val="single" w:sz="4" w:space="0" w:color="FFFFFF"/>
            </w:tcBorders>
            <w:shd w:val="clear" w:color="auto" w:fill="FFC000"/>
            <w:tcMar>
              <w:top w:w="0" w:type="dxa"/>
              <w:left w:w="108" w:type="dxa"/>
              <w:bottom w:w="0" w:type="dxa"/>
              <w:right w:w="108" w:type="dxa"/>
            </w:tcMar>
          </w:tcPr>
          <w:p w14:paraId="728D7459" w14:textId="77777777" w:rsidR="00720401" w:rsidRDefault="00720401" w:rsidP="003A6D1F">
            <w:pPr>
              <w:pStyle w:val="Standard"/>
              <w:spacing w:line="360" w:lineRule="auto"/>
              <w:rPr>
                <w:rFonts w:ascii="Arial" w:eastAsia="Calibri" w:hAnsi="Arial" w:cs="F"/>
                <w:b/>
                <w:bCs/>
                <w:color w:val="FFFFFF"/>
                <w:kern w:val="0"/>
                <w:lang w:eastAsia="en-US" w:bidi="ar-SA"/>
              </w:rPr>
            </w:pPr>
            <w:r>
              <w:rPr>
                <w:rFonts w:ascii="Arial" w:eastAsia="Calibri" w:hAnsi="Arial"/>
                <w:b/>
                <w:bCs/>
                <w:color w:val="000000"/>
                <w:kern w:val="0"/>
                <w:lang w:eastAsia="en-US" w:bidi="ar-SA"/>
              </w:rPr>
              <w:t>Rendimiento grano seco (t ha</w:t>
            </w:r>
            <w:r>
              <w:rPr>
                <w:rFonts w:ascii="Arial" w:eastAsia="Calibri" w:hAnsi="Arial"/>
                <w:b/>
                <w:bCs/>
                <w:color w:val="000000"/>
                <w:kern w:val="0"/>
                <w:vertAlign w:val="superscript"/>
                <w:lang w:eastAsia="en-US" w:bidi="ar-SA"/>
              </w:rPr>
              <w:t>-1</w:t>
            </w:r>
            <w:r>
              <w:rPr>
                <w:rFonts w:ascii="Arial" w:eastAsia="Calibri" w:hAnsi="Arial"/>
                <w:b/>
                <w:bCs/>
                <w:color w:val="000000"/>
                <w:kern w:val="0"/>
                <w:lang w:eastAsia="en-US" w:bidi="ar-SA"/>
              </w:rPr>
              <w:t>)</w:t>
            </w:r>
          </w:p>
        </w:tc>
        <w:tc>
          <w:tcPr>
            <w:tcW w:w="2084" w:type="dxa"/>
            <w:tcBorders>
              <w:top w:val="single" w:sz="4" w:space="0" w:color="FFFFFF"/>
              <w:left w:val="single" w:sz="4" w:space="0" w:color="FFFFFF"/>
              <w:bottom w:val="single" w:sz="4" w:space="0" w:color="FFFFFF"/>
              <w:right w:val="single" w:sz="4" w:space="0" w:color="FFFFFF"/>
            </w:tcBorders>
            <w:shd w:val="clear" w:color="auto" w:fill="FFE599"/>
            <w:tcMar>
              <w:top w:w="0" w:type="dxa"/>
              <w:left w:w="108" w:type="dxa"/>
              <w:bottom w:w="0" w:type="dxa"/>
              <w:right w:w="108" w:type="dxa"/>
            </w:tcMar>
          </w:tcPr>
          <w:p w14:paraId="37B55F56"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5,1</w:t>
            </w:r>
          </w:p>
        </w:tc>
      </w:tr>
    </w:tbl>
    <w:p w14:paraId="4A27C121" w14:textId="77777777" w:rsidR="00720401" w:rsidRDefault="00720401" w:rsidP="00720401">
      <w:pPr>
        <w:pStyle w:val="Standard"/>
        <w:spacing w:line="360" w:lineRule="auto"/>
        <w:jc w:val="both"/>
        <w:rPr>
          <w:rFonts w:ascii="Arial" w:hAnsi="Arial"/>
        </w:rPr>
      </w:pPr>
      <w:r>
        <w:rPr>
          <w:rFonts w:ascii="Arial" w:hAnsi="Arial"/>
        </w:rPr>
        <w:t>Información tomada de (R. López y Gil, 2011; ACTAF, 2017)</w:t>
      </w:r>
    </w:p>
    <w:p w14:paraId="7228EEAB" w14:textId="77777777" w:rsidR="00720401" w:rsidRDefault="00720401" w:rsidP="00720401">
      <w:pPr>
        <w:pStyle w:val="Ttulo3"/>
        <w:spacing w:before="0" w:line="360" w:lineRule="auto"/>
        <w:rPr>
          <w:rFonts w:cs="Arial"/>
          <w:color w:val="000000"/>
        </w:rPr>
      </w:pPr>
    </w:p>
    <w:p w14:paraId="2759149A" w14:textId="77777777" w:rsidR="00720401" w:rsidRDefault="00720401" w:rsidP="00720401">
      <w:pPr>
        <w:pStyle w:val="Ttulo3"/>
        <w:spacing w:before="0" w:line="360" w:lineRule="auto"/>
        <w:rPr>
          <w:rFonts w:cs="Arial"/>
          <w:color w:val="000000"/>
        </w:rPr>
      </w:pPr>
      <w:bookmarkStart w:id="29" w:name="_Toc138712740_Copia_1"/>
      <w:bookmarkStart w:id="30" w:name="_Toc148350410_Copia_1"/>
      <w:r>
        <w:rPr>
          <w:rFonts w:cs="Arial"/>
          <w:color w:val="000000"/>
        </w:rPr>
        <w:t xml:space="preserve">2.5 </w:t>
      </w:r>
      <w:bookmarkEnd w:id="29"/>
      <w:r>
        <w:rPr>
          <w:rFonts w:cs="Arial"/>
          <w:color w:val="000000"/>
        </w:rPr>
        <w:t>Atenciones culturales</w:t>
      </w:r>
      <w:bookmarkEnd w:id="30"/>
    </w:p>
    <w:p w14:paraId="1F7822CD" w14:textId="77777777" w:rsidR="00720401" w:rsidRDefault="00720401" w:rsidP="00720401">
      <w:pPr>
        <w:pStyle w:val="Standard"/>
        <w:spacing w:line="360" w:lineRule="auto"/>
        <w:jc w:val="both"/>
        <w:rPr>
          <w:rFonts w:ascii="Arial" w:hAnsi="Arial"/>
        </w:rPr>
      </w:pPr>
      <w:r>
        <w:rPr>
          <w:rFonts w:ascii="Arial" w:hAnsi="Arial"/>
        </w:rPr>
        <w:t xml:space="preserve">Las atenciones culturales se realizaron según lo recomendado en el Instructivo Técnico del Cultivo de Maíz (MINAG, 2000). Se realizó el control de plagas y arvenses de manera efectiva. En ninguno de estos experimentos el cultivo se regó por lo que se considera maíz de temporal. No se fertilizó, el </w:t>
      </w:r>
      <w:proofErr w:type="spellStart"/>
      <w:r>
        <w:rPr>
          <w:rFonts w:ascii="Arial" w:hAnsi="Arial"/>
        </w:rPr>
        <w:t>EcoMic</w:t>
      </w:r>
      <w:proofErr w:type="spellEnd"/>
      <w:r>
        <w:rPr>
          <w:rFonts w:ascii="Arial" w:hAnsi="Arial"/>
        </w:rPr>
        <w:t>®(HMA)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(4,8). El </w:t>
      </w:r>
      <w:proofErr w:type="spellStart"/>
      <w:r>
        <w:rPr>
          <w:rFonts w:ascii="Arial" w:hAnsi="Arial"/>
        </w:rPr>
        <w:t>EcoMic</w:t>
      </w:r>
      <w:proofErr w:type="spellEnd"/>
      <w:r>
        <w:rPr>
          <w:rFonts w:ascii="Arial" w:hAnsi="Arial"/>
        </w:rPr>
        <w:t>® solo fue aplicado a los granos, luego de ser embebidos en agua mediante recubrimiento de los granos (RG</w:t>
      </w:r>
      <w:proofErr w:type="gramStart"/>
      <w:r>
        <w:rPr>
          <w:rFonts w:ascii="Arial" w:hAnsi="Arial"/>
        </w:rPr>
        <w:t>)(</w:t>
      </w:r>
      <w:proofErr w:type="gramEnd"/>
      <w:r>
        <w:rPr>
          <w:rFonts w:ascii="Arial" w:hAnsi="Arial"/>
        </w:rPr>
        <w:t xml:space="preserve">21),para un total de dos </w:t>
      </w:r>
      <w:proofErr w:type="spellStart"/>
      <w:r>
        <w:rPr>
          <w:rFonts w:ascii="Arial" w:hAnsi="Arial"/>
        </w:rPr>
        <w:t>tratamientos,como</w:t>
      </w:r>
      <w:proofErr w:type="spellEnd"/>
      <w:r>
        <w:rPr>
          <w:rFonts w:ascii="Arial" w:hAnsi="Arial"/>
        </w:rPr>
        <w:t xml:space="preserve"> aparecen conformados a </w:t>
      </w:r>
      <w:proofErr w:type="spellStart"/>
      <w:r>
        <w:rPr>
          <w:rFonts w:ascii="Arial" w:hAnsi="Arial"/>
        </w:rPr>
        <w:t>continuacion</w:t>
      </w:r>
      <w:proofErr w:type="spellEnd"/>
      <w:r>
        <w:rPr>
          <w:rFonts w:ascii="Arial" w:hAnsi="Arial"/>
        </w:rPr>
        <w:t>.</w:t>
      </w:r>
    </w:p>
    <w:p w14:paraId="5EDBD78E" w14:textId="77777777" w:rsidR="00720401" w:rsidRDefault="00720401" w:rsidP="00720401">
      <w:pPr>
        <w:pStyle w:val="Ttulo3"/>
        <w:spacing w:before="0" w:line="360" w:lineRule="auto"/>
      </w:pPr>
      <w:bookmarkStart w:id="31" w:name="_Toc148350411_Copia_1"/>
      <w:bookmarkStart w:id="32" w:name="_Toc138712741_Copia_1"/>
      <w:r>
        <w:rPr>
          <w:rFonts w:cs="Arial"/>
          <w:color w:val="000000"/>
        </w:rPr>
        <w:t>2.6 Evaluaciones realizadas</w:t>
      </w:r>
      <w:bookmarkEnd w:id="31"/>
      <w:bookmarkEnd w:id="32"/>
    </w:p>
    <w:p w14:paraId="32E94E8F" w14:textId="77777777" w:rsidR="00720401" w:rsidRDefault="00720401" w:rsidP="00720401">
      <w:pPr>
        <w:pStyle w:val="Standard"/>
        <w:spacing w:line="360" w:lineRule="auto"/>
        <w:jc w:val="both"/>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Se utilizó el cultivar P-7928, cuyas características se presentan en la Tabla.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14:paraId="3B7793F9" w14:textId="77777777" w:rsidR="00720401" w:rsidRDefault="00720401" w:rsidP="00720401">
      <w:pPr>
        <w:pStyle w:val="Standard"/>
        <w:spacing w:line="360" w:lineRule="auto"/>
        <w:jc w:val="both"/>
        <w:rPr>
          <w:rFonts w:ascii="Arial" w:hAnsi="Arial"/>
        </w:rPr>
      </w:pPr>
      <w:r>
        <w:rPr>
          <w:rFonts w:ascii="Arial" w:hAnsi="Arial"/>
        </w:rPr>
        <w:t>En el momento de la cosecha se evaluaron las variables del rendimiento(peso(cm), longitud (cm) y diámetro(cm</w:t>
      </w:r>
      <w:proofErr w:type="gramStart"/>
      <w:r>
        <w:rPr>
          <w:rFonts w:ascii="Arial" w:hAnsi="Arial"/>
        </w:rPr>
        <w:t>))de</w:t>
      </w:r>
      <w:proofErr w:type="gramEnd"/>
      <w:r>
        <w:rPr>
          <w:rFonts w:ascii="Arial" w:hAnsi="Arial"/>
        </w:rPr>
        <w:t xml:space="preserve"> las mazorcas, cantidad de hileras y número de granos por mazorca, el peso de 100 granos (g) y el rendimiento estimado (t ha</w:t>
      </w:r>
      <w:r>
        <w:rPr>
          <w:rFonts w:ascii="Arial" w:hAnsi="Arial"/>
          <w:vertAlign w:val="superscript"/>
        </w:rPr>
        <w:t>-1</w:t>
      </w:r>
      <w:r>
        <w:rPr>
          <w:rFonts w:ascii="Arial" w:hAnsi="Arial"/>
        </w:rPr>
        <w:t xml:space="preserve">), a 12 plantas. </w:t>
      </w:r>
      <w:r>
        <w:rPr>
          <w:rFonts w:ascii="Arial" w:hAnsi="Arial"/>
          <w:shd w:val="clear" w:color="auto" w:fill="FFFF00"/>
        </w:rPr>
        <w:t xml:space="preserve">A los datos obtenidos se le realizó un análisis de varianza de clasificación doble efectuándose la Prueba de Rango Múltiple de Duncan para determinar diferencias significativas entre las medias mediante el </w:t>
      </w:r>
      <w:r>
        <w:rPr>
          <w:rFonts w:ascii="Arial" w:hAnsi="Arial"/>
          <w:shd w:val="clear" w:color="auto" w:fill="FFFF00"/>
          <w:lang w:val="es-MX"/>
        </w:rPr>
        <w:t xml:space="preserve">programa </w:t>
      </w:r>
      <w:r>
        <w:rPr>
          <w:rFonts w:ascii="Arial" w:hAnsi="Arial"/>
          <w:shd w:val="clear" w:color="auto" w:fill="FFFF00"/>
        </w:rPr>
        <w:t>SPSS para Windows, versión 22.0</w:t>
      </w:r>
      <w:r>
        <w:rPr>
          <w:rFonts w:ascii="Arial" w:hAnsi="Arial"/>
          <w:shd w:val="clear" w:color="auto" w:fill="FFFF00"/>
          <w:lang w:val="es-MX"/>
        </w:rPr>
        <w:t>.</w:t>
      </w:r>
      <w:r>
        <w:rPr>
          <w:rFonts w:ascii="Arial" w:hAnsi="Arial"/>
          <w:shd w:val="clear" w:color="auto" w:fill="FFFF00"/>
        </w:rPr>
        <w:t xml:space="preserve">   </w:t>
      </w:r>
    </w:p>
    <w:p w14:paraId="757490FE" w14:textId="77777777" w:rsidR="00720401" w:rsidRDefault="00720401" w:rsidP="00720401">
      <w:pPr>
        <w:pStyle w:val="Ttulo4"/>
        <w:spacing w:before="0" w:line="360" w:lineRule="auto"/>
        <w:rPr>
          <w:rFonts w:ascii="Arial" w:hAnsi="Arial"/>
        </w:rPr>
      </w:pPr>
      <w:r>
        <w:rPr>
          <w:rFonts w:ascii="Arial" w:hAnsi="Arial" w:cs="Arial"/>
          <w:b/>
          <w:i w:val="0"/>
          <w:color w:val="000000"/>
        </w:rPr>
        <w:t>2.7 Creación de los ficheros de entrada</w:t>
      </w:r>
    </w:p>
    <w:p w14:paraId="13EB62CD" w14:textId="77777777" w:rsidR="00720401" w:rsidRDefault="00720401" w:rsidP="00720401">
      <w:pPr>
        <w:pStyle w:val="Standard"/>
        <w:spacing w:line="360" w:lineRule="auto"/>
        <w:jc w:val="both"/>
        <w:rPr>
          <w:rFonts w:ascii="Arial" w:hAnsi="Arial"/>
        </w:rPr>
      </w:pPr>
      <w:r>
        <w:rPr>
          <w:rFonts w:ascii="Arial" w:hAnsi="Arial"/>
          <w:color w:val="221F1F"/>
        </w:rPr>
        <w:t>Se crearon seis ficheros de entrada para correr el modelo CERES-</w:t>
      </w:r>
      <w:proofErr w:type="spellStart"/>
      <w:r>
        <w:rPr>
          <w:rFonts w:ascii="Arial" w:hAnsi="Arial"/>
          <w:color w:val="221F1F"/>
        </w:rPr>
        <w:t>Maize</w:t>
      </w:r>
      <w:proofErr w:type="spellEnd"/>
      <w:r>
        <w:rPr>
          <w:rFonts w:ascii="Arial" w:hAnsi="Arial"/>
          <w:color w:val="221F1F"/>
        </w:rPr>
        <w:t xml:space="preserve"> insertado en DSSAT v4.8: fichero X, fichero A, fichero T, fichero de suelo, fichero de clima y fichero de coeficientes genéticos.</w:t>
      </w:r>
    </w:p>
    <w:p w14:paraId="483A1622" w14:textId="77777777" w:rsidR="00720401" w:rsidRDefault="00720401" w:rsidP="00720401">
      <w:pPr>
        <w:pStyle w:val="Standard"/>
        <w:spacing w:line="360" w:lineRule="auto"/>
        <w:jc w:val="both"/>
        <w:rPr>
          <w:rFonts w:ascii="Arial" w:hAnsi="Arial"/>
        </w:rPr>
      </w:pPr>
      <w:r>
        <w:rPr>
          <w:rFonts w:ascii="Arial" w:hAnsi="Arial"/>
          <w:color w:val="221F1F"/>
        </w:rPr>
        <w:t>En los ficheros A y T, se almacenaron los valores de las variables fisiológicas observadas en los experimentos, expresadas en kg ha</w:t>
      </w:r>
      <w:r>
        <w:rPr>
          <w:rFonts w:ascii="Arial" w:hAnsi="Arial"/>
          <w:color w:val="221F1F"/>
          <w:vertAlign w:val="superscript"/>
        </w:rPr>
        <w:t>-1</w:t>
      </w:r>
      <w:r>
        <w:rPr>
          <w:rFonts w:ascii="Arial" w:hAnsi="Arial"/>
          <w:color w:val="221F1F"/>
        </w:rPr>
        <w:t>, y se compararon con los valores simulados por el modelo para la calibración.</w:t>
      </w:r>
    </w:p>
    <w:p w14:paraId="776FF103" w14:textId="77777777" w:rsidR="00720401" w:rsidRDefault="00720401" w:rsidP="00720401">
      <w:pPr>
        <w:pStyle w:val="Standard"/>
        <w:spacing w:line="360" w:lineRule="auto"/>
        <w:jc w:val="both"/>
        <w:rPr>
          <w:rFonts w:ascii="Arial" w:hAnsi="Arial"/>
        </w:rPr>
      </w:pPr>
      <w:r>
        <w:rPr>
          <w:rFonts w:ascii="Arial" w:hAnsi="Arial"/>
          <w:color w:val="221F1F"/>
        </w:rPr>
        <w:t>En el fichero X, se almacenaron datos de las condiciones de campo, tratamientos experimentales y opciones de simulación. La mayor parte de este fichero son los datos de manejo de la producción de cultivos, separados en varias secciones.</w:t>
      </w:r>
    </w:p>
    <w:p w14:paraId="1C7DF80D" w14:textId="77777777" w:rsidR="00720401" w:rsidRDefault="00720401" w:rsidP="00720401">
      <w:pPr>
        <w:pStyle w:val="Standard"/>
        <w:spacing w:line="360" w:lineRule="auto"/>
        <w:jc w:val="both"/>
        <w:rPr>
          <w:rFonts w:ascii="Arial" w:hAnsi="Arial"/>
        </w:rPr>
      </w:pPr>
      <w:r>
        <w:rPr>
          <w:rFonts w:ascii="Arial" w:hAnsi="Arial"/>
        </w:rPr>
        <w:t>En la investigación se utilizaron los coeficientes genéticos obtenidos para el cultivar de maíz P-7928 informados por Rodríguez</w:t>
      </w:r>
    </w:p>
    <w:p w14:paraId="27A1DD38" w14:textId="77777777" w:rsidR="00720401" w:rsidRDefault="00720401" w:rsidP="00720401">
      <w:pPr>
        <w:pStyle w:val="Standard"/>
        <w:spacing w:line="360" w:lineRule="auto"/>
        <w:jc w:val="both"/>
        <w:rPr>
          <w:rFonts w:ascii="Arial" w:hAnsi="Arial"/>
        </w:rPr>
      </w:pPr>
      <w:r>
        <w:rPr>
          <w:rFonts w:ascii="Arial" w:hAnsi="Arial"/>
        </w:rPr>
        <w:t>Tabla 10. Coeficientes genéticos obtenidos mediante la calibración para el cultivar de maíz P-7928</w:t>
      </w:r>
    </w:p>
    <w:tbl>
      <w:tblPr>
        <w:tblW w:w="6245" w:type="dxa"/>
        <w:jc w:val="center"/>
        <w:tblLayout w:type="fixed"/>
        <w:tblCellMar>
          <w:left w:w="10" w:type="dxa"/>
          <w:right w:w="10" w:type="dxa"/>
        </w:tblCellMar>
        <w:tblLook w:val="0000" w:firstRow="0" w:lastRow="0" w:firstColumn="0" w:lastColumn="0" w:noHBand="0" w:noVBand="0"/>
      </w:tblPr>
      <w:tblGrid>
        <w:gridCol w:w="1041"/>
        <w:gridCol w:w="1037"/>
        <w:gridCol w:w="1039"/>
        <w:gridCol w:w="1040"/>
        <w:gridCol w:w="1039"/>
        <w:gridCol w:w="1049"/>
      </w:tblGrid>
      <w:tr w:rsidR="00720401" w14:paraId="1A097485" w14:textId="77777777" w:rsidTr="003A6D1F">
        <w:trPr>
          <w:jc w:val="center"/>
        </w:trPr>
        <w:tc>
          <w:tcPr>
            <w:tcW w:w="1040"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07B086A9"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P1</w:t>
            </w:r>
          </w:p>
        </w:tc>
        <w:tc>
          <w:tcPr>
            <w:tcW w:w="1037"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1A2AC8A7"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P2</w:t>
            </w:r>
          </w:p>
        </w:tc>
        <w:tc>
          <w:tcPr>
            <w:tcW w:w="1039"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76607E8A"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P5</w:t>
            </w:r>
          </w:p>
        </w:tc>
        <w:tc>
          <w:tcPr>
            <w:tcW w:w="1040"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6EE36619"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G2</w:t>
            </w:r>
          </w:p>
        </w:tc>
        <w:tc>
          <w:tcPr>
            <w:tcW w:w="1039"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24D0B190"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G3</w:t>
            </w:r>
          </w:p>
        </w:tc>
        <w:tc>
          <w:tcPr>
            <w:tcW w:w="1049" w:type="dxa"/>
            <w:tcBorders>
              <w:top w:val="single" w:sz="4" w:space="0" w:color="FFC000"/>
              <w:left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14:paraId="7538AB1D" w14:textId="77777777" w:rsidR="00720401" w:rsidRDefault="00720401" w:rsidP="003A6D1F">
            <w:pPr>
              <w:pStyle w:val="Standard"/>
              <w:spacing w:line="360" w:lineRule="auto"/>
              <w:jc w:val="center"/>
              <w:rPr>
                <w:rFonts w:ascii="Arial" w:eastAsia="Calibri" w:hAnsi="Arial" w:cs="F"/>
                <w:b/>
                <w:bCs/>
                <w:color w:val="FFFFFF"/>
                <w:kern w:val="0"/>
                <w:lang w:eastAsia="en-US" w:bidi="ar-SA"/>
              </w:rPr>
            </w:pPr>
            <w:r>
              <w:rPr>
                <w:rFonts w:ascii="Arial" w:eastAsia="Calibri" w:hAnsi="Arial"/>
                <w:b/>
                <w:bCs/>
                <w:color w:val="000000"/>
                <w:kern w:val="0"/>
                <w:lang w:eastAsia="en-US" w:bidi="ar-SA"/>
              </w:rPr>
              <w:t>PHINT</w:t>
            </w:r>
          </w:p>
        </w:tc>
      </w:tr>
      <w:tr w:rsidR="00720401" w14:paraId="7DC9F5F3" w14:textId="77777777" w:rsidTr="003A6D1F">
        <w:trPr>
          <w:jc w:val="center"/>
        </w:trPr>
        <w:tc>
          <w:tcPr>
            <w:tcW w:w="1040"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77C7C4E4" w14:textId="77777777" w:rsidR="00720401" w:rsidRDefault="00720401" w:rsidP="003A6D1F">
            <w:pPr>
              <w:pStyle w:val="Standard"/>
              <w:spacing w:line="360" w:lineRule="auto"/>
              <w:jc w:val="center"/>
              <w:rPr>
                <w:rFonts w:ascii="Arial" w:eastAsia="Calibri" w:hAnsi="Arial" w:cs="F"/>
                <w:b/>
                <w:bCs/>
                <w:kern w:val="0"/>
                <w:lang w:eastAsia="en-US" w:bidi="ar-SA"/>
              </w:rPr>
            </w:pPr>
            <w:r>
              <w:rPr>
                <w:rFonts w:ascii="Arial" w:eastAsia="Calibri" w:hAnsi="Arial"/>
                <w:bCs/>
                <w:color w:val="000000"/>
                <w:kern w:val="0"/>
                <w:lang w:eastAsia="en-US" w:bidi="ar-SA"/>
              </w:rPr>
              <w:t>219,1</w:t>
            </w:r>
          </w:p>
        </w:tc>
        <w:tc>
          <w:tcPr>
            <w:tcW w:w="1037"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45D94FF8"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0,694</w:t>
            </w:r>
          </w:p>
        </w:tc>
        <w:tc>
          <w:tcPr>
            <w:tcW w:w="1039"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3CDDC1B9"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594,3</w:t>
            </w:r>
          </w:p>
        </w:tc>
        <w:tc>
          <w:tcPr>
            <w:tcW w:w="1040"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225DADE0"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821,1</w:t>
            </w:r>
          </w:p>
        </w:tc>
        <w:tc>
          <w:tcPr>
            <w:tcW w:w="1039"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7EE431C7"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16,11</w:t>
            </w:r>
          </w:p>
        </w:tc>
        <w:tc>
          <w:tcPr>
            <w:tcW w:w="1049"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14:paraId="1356A378" w14:textId="77777777" w:rsidR="00720401" w:rsidRDefault="00720401" w:rsidP="003A6D1F">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55,00</w:t>
            </w:r>
          </w:p>
        </w:tc>
      </w:tr>
    </w:tbl>
    <w:p w14:paraId="47ED76CB" w14:textId="77777777" w:rsidR="00720401" w:rsidRDefault="00720401" w:rsidP="00720401">
      <w:pPr>
        <w:pStyle w:val="Standard"/>
        <w:spacing w:line="360" w:lineRule="auto"/>
        <w:rPr>
          <w:rFonts w:ascii="Arial" w:hAnsi="Arial" w:cs="TimesNewRomanPSMT"/>
        </w:rPr>
      </w:pPr>
    </w:p>
    <w:p w14:paraId="7BF32BF9" w14:textId="77777777" w:rsidR="00720401" w:rsidRDefault="00720401" w:rsidP="00720401">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Estimación del rendimiento con la utilización </w:t>
      </w:r>
      <w:proofErr w:type="gram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 biofertilizantes</w:t>
      </w:r>
      <w:proofErr w:type="gram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AEAF4AE" w14:textId="77777777" w:rsidR="00720401" w:rsidRDefault="00720401" w:rsidP="00720401">
      <w:r>
        <w:t>Experimento 1</w:t>
      </w:r>
    </w:p>
    <w:p w14:paraId="62B98F8D" w14:textId="77777777" w:rsidR="00720401" w:rsidRDefault="00720401" w:rsidP="00720401">
      <w:r>
        <w:t xml:space="preserve">La </w:t>
      </w:r>
      <w:proofErr w:type="gramStart"/>
      <w:r>
        <w:t>Tabla  X</w:t>
      </w:r>
      <w:proofErr w:type="gramEnd"/>
      <w:r>
        <w:t xml:space="preserve"> muestra  los resultados del rendimiento de la variedad P 7928 obtenidos en el experimento.</w:t>
      </w:r>
    </w:p>
    <w:p w14:paraId="03C4F3FC" w14:textId="77777777" w:rsidR="00720401" w:rsidRDefault="00720401" w:rsidP="00720401">
      <w:proofErr w:type="gramStart"/>
      <w:r>
        <w:t>Tabla  X.</w:t>
      </w:r>
      <w:proofErr w:type="gramEnd"/>
      <w:r>
        <w:t xml:space="preserve"> Variables del rendimiento obtenido en el experimento para el cultivar de maíz P 7928</w:t>
      </w:r>
    </w:p>
    <w:tbl>
      <w:tblPr>
        <w:tblStyle w:val="Tablaconcuadrcula"/>
        <w:tblW w:w="0" w:type="auto"/>
        <w:tblLook w:val="04A0" w:firstRow="1" w:lastRow="0" w:firstColumn="1" w:lastColumn="0" w:noHBand="0" w:noVBand="1"/>
      </w:tblPr>
      <w:tblGrid>
        <w:gridCol w:w="1326"/>
        <w:gridCol w:w="980"/>
        <w:gridCol w:w="930"/>
        <w:gridCol w:w="1083"/>
        <w:gridCol w:w="1065"/>
        <w:gridCol w:w="977"/>
        <w:gridCol w:w="1099"/>
        <w:gridCol w:w="1368"/>
      </w:tblGrid>
      <w:tr w:rsidR="00720401" w14:paraId="2AF632F6" w14:textId="77777777" w:rsidTr="003A6D1F">
        <w:tc>
          <w:tcPr>
            <w:tcW w:w="1103" w:type="dxa"/>
          </w:tcPr>
          <w:p w14:paraId="35D0C345" w14:textId="77777777" w:rsidR="00720401" w:rsidRDefault="00720401" w:rsidP="003A6D1F">
            <w:pPr>
              <w:rPr>
                <w:lang w:val="es-ES_tradnl"/>
              </w:rPr>
            </w:pPr>
            <w:r>
              <w:rPr>
                <w:lang w:val="es-ES_tradnl"/>
              </w:rPr>
              <w:t>Tratamiento</w:t>
            </w:r>
          </w:p>
        </w:tc>
        <w:tc>
          <w:tcPr>
            <w:tcW w:w="1103" w:type="dxa"/>
          </w:tcPr>
          <w:p w14:paraId="24DFF4CD" w14:textId="77777777" w:rsidR="00720401" w:rsidRDefault="00720401" w:rsidP="003A6D1F">
            <w:pPr>
              <w:rPr>
                <w:lang w:val="es-ES_tradnl"/>
              </w:rPr>
            </w:pPr>
            <w:r>
              <w:rPr>
                <w:lang w:val="es-ES_tradnl"/>
              </w:rPr>
              <w:t>Peso (g)</w:t>
            </w:r>
          </w:p>
        </w:tc>
        <w:tc>
          <w:tcPr>
            <w:tcW w:w="1103" w:type="dxa"/>
          </w:tcPr>
          <w:p w14:paraId="3EBF21EE" w14:textId="77777777" w:rsidR="00720401" w:rsidRDefault="00720401" w:rsidP="003A6D1F">
            <w:pPr>
              <w:rPr>
                <w:lang w:val="es-ES_tradnl"/>
              </w:rPr>
            </w:pPr>
            <w:r>
              <w:rPr>
                <w:lang w:val="es-ES_tradnl"/>
              </w:rPr>
              <w:t>Largo</w:t>
            </w:r>
          </w:p>
          <w:p w14:paraId="45858FE9" w14:textId="77777777" w:rsidR="00720401" w:rsidRDefault="00720401" w:rsidP="003A6D1F">
            <w:pPr>
              <w:rPr>
                <w:lang w:val="es-ES_tradnl"/>
              </w:rPr>
            </w:pPr>
            <w:r>
              <w:rPr>
                <w:lang w:val="es-ES_tradnl"/>
              </w:rPr>
              <w:t>(cm)</w:t>
            </w:r>
          </w:p>
        </w:tc>
        <w:tc>
          <w:tcPr>
            <w:tcW w:w="1103" w:type="dxa"/>
          </w:tcPr>
          <w:p w14:paraId="2FEEBF6D" w14:textId="77777777" w:rsidR="00720401" w:rsidRDefault="00720401" w:rsidP="003A6D1F">
            <w:pPr>
              <w:rPr>
                <w:lang w:val="es-ES_tradnl"/>
              </w:rPr>
            </w:pPr>
            <w:proofErr w:type="spellStart"/>
            <w:r>
              <w:rPr>
                <w:lang w:val="es-ES_tradnl"/>
              </w:rPr>
              <w:t>Diametro</w:t>
            </w:r>
            <w:proofErr w:type="spellEnd"/>
          </w:p>
          <w:p w14:paraId="75329402" w14:textId="77777777" w:rsidR="00720401" w:rsidRDefault="00720401" w:rsidP="003A6D1F">
            <w:pPr>
              <w:rPr>
                <w:lang w:val="es-ES_tradnl"/>
              </w:rPr>
            </w:pPr>
            <w:r>
              <w:rPr>
                <w:lang w:val="es-ES_tradnl"/>
              </w:rPr>
              <w:t>(cm)</w:t>
            </w:r>
          </w:p>
        </w:tc>
        <w:tc>
          <w:tcPr>
            <w:tcW w:w="1104" w:type="dxa"/>
          </w:tcPr>
          <w:p w14:paraId="306501A5" w14:textId="77777777" w:rsidR="00720401" w:rsidRDefault="00720401" w:rsidP="003A6D1F">
            <w:pPr>
              <w:rPr>
                <w:lang w:val="es-ES_tradnl"/>
              </w:rPr>
            </w:pPr>
            <w:r>
              <w:rPr>
                <w:lang w:val="es-ES_tradnl"/>
              </w:rPr>
              <w:t>Cantidad de hileras</w:t>
            </w:r>
          </w:p>
        </w:tc>
        <w:tc>
          <w:tcPr>
            <w:tcW w:w="1104" w:type="dxa"/>
          </w:tcPr>
          <w:p w14:paraId="2DFCE697" w14:textId="77777777" w:rsidR="00720401" w:rsidRDefault="00720401" w:rsidP="003A6D1F">
            <w:pPr>
              <w:rPr>
                <w:lang w:val="es-ES_tradnl"/>
              </w:rPr>
            </w:pPr>
            <w:r>
              <w:rPr>
                <w:lang w:val="es-ES_tradnl"/>
              </w:rPr>
              <w:t>No. granos</w:t>
            </w:r>
          </w:p>
        </w:tc>
        <w:tc>
          <w:tcPr>
            <w:tcW w:w="1104" w:type="dxa"/>
          </w:tcPr>
          <w:p w14:paraId="5A270BEA" w14:textId="77777777" w:rsidR="00720401" w:rsidRDefault="00720401" w:rsidP="003A6D1F">
            <w:pPr>
              <w:rPr>
                <w:lang w:val="es-ES_tradnl"/>
              </w:rPr>
            </w:pPr>
            <w:r>
              <w:rPr>
                <w:lang w:val="es-ES_tradnl"/>
              </w:rPr>
              <w:t>P 100</w:t>
            </w:r>
          </w:p>
          <w:p w14:paraId="270100C7" w14:textId="77777777" w:rsidR="00720401" w:rsidRDefault="00720401" w:rsidP="003A6D1F">
            <w:pPr>
              <w:rPr>
                <w:lang w:val="es-ES_tradnl"/>
              </w:rPr>
            </w:pPr>
            <w:r>
              <w:rPr>
                <w:lang w:val="es-ES_tradnl"/>
              </w:rPr>
              <w:t>Granos(g)</w:t>
            </w:r>
          </w:p>
        </w:tc>
        <w:tc>
          <w:tcPr>
            <w:tcW w:w="1104" w:type="dxa"/>
          </w:tcPr>
          <w:p w14:paraId="6C8793EE" w14:textId="77777777" w:rsidR="00720401" w:rsidRDefault="00720401" w:rsidP="003A6D1F">
            <w:pPr>
              <w:rPr>
                <w:lang w:val="es-ES_tradnl"/>
              </w:rPr>
            </w:pPr>
            <w:r>
              <w:rPr>
                <w:lang w:val="es-ES_tradnl"/>
              </w:rPr>
              <w:t>Rendimiento</w:t>
            </w:r>
          </w:p>
          <w:p w14:paraId="2842EFCC" w14:textId="77777777" w:rsidR="00720401" w:rsidRDefault="00720401" w:rsidP="003A6D1F">
            <w:pPr>
              <w:rPr>
                <w:lang w:val="es-ES_tradnl"/>
              </w:rPr>
            </w:pPr>
            <w:r>
              <w:rPr>
                <w:lang w:val="es-ES_tradnl"/>
              </w:rPr>
              <w:t>(</w:t>
            </w:r>
            <w:proofErr w:type="gramStart"/>
            <w:r>
              <w:rPr>
                <w:lang w:val="es-ES_tradnl"/>
              </w:rPr>
              <w:t>t.ha</w:t>
            </w:r>
            <w:proofErr w:type="gramEnd"/>
            <w:r w:rsidRPr="00EA2C92">
              <w:rPr>
                <w:vertAlign w:val="superscript"/>
                <w:lang w:val="es-ES_tradnl"/>
              </w:rPr>
              <w:t>-1</w:t>
            </w:r>
            <w:r>
              <w:rPr>
                <w:lang w:val="es-ES_tradnl"/>
              </w:rPr>
              <w:t>)</w:t>
            </w:r>
          </w:p>
        </w:tc>
      </w:tr>
      <w:tr w:rsidR="00720401" w14:paraId="7A0C8D42" w14:textId="77777777" w:rsidTr="003A6D1F">
        <w:tc>
          <w:tcPr>
            <w:tcW w:w="1103" w:type="dxa"/>
          </w:tcPr>
          <w:p w14:paraId="420DD6A4" w14:textId="77777777" w:rsidR="00720401" w:rsidRDefault="00720401" w:rsidP="003A6D1F">
            <w:pPr>
              <w:rPr>
                <w:lang w:val="es-ES_tradnl"/>
              </w:rPr>
            </w:pPr>
            <w:r>
              <w:rPr>
                <w:lang w:val="es-ES_tradnl"/>
              </w:rPr>
              <w:t xml:space="preserve">Sin </w:t>
            </w:r>
            <w:proofErr w:type="spellStart"/>
            <w:r>
              <w:rPr>
                <w:lang w:val="es-ES_tradnl"/>
              </w:rPr>
              <w:t>Ecomic</w:t>
            </w:r>
            <w:proofErr w:type="spellEnd"/>
          </w:p>
        </w:tc>
        <w:tc>
          <w:tcPr>
            <w:tcW w:w="1103" w:type="dxa"/>
          </w:tcPr>
          <w:p w14:paraId="27F0322A" w14:textId="77777777" w:rsidR="00720401" w:rsidRDefault="00720401" w:rsidP="003A6D1F">
            <w:pPr>
              <w:rPr>
                <w:lang w:val="es-ES_tradnl"/>
              </w:rPr>
            </w:pPr>
            <w:r>
              <w:rPr>
                <w:lang w:val="es-ES_tradnl"/>
              </w:rPr>
              <w:t>136.22</w:t>
            </w:r>
          </w:p>
        </w:tc>
        <w:tc>
          <w:tcPr>
            <w:tcW w:w="1103" w:type="dxa"/>
          </w:tcPr>
          <w:p w14:paraId="44C12DE7" w14:textId="77777777" w:rsidR="00720401" w:rsidRDefault="00720401" w:rsidP="003A6D1F">
            <w:pPr>
              <w:rPr>
                <w:lang w:val="es-ES_tradnl"/>
              </w:rPr>
            </w:pPr>
            <w:r>
              <w:rPr>
                <w:lang w:val="es-ES_tradnl"/>
              </w:rPr>
              <w:t>14.47</w:t>
            </w:r>
          </w:p>
        </w:tc>
        <w:tc>
          <w:tcPr>
            <w:tcW w:w="1103" w:type="dxa"/>
          </w:tcPr>
          <w:p w14:paraId="420ADD0C" w14:textId="77777777" w:rsidR="00720401" w:rsidRDefault="00720401" w:rsidP="003A6D1F">
            <w:pPr>
              <w:rPr>
                <w:lang w:val="es-ES_tradnl"/>
              </w:rPr>
            </w:pPr>
            <w:r>
              <w:rPr>
                <w:lang w:val="es-ES_tradnl"/>
              </w:rPr>
              <w:t>4.57</w:t>
            </w:r>
          </w:p>
        </w:tc>
        <w:tc>
          <w:tcPr>
            <w:tcW w:w="1104" w:type="dxa"/>
          </w:tcPr>
          <w:p w14:paraId="35CEDEF1" w14:textId="77777777" w:rsidR="00720401" w:rsidRDefault="00720401" w:rsidP="003A6D1F">
            <w:pPr>
              <w:rPr>
                <w:lang w:val="es-ES_tradnl"/>
              </w:rPr>
            </w:pPr>
            <w:r>
              <w:rPr>
                <w:lang w:val="es-ES_tradnl"/>
              </w:rPr>
              <w:t>13.90</w:t>
            </w:r>
          </w:p>
        </w:tc>
        <w:tc>
          <w:tcPr>
            <w:tcW w:w="1104" w:type="dxa"/>
          </w:tcPr>
          <w:p w14:paraId="5C4B8543" w14:textId="77777777" w:rsidR="00720401" w:rsidRDefault="00720401" w:rsidP="003A6D1F">
            <w:pPr>
              <w:rPr>
                <w:lang w:val="es-ES_tradnl"/>
              </w:rPr>
            </w:pPr>
            <w:r>
              <w:rPr>
                <w:lang w:val="es-ES_tradnl"/>
              </w:rPr>
              <w:t>422</w:t>
            </w:r>
          </w:p>
        </w:tc>
        <w:tc>
          <w:tcPr>
            <w:tcW w:w="1104" w:type="dxa"/>
          </w:tcPr>
          <w:p w14:paraId="584440A4" w14:textId="77777777" w:rsidR="00720401" w:rsidRDefault="00720401" w:rsidP="003A6D1F">
            <w:pPr>
              <w:rPr>
                <w:lang w:val="es-ES_tradnl"/>
              </w:rPr>
            </w:pPr>
            <w:r>
              <w:rPr>
                <w:lang w:val="es-ES_tradnl"/>
              </w:rPr>
              <w:t>29.93</w:t>
            </w:r>
          </w:p>
        </w:tc>
        <w:tc>
          <w:tcPr>
            <w:tcW w:w="1104" w:type="dxa"/>
          </w:tcPr>
          <w:p w14:paraId="4D70C398" w14:textId="77777777" w:rsidR="00720401" w:rsidRDefault="00720401" w:rsidP="003A6D1F">
            <w:pPr>
              <w:rPr>
                <w:lang w:val="es-ES_tradnl"/>
              </w:rPr>
            </w:pPr>
            <w:r>
              <w:rPr>
                <w:lang w:val="es-ES_tradnl"/>
              </w:rPr>
              <w:t>4.68</w:t>
            </w:r>
          </w:p>
        </w:tc>
      </w:tr>
      <w:tr w:rsidR="00720401" w14:paraId="1C4C9DC3" w14:textId="77777777" w:rsidTr="003A6D1F">
        <w:tc>
          <w:tcPr>
            <w:tcW w:w="1103" w:type="dxa"/>
          </w:tcPr>
          <w:p w14:paraId="4E942485" w14:textId="77777777" w:rsidR="00720401" w:rsidRDefault="00720401" w:rsidP="003A6D1F">
            <w:pPr>
              <w:rPr>
                <w:lang w:val="es-ES_tradnl"/>
              </w:rPr>
            </w:pPr>
            <w:r>
              <w:rPr>
                <w:lang w:val="es-ES_tradnl"/>
              </w:rPr>
              <w:t xml:space="preserve">Con </w:t>
            </w:r>
            <w:proofErr w:type="spellStart"/>
            <w:r>
              <w:rPr>
                <w:lang w:val="es-ES_tradnl"/>
              </w:rPr>
              <w:t>Ecomic</w:t>
            </w:r>
            <w:proofErr w:type="spellEnd"/>
          </w:p>
        </w:tc>
        <w:tc>
          <w:tcPr>
            <w:tcW w:w="1103" w:type="dxa"/>
          </w:tcPr>
          <w:p w14:paraId="2449F2C9" w14:textId="77777777" w:rsidR="00720401" w:rsidRDefault="00720401" w:rsidP="003A6D1F">
            <w:pPr>
              <w:rPr>
                <w:lang w:val="es-ES_tradnl"/>
              </w:rPr>
            </w:pPr>
            <w:r>
              <w:rPr>
                <w:lang w:val="es-ES_tradnl"/>
              </w:rPr>
              <w:t>149.41</w:t>
            </w:r>
          </w:p>
        </w:tc>
        <w:tc>
          <w:tcPr>
            <w:tcW w:w="1103" w:type="dxa"/>
          </w:tcPr>
          <w:p w14:paraId="43F3D526" w14:textId="77777777" w:rsidR="00720401" w:rsidRDefault="00720401" w:rsidP="003A6D1F">
            <w:pPr>
              <w:rPr>
                <w:lang w:val="es-ES_tradnl"/>
              </w:rPr>
            </w:pPr>
            <w:r>
              <w:rPr>
                <w:lang w:val="es-ES_tradnl"/>
              </w:rPr>
              <w:t>15.97</w:t>
            </w:r>
          </w:p>
        </w:tc>
        <w:tc>
          <w:tcPr>
            <w:tcW w:w="1103" w:type="dxa"/>
          </w:tcPr>
          <w:p w14:paraId="7C44DB42" w14:textId="77777777" w:rsidR="00720401" w:rsidRDefault="00720401" w:rsidP="003A6D1F">
            <w:pPr>
              <w:rPr>
                <w:lang w:val="es-ES_tradnl"/>
              </w:rPr>
            </w:pPr>
            <w:r>
              <w:rPr>
                <w:lang w:val="es-ES_tradnl"/>
              </w:rPr>
              <w:t>4.60</w:t>
            </w:r>
          </w:p>
        </w:tc>
        <w:tc>
          <w:tcPr>
            <w:tcW w:w="1104" w:type="dxa"/>
          </w:tcPr>
          <w:p w14:paraId="789C659D" w14:textId="77777777" w:rsidR="00720401" w:rsidRDefault="00720401" w:rsidP="003A6D1F">
            <w:pPr>
              <w:rPr>
                <w:lang w:val="es-ES_tradnl"/>
              </w:rPr>
            </w:pPr>
            <w:r>
              <w:rPr>
                <w:lang w:val="es-ES_tradnl"/>
              </w:rPr>
              <w:t>14.07</w:t>
            </w:r>
          </w:p>
        </w:tc>
        <w:tc>
          <w:tcPr>
            <w:tcW w:w="1104" w:type="dxa"/>
          </w:tcPr>
          <w:p w14:paraId="22F334F1" w14:textId="77777777" w:rsidR="00720401" w:rsidRDefault="00720401" w:rsidP="003A6D1F">
            <w:pPr>
              <w:rPr>
                <w:lang w:val="es-ES_tradnl"/>
              </w:rPr>
            </w:pPr>
            <w:r>
              <w:rPr>
                <w:lang w:val="es-ES_tradnl"/>
              </w:rPr>
              <w:t>484</w:t>
            </w:r>
          </w:p>
        </w:tc>
        <w:tc>
          <w:tcPr>
            <w:tcW w:w="1104" w:type="dxa"/>
          </w:tcPr>
          <w:p w14:paraId="6742D398" w14:textId="77777777" w:rsidR="00720401" w:rsidRDefault="00720401" w:rsidP="003A6D1F">
            <w:pPr>
              <w:rPr>
                <w:lang w:val="es-ES_tradnl"/>
              </w:rPr>
            </w:pPr>
            <w:r>
              <w:rPr>
                <w:lang w:val="es-ES_tradnl"/>
              </w:rPr>
              <w:t>29.94</w:t>
            </w:r>
          </w:p>
        </w:tc>
        <w:tc>
          <w:tcPr>
            <w:tcW w:w="1104" w:type="dxa"/>
          </w:tcPr>
          <w:p w14:paraId="09BC6A74" w14:textId="77777777" w:rsidR="00720401" w:rsidRDefault="00720401" w:rsidP="003A6D1F">
            <w:pPr>
              <w:rPr>
                <w:lang w:val="es-ES_tradnl"/>
              </w:rPr>
            </w:pPr>
            <w:r>
              <w:rPr>
                <w:lang w:val="es-ES_tradnl"/>
              </w:rPr>
              <w:t>5.37</w:t>
            </w:r>
          </w:p>
        </w:tc>
      </w:tr>
    </w:tbl>
    <w:p w14:paraId="424D0F77" w14:textId="77777777" w:rsidR="00720401" w:rsidRDefault="00720401" w:rsidP="00720401">
      <w:pPr>
        <w:rPr>
          <w:lang w:val="es-ES_tradnl"/>
        </w:rPr>
      </w:pPr>
    </w:p>
    <w:p w14:paraId="215728F7" w14:textId="77777777" w:rsidR="00720401" w:rsidRDefault="00720401" w:rsidP="00720401">
      <w:pPr>
        <w:rPr>
          <w:lang w:val="es-ES_tradnl"/>
        </w:rPr>
      </w:pPr>
      <w:r>
        <w:rPr>
          <w:lang w:val="es-ES_tradnl"/>
        </w:rPr>
        <w:t>Experimento 2</w:t>
      </w:r>
    </w:p>
    <w:p w14:paraId="27CB5251" w14:textId="77777777" w:rsidR="00720401" w:rsidRDefault="00720401" w:rsidP="00720401">
      <w:pPr>
        <w:rPr>
          <w:lang w:val="es-ES_tradnl"/>
        </w:rPr>
      </w:pPr>
      <w:r w:rsidRPr="00672A69">
        <w:rPr>
          <w:rFonts w:ascii="Arial" w:hAnsi="Arial" w:cs="Arial"/>
          <w:noProof/>
          <w:color w:val="000000" w:themeColor="text1"/>
          <w:sz w:val="24"/>
          <w:szCs w:val="24"/>
          <w:lang w:eastAsia="es-ES"/>
        </w:rPr>
        <w:drawing>
          <wp:inline distT="0" distB="0" distL="0" distR="0" wp14:anchorId="4439C357" wp14:editId="7707C30F">
            <wp:extent cx="3305636" cy="1428949"/>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05636" cy="1428949"/>
                    </a:xfrm>
                    <a:prstGeom prst="rect">
                      <a:avLst/>
                    </a:prstGeom>
                  </pic:spPr>
                </pic:pic>
              </a:graphicData>
            </a:graphic>
          </wp:inline>
        </w:drawing>
      </w:r>
    </w:p>
    <w:p w14:paraId="3E21A4F3" w14:textId="77777777" w:rsidR="00720401" w:rsidRDefault="00720401" w:rsidP="00720401">
      <w:pPr>
        <w:rPr>
          <w:lang w:val="es-ES_tradnl"/>
        </w:rPr>
      </w:pPr>
      <w:r w:rsidRPr="00672A69">
        <w:rPr>
          <w:rFonts w:ascii="Arial" w:hAnsi="Arial" w:cs="Arial"/>
          <w:noProof/>
          <w:color w:val="000000" w:themeColor="text1"/>
          <w:sz w:val="24"/>
          <w:szCs w:val="24"/>
          <w:lang w:eastAsia="es-ES"/>
        </w:rPr>
        <w:drawing>
          <wp:inline distT="0" distB="0" distL="0" distR="0" wp14:anchorId="7FD30A36" wp14:editId="5E3BABE2">
            <wp:extent cx="3238952" cy="1209844"/>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38952" cy="1209844"/>
                    </a:xfrm>
                    <a:prstGeom prst="rect">
                      <a:avLst/>
                    </a:prstGeom>
                  </pic:spPr>
                </pic:pic>
              </a:graphicData>
            </a:graphic>
          </wp:inline>
        </w:drawing>
      </w:r>
    </w:p>
    <w:p w14:paraId="2BC1C89C" w14:textId="77777777" w:rsidR="00720401" w:rsidRPr="008E3C27" w:rsidRDefault="00720401" w:rsidP="00720401">
      <w:pPr>
        <w:jc w:val="both"/>
        <w:rPr>
          <w:lang w:val="es-ES_tradnl"/>
        </w:rPr>
      </w:pPr>
      <w:r>
        <w:rPr>
          <w:lang w:val="es-ES_tradnl"/>
        </w:rPr>
        <w:t>E</w:t>
      </w:r>
      <w:r w:rsidRPr="008E3C27">
        <w:rPr>
          <w:lang w:val="es-ES_tradnl"/>
        </w:rPr>
        <w:t>l coeficiente de correlación se representa con una</w:t>
      </w:r>
      <w:r>
        <w:rPr>
          <w:lang w:val="es-ES_tradnl"/>
        </w:rPr>
        <w:t xml:space="preserve"> </w:t>
      </w:r>
      <w:r w:rsidRPr="008E3C27">
        <w:rPr>
          <w:lang w:val="es-ES_tradnl"/>
        </w:rPr>
        <w:t>“r” y puede tomar valores que van entre −1 y + 1.</w:t>
      </w:r>
      <w:r>
        <w:rPr>
          <w:lang w:val="es-ES_tradnl"/>
        </w:rPr>
        <w:t xml:space="preserve"> </w:t>
      </w:r>
      <w:r w:rsidRPr="008E3C27">
        <w:rPr>
          <w:lang w:val="es-ES_tradnl"/>
        </w:rPr>
        <w:t>Un resultado de 0 significa que no hay correlación,</w:t>
      </w:r>
      <w:r>
        <w:rPr>
          <w:lang w:val="es-ES_tradnl"/>
        </w:rPr>
        <w:t xml:space="preserve"> </w:t>
      </w:r>
      <w:r w:rsidRPr="008E3C27">
        <w:rPr>
          <w:lang w:val="es-ES_tradnl"/>
        </w:rPr>
        <w:t>es decir, el comportamiento de una variable no se</w:t>
      </w:r>
      <w:r>
        <w:rPr>
          <w:lang w:val="es-ES_tradnl"/>
        </w:rPr>
        <w:t xml:space="preserve"> </w:t>
      </w:r>
      <w:r w:rsidRPr="008E3C27">
        <w:rPr>
          <w:lang w:val="es-ES_tradnl"/>
        </w:rPr>
        <w:t>relaciona con el comportamiento de la otra variable.</w:t>
      </w:r>
      <w:r>
        <w:rPr>
          <w:lang w:val="es-ES_tradnl"/>
        </w:rPr>
        <w:t xml:space="preserve"> </w:t>
      </w:r>
      <w:r w:rsidRPr="008E3C27">
        <w:rPr>
          <w:lang w:val="es-ES_tradnl"/>
        </w:rPr>
        <w:t>Una correlación perfecta implica un valor de −1 o</w:t>
      </w:r>
      <w:r>
        <w:rPr>
          <w:lang w:val="es-ES_tradnl"/>
        </w:rPr>
        <w:t xml:space="preserve"> </w:t>
      </w:r>
      <w:r w:rsidRPr="008E3C27">
        <w:rPr>
          <w:lang w:val="es-ES_tradnl"/>
        </w:rPr>
        <w:t>+ 1, lo cual indicaría que al conocer el valor de una</w:t>
      </w:r>
      <w:r>
        <w:rPr>
          <w:lang w:val="es-ES_tradnl"/>
        </w:rPr>
        <w:t xml:space="preserve"> variable sería posible </w:t>
      </w:r>
      <w:r w:rsidRPr="008E3C27">
        <w:rPr>
          <w:lang w:val="es-ES_tradnl"/>
        </w:rPr>
        <w:t>determinarse el valor de la</w:t>
      </w:r>
      <w:r>
        <w:rPr>
          <w:lang w:val="es-ES_tradnl"/>
        </w:rPr>
        <w:t xml:space="preserve"> </w:t>
      </w:r>
      <w:r w:rsidRPr="008E3C27">
        <w:rPr>
          <w:lang w:val="es-ES_tradnl"/>
        </w:rPr>
        <w:t>otra variable. Entre más cercano a 1 sea el coef</w:t>
      </w:r>
      <w:r>
        <w:rPr>
          <w:lang w:val="es-ES_tradnl"/>
        </w:rPr>
        <w:t>i</w:t>
      </w:r>
      <w:r w:rsidRPr="008E3C27">
        <w:rPr>
          <w:lang w:val="es-ES_tradnl"/>
        </w:rPr>
        <w:t>ciente de correlación, mayor la fuerza de asociación</w:t>
      </w:r>
      <w:r>
        <w:rPr>
          <w:lang w:val="es-ES_tradnl"/>
        </w:rPr>
        <w:t xml:space="preserve"> (</w:t>
      </w:r>
      <w:r w:rsidRPr="008E3C27">
        <w:rPr>
          <w:lang w:val="es-ES_tradnl"/>
        </w:rPr>
        <w:t>Ivonne Roy-García,</w:t>
      </w:r>
      <w:r>
        <w:rPr>
          <w:lang w:val="es-ES_tradnl"/>
        </w:rPr>
        <w:t xml:space="preserve"> </w:t>
      </w:r>
      <w:proofErr w:type="gramStart"/>
      <w:r>
        <w:rPr>
          <w:lang w:val="es-ES_tradnl"/>
        </w:rPr>
        <w:t>2019)(</w:t>
      </w:r>
      <w:proofErr w:type="gramEnd"/>
      <w:r w:rsidRPr="007C3032">
        <w:t xml:space="preserve"> </w:t>
      </w:r>
      <w:proofErr w:type="spellStart"/>
      <w:r w:rsidRPr="007C3032">
        <w:rPr>
          <w:lang w:val="es-ES_tradnl"/>
        </w:rPr>
        <w:t>Rev</w:t>
      </w:r>
      <w:proofErr w:type="spellEnd"/>
      <w:r w:rsidRPr="007C3032">
        <w:rPr>
          <w:lang w:val="es-ES_tradnl"/>
        </w:rPr>
        <w:t xml:space="preserve"> </w:t>
      </w:r>
      <w:proofErr w:type="spellStart"/>
      <w:r w:rsidRPr="007C3032">
        <w:rPr>
          <w:lang w:val="es-ES_tradnl"/>
        </w:rPr>
        <w:t>Chil</w:t>
      </w:r>
      <w:proofErr w:type="spellEnd"/>
      <w:r w:rsidRPr="007C3032">
        <w:rPr>
          <w:lang w:val="es-ES_tradnl"/>
        </w:rPr>
        <w:t xml:space="preserve"> </w:t>
      </w:r>
      <w:proofErr w:type="spellStart"/>
      <w:r w:rsidRPr="007C3032">
        <w:rPr>
          <w:lang w:val="es-ES_tradnl"/>
        </w:rPr>
        <w:t>Anest</w:t>
      </w:r>
      <w:proofErr w:type="spellEnd"/>
      <w:r w:rsidRPr="007C3032">
        <w:rPr>
          <w:lang w:val="es-ES_tradnl"/>
        </w:rPr>
        <w:t xml:space="preserve"> 2014; 43: 150-153Jorge Dagnino S.</w:t>
      </w:r>
      <w:r>
        <w:rPr>
          <w:lang w:val="es-ES_tradnl"/>
        </w:rPr>
        <w:t>)</w:t>
      </w:r>
    </w:p>
    <w:p w14:paraId="4EBBC468" w14:textId="77777777" w:rsidR="00915B86" w:rsidRPr="00046453" w:rsidRDefault="00915B86" w:rsidP="00046453">
      <w:pPr>
        <w:rPr>
          <w:lang w:val="es-ES_tradnl"/>
        </w:rPr>
      </w:pPr>
    </w:p>
    <w:p w14:paraId="20302F3B" w14:textId="77777777" w:rsidR="00A16170" w:rsidRDefault="00A16170" w:rsidP="001877EF">
      <w:pPr>
        <w:pStyle w:val="Ttulo1"/>
        <w:rPr>
          <w:sz w:val="24"/>
          <w:lang w:val="es-ES_tradnl"/>
        </w:rPr>
      </w:pPr>
      <w:r w:rsidRPr="001877EF">
        <w:t>CAPÍTULO</w:t>
      </w:r>
      <w:r w:rsidRPr="00FA1A3D">
        <w:rPr>
          <w:lang w:val="es-ES_tradnl"/>
        </w:rPr>
        <w:t xml:space="preserve"> 3. RESULTADOS Y DISCUSIÓN</w:t>
      </w:r>
      <w:r w:rsidRPr="00A16170">
        <w:rPr>
          <w:sz w:val="24"/>
          <w:lang w:val="es-ES_tradnl"/>
        </w:rPr>
        <w:t xml:space="preserve"> </w:t>
      </w:r>
    </w:p>
    <w:p w14:paraId="7390C04C" w14:textId="77777777"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Calibración</w:t>
      </w:r>
      <w:r>
        <w:rPr>
          <w:rFonts w:cs="Arial"/>
          <w:lang w:val="es-ES_tradnl"/>
        </w:rPr>
        <w:t xml:space="preserve"> </w:t>
      </w:r>
    </w:p>
    <w:p w14:paraId="132E29F5" w14:textId="77777777"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Estimación del rendimiento con la utilización </w:t>
      </w:r>
      <w:proofErr w:type="gram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 biofertilizantes</w:t>
      </w:r>
      <w:proofErr w:type="gram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EcoMic</w:t>
      </w:r>
      <w:proofErr w:type="spellEnd"/>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D0C69B4" w14:textId="77777777" w:rsidR="00A16170" w:rsidRPr="00FA1A3D" w:rsidRDefault="00A16170" w:rsidP="00FA1A3D">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Validación</w:t>
      </w:r>
    </w:p>
    <w:p w14:paraId="60222244" w14:textId="11F35274"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Simulación</w:t>
      </w:r>
      <w:r>
        <w:rPr>
          <w:rFonts w:cs="Arial"/>
          <w:lang w:val="es-ES_tradnl"/>
        </w:rPr>
        <w:t xml:space="preserve"> </w:t>
      </w:r>
    </w:p>
    <w:p w14:paraId="3EAEF8B8" w14:textId="0C7678A3" w:rsidR="00C56C04" w:rsidRPr="00C56C04" w:rsidRDefault="00A1112D" w:rsidP="00C56C04">
      <w:pPr>
        <w:rPr>
          <w:lang w:val="es-ES_tradnl"/>
        </w:rPr>
      </w:pPr>
      <w:r>
        <w:t>En el presente estudio se midieron las variables agronómicas, climáticas en el invernadero, propiedades físicas del sustrato y volumen de agua aplicado a las plantas, y se desarrolló un modelo de simulación a partir de una función senoidal en Matlab.</w:t>
      </w:r>
    </w:p>
    <w:p w14:paraId="03451C96" w14:textId="77777777" w:rsidR="00A16170" w:rsidRDefault="00A16170" w:rsidP="001877EF">
      <w:pPr>
        <w:pStyle w:val="Ttulo1"/>
        <w:rPr>
          <w:sz w:val="24"/>
          <w:lang w:val="es-ES_tradnl"/>
        </w:rPr>
      </w:pPr>
      <w:r w:rsidRPr="001877EF">
        <w:lastRenderedPageBreak/>
        <w:t>CONCLUSIONES</w:t>
      </w:r>
    </w:p>
    <w:p w14:paraId="2D9A750E" w14:textId="77777777" w:rsidR="00A16170" w:rsidRPr="00FA1A3D" w:rsidRDefault="00A16170" w:rsidP="001877EF">
      <w:pPr>
        <w:pStyle w:val="Ttulo1"/>
        <w:rPr>
          <w:lang w:val="es-ES_tradnl"/>
        </w:rPr>
      </w:pPr>
      <w:r w:rsidRPr="001877EF">
        <w:t>RECOMENDACIONES</w:t>
      </w:r>
    </w:p>
    <w:p w14:paraId="01105DAB" w14:textId="28EDCCFE" w:rsidR="004B3728" w:rsidRDefault="004B3728" w:rsidP="001877EF">
      <w:pPr>
        <w:pStyle w:val="Ttulo1"/>
        <w:rPr>
          <w:sz w:val="24"/>
          <w:lang w:val="es-ES_tradnl"/>
        </w:rPr>
      </w:pPr>
      <w:r>
        <w:rPr>
          <w:sz w:val="24"/>
          <w:lang w:val="es-ES_tradnl"/>
        </w:rPr>
        <w:br w:type="page"/>
      </w:r>
    </w:p>
    <w:p w14:paraId="33D45823" w14:textId="77777777" w:rsidR="004F160A" w:rsidRDefault="004F160A" w:rsidP="00497013">
      <w:pPr>
        <w:spacing w:line="360" w:lineRule="auto"/>
        <w:jc w:val="both"/>
        <w:rPr>
          <w:rFonts w:ascii="Arial" w:hAnsi="Arial" w:cs="Arial"/>
          <w:sz w:val="24"/>
          <w:lang w:val="es-ES_tradnl"/>
        </w:rPr>
      </w:pPr>
    </w:p>
    <w:p w14:paraId="0BEDAC27" w14:textId="7A877688" w:rsidR="004F160A" w:rsidRPr="00963BA4" w:rsidRDefault="004F160A" w:rsidP="001877EF">
      <w:pPr>
        <w:pStyle w:val="Ttulo1"/>
      </w:pPr>
      <w:r w:rsidRPr="00963BA4">
        <w:t xml:space="preserve">REFERENCIAS </w:t>
      </w:r>
      <w:r w:rsidRPr="001877EF">
        <w:t>BIBLIOGRÁFICAS</w:t>
      </w:r>
      <w:r w:rsidRPr="00963BA4">
        <w:t xml:space="preserve"> </w:t>
      </w:r>
    </w:p>
    <w:p w14:paraId="4B89E0EF" w14:textId="77777777" w:rsidR="00A650E8" w:rsidRPr="00A650E8" w:rsidRDefault="000C6959" w:rsidP="00A650E8">
      <w:pPr>
        <w:pStyle w:val="Bibliografa"/>
        <w:rPr>
          <w:lang w:val="en-US"/>
        </w:rPr>
      </w:pPr>
      <w:r>
        <w:rPr>
          <w:lang w:val="es-ES_tradnl"/>
        </w:rPr>
        <w:fldChar w:fldCharType="begin"/>
      </w:r>
      <w:r w:rsidR="00633438" w:rsidRPr="0041551E">
        <w:instrText xml:space="preserve"> ADDIN ZOTERO_BIBL {"uncited":[],"omitted":[],"custom":[]} CSL_BIBLIOGRAPHY </w:instrText>
      </w:r>
      <w:r>
        <w:rPr>
          <w:lang w:val="es-ES_tradnl"/>
        </w:rPr>
        <w:fldChar w:fldCharType="separate"/>
      </w:r>
      <w:r w:rsidR="00A650E8" w:rsidRPr="0041551E">
        <w:t xml:space="preserve">Abou El-Enin, M. M., Abo-Remaila, S. I., &amp; Mahmoud, A. S. (2016). </w:t>
      </w:r>
      <w:r w:rsidR="00A650E8" w:rsidRPr="00A650E8">
        <w:rPr>
          <w:lang w:val="en-US"/>
        </w:rPr>
        <w:t xml:space="preserve">Application and Evaluation of DSSAT V.4.6.1 Program for Simulation of Wheat and Soybean yields in Egypt. </w:t>
      </w:r>
      <w:r w:rsidR="00A650E8" w:rsidRPr="00A650E8">
        <w:rPr>
          <w:i/>
          <w:iCs/>
          <w:lang w:val="en-US"/>
        </w:rPr>
        <w:t>Journal of Basic and Environmental Sciences</w:t>
      </w:r>
      <w:r w:rsidR="00A650E8" w:rsidRPr="00A650E8">
        <w:rPr>
          <w:lang w:val="en-US"/>
        </w:rPr>
        <w:t xml:space="preserve">, </w:t>
      </w:r>
      <w:r w:rsidR="00A650E8" w:rsidRPr="00A650E8">
        <w:rPr>
          <w:i/>
          <w:iCs/>
          <w:lang w:val="en-US"/>
        </w:rPr>
        <w:t>3</w:t>
      </w:r>
      <w:r w:rsidR="00A650E8" w:rsidRPr="00A650E8">
        <w:rPr>
          <w:lang w:val="en-US"/>
        </w:rPr>
        <w:t>, 85-97.</w:t>
      </w:r>
    </w:p>
    <w:p w14:paraId="03870D24" w14:textId="77777777" w:rsidR="00A650E8" w:rsidRPr="00A650E8" w:rsidRDefault="00A650E8" w:rsidP="00A650E8">
      <w:pPr>
        <w:pStyle w:val="Bibliografa"/>
        <w:rPr>
          <w:lang w:val="en-US"/>
        </w:rPr>
      </w:pPr>
      <w:r w:rsidRPr="00A650E8">
        <w:rPr>
          <w:lang w:val="en-US"/>
        </w:rPr>
        <w:t xml:space="preserve">Acosta, R., Colomer, A., Ríos, H., &amp; Martínez, M. (2013). </w:t>
      </w:r>
      <w:r>
        <w:t xml:space="preserve">Evaluación morfoagronómica de una población de maíz (Zea mays, L.) en condiciones de polinización abierta en el municipio Batabanó, provincia Mayabeque. </w:t>
      </w:r>
      <w:r w:rsidRPr="00A650E8">
        <w:rPr>
          <w:i/>
          <w:iCs/>
          <w:lang w:val="en-US"/>
        </w:rPr>
        <w:t>Cultivos Tropicales</w:t>
      </w:r>
      <w:r w:rsidRPr="00A650E8">
        <w:rPr>
          <w:lang w:val="en-US"/>
        </w:rPr>
        <w:t xml:space="preserve">, </w:t>
      </w:r>
      <w:r w:rsidRPr="00A650E8">
        <w:rPr>
          <w:i/>
          <w:iCs/>
          <w:lang w:val="en-US"/>
        </w:rPr>
        <w:t>34</w:t>
      </w:r>
      <w:r w:rsidRPr="00A650E8">
        <w:rPr>
          <w:lang w:val="en-US"/>
        </w:rPr>
        <w:t>(2), 52-60.</w:t>
      </w:r>
    </w:p>
    <w:p w14:paraId="6F0FC929" w14:textId="77777777" w:rsidR="00A650E8" w:rsidRPr="00A650E8" w:rsidRDefault="00A650E8" w:rsidP="00A650E8">
      <w:pPr>
        <w:pStyle w:val="Bibliografa"/>
        <w:rPr>
          <w:lang w:val="en-US"/>
        </w:rPr>
      </w:pPr>
      <w:r w:rsidRPr="00A650E8">
        <w:rPr>
          <w:lang w:val="en-US"/>
        </w:rPr>
        <w:lastRenderedPageBreak/>
        <w:t xml:space="preserve">Ahmed, M., Akram, M. N., Asim, M., Aslam, M., Hassan, F., Higgins, S., Stöckle, C. O., &amp; Hoogenboom, G. (2016). Calibration and validation of APSIM-Wheat and CERES-Wheat for spring wheat under rainfed conditions: Models evaluation and application. </w:t>
      </w:r>
      <w:r w:rsidRPr="00A650E8">
        <w:rPr>
          <w:i/>
          <w:iCs/>
          <w:lang w:val="en-US"/>
        </w:rPr>
        <w:t>Computers and Electronics in Agriculture</w:t>
      </w:r>
      <w:r w:rsidRPr="00A650E8">
        <w:rPr>
          <w:lang w:val="en-US"/>
        </w:rPr>
        <w:t xml:space="preserve">, </w:t>
      </w:r>
      <w:r w:rsidRPr="00A650E8">
        <w:rPr>
          <w:i/>
          <w:iCs/>
          <w:lang w:val="en-US"/>
        </w:rPr>
        <w:t>123</w:t>
      </w:r>
      <w:r w:rsidRPr="00A650E8">
        <w:rPr>
          <w:lang w:val="en-US"/>
        </w:rPr>
        <w:t>, 384-401. https://doi.org/10.1016/j.compag.2016.03.015</w:t>
      </w:r>
    </w:p>
    <w:p w14:paraId="4BA514BE" w14:textId="77777777" w:rsidR="00A650E8" w:rsidRPr="00A650E8" w:rsidRDefault="00A650E8" w:rsidP="00A650E8">
      <w:pPr>
        <w:pStyle w:val="Bibliografa"/>
        <w:rPr>
          <w:lang w:val="en-US"/>
        </w:rPr>
      </w:pPr>
      <w:r w:rsidRPr="00A650E8">
        <w:rPr>
          <w:lang w:val="en-US"/>
        </w:rPr>
        <w:t xml:space="preserve">Anwar, M. R., Liu, D. L., Farquharson, R., Macadam, I., Abadi, A., Finlayson, J., Wang, B., &amp; Ramilan, T. (2015). Climate change impacts on phenology and yields of five broadacre crops at four </w:t>
      </w:r>
      <w:r w:rsidRPr="00A650E8">
        <w:rPr>
          <w:lang w:val="en-US"/>
        </w:rPr>
        <w:lastRenderedPageBreak/>
        <w:t xml:space="preserve">climatologically distinct locations in Australia. </w:t>
      </w:r>
      <w:r w:rsidRPr="00A650E8">
        <w:rPr>
          <w:i/>
          <w:iCs/>
          <w:lang w:val="en-US"/>
        </w:rPr>
        <w:t>Agricultural Systems</w:t>
      </w:r>
      <w:r w:rsidRPr="00A650E8">
        <w:rPr>
          <w:lang w:val="en-US"/>
        </w:rPr>
        <w:t xml:space="preserve">, </w:t>
      </w:r>
      <w:r w:rsidRPr="00A650E8">
        <w:rPr>
          <w:i/>
          <w:iCs/>
          <w:lang w:val="en-US"/>
        </w:rPr>
        <w:t>132</w:t>
      </w:r>
      <w:r w:rsidRPr="00A650E8">
        <w:rPr>
          <w:lang w:val="en-US"/>
        </w:rPr>
        <w:t>, 133-144. https://doi.org/10.1016/j.agsy.2014.09.010</w:t>
      </w:r>
    </w:p>
    <w:p w14:paraId="171997C4" w14:textId="77777777" w:rsidR="00A650E8" w:rsidRPr="00A650E8" w:rsidRDefault="00A650E8" w:rsidP="00A650E8">
      <w:pPr>
        <w:pStyle w:val="Bibliografa"/>
        <w:rPr>
          <w:lang w:val="en-US"/>
        </w:rPr>
      </w:pPr>
      <w:r w:rsidRPr="00A650E8">
        <w:rPr>
          <w:lang w:val="en-US"/>
        </w:rPr>
        <w:t xml:space="preserve">Arias, P., Bellouin, N., Coppola, E., Jones, R., Krinner, G., Marotzke, J., Naik, V., Palmer, M., Plattner, G.-K., Rogelj, J., Rojas, M., Sillmann, J., Storelvmo, T., Thorne, P., Trewin, B., Achutarao, K., Adhikary, B., Allan, R., Armour, K., … Zickfeld, K. (2021). </w:t>
      </w:r>
      <w:r w:rsidRPr="00A650E8">
        <w:rPr>
          <w:i/>
          <w:iCs/>
          <w:lang w:val="en-US"/>
        </w:rPr>
        <w:t>Climate Change 2021: The Physical Science Basis. Contribution of Working Group I to the Sixth Assessment Report of the Intergovernmental Panel on Climate Change; Technical Summary</w:t>
      </w:r>
      <w:r w:rsidRPr="00A650E8">
        <w:rPr>
          <w:lang w:val="en-US"/>
        </w:rPr>
        <w:t xml:space="preserve"> (V. Masson-Delmotte, P. Zhai, A. Pirani, S. L. Conners, C. Péan, </w:t>
      </w:r>
      <w:r w:rsidRPr="00A650E8">
        <w:rPr>
          <w:lang w:val="en-US"/>
        </w:rPr>
        <w:lastRenderedPageBreak/>
        <w:t>S. Berger, N. Caud, Y. Chen, L. Goldfarb, M. I. Gomis, M. Huang, K. Leitzell, E. Lonnoy, J. B. R. Matthews, T. K. Maycock, T. Waterfield, O. Yelekçi, R. Yu, &amp; B. Zhou, Eds.). https://www.ipcc.ch/report/ar6/wg1/</w:t>
      </w:r>
    </w:p>
    <w:p w14:paraId="4BDFEC68" w14:textId="77777777" w:rsidR="00A650E8" w:rsidRPr="00A650E8" w:rsidRDefault="00A650E8" w:rsidP="00A650E8">
      <w:pPr>
        <w:pStyle w:val="Bibliografa"/>
        <w:rPr>
          <w:lang w:val="en-US"/>
        </w:rPr>
      </w:pPr>
      <w:r w:rsidRPr="00A650E8">
        <w:rPr>
          <w:lang w:val="en-US"/>
        </w:rPr>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sidRPr="00A650E8">
        <w:rPr>
          <w:i/>
          <w:iCs/>
          <w:lang w:val="en-US"/>
        </w:rPr>
        <w:t>Nature Climate Change</w:t>
      </w:r>
      <w:r w:rsidRPr="00A650E8">
        <w:rPr>
          <w:lang w:val="en-US"/>
        </w:rPr>
        <w:t xml:space="preserve">, </w:t>
      </w:r>
      <w:r w:rsidRPr="00A650E8">
        <w:rPr>
          <w:i/>
          <w:iCs/>
          <w:lang w:val="en-US"/>
        </w:rPr>
        <w:t>5</w:t>
      </w:r>
      <w:r w:rsidRPr="00A650E8">
        <w:rPr>
          <w:lang w:val="en-US"/>
        </w:rPr>
        <w:t>, 143.</w:t>
      </w:r>
    </w:p>
    <w:p w14:paraId="687D2014" w14:textId="77777777" w:rsidR="00A650E8" w:rsidRDefault="00A650E8" w:rsidP="00A650E8">
      <w:pPr>
        <w:pStyle w:val="Bibliografa"/>
      </w:pPr>
      <w:r w:rsidRPr="00A650E8">
        <w:rPr>
          <w:lang w:val="en-US"/>
        </w:rPr>
        <w:lastRenderedPageBreak/>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14:paraId="2344985A" w14:textId="77777777" w:rsidR="00A650E8" w:rsidRDefault="00A650E8" w:rsidP="00A650E8">
      <w:pPr>
        <w:pStyle w:val="Bibliografa"/>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14:paraId="19957C8E" w14:textId="77777777" w:rsidR="00A650E8" w:rsidRPr="00A650E8" w:rsidRDefault="00A650E8" w:rsidP="00A650E8">
      <w:pPr>
        <w:pStyle w:val="Bibliografa"/>
        <w:rPr>
          <w:lang w:val="en-US"/>
        </w:rPr>
      </w:pPr>
      <w:r>
        <w:t xml:space="preserve">Ayala, C., &amp; Dabdab, P. (2020). Factores que influyen en la recomendación de uso del maíz criollo: Un estudio para extensionistas salvadoreños. </w:t>
      </w:r>
      <w:r w:rsidRPr="00A650E8">
        <w:rPr>
          <w:i/>
          <w:iCs/>
          <w:lang w:val="en-US"/>
        </w:rPr>
        <w:t>Trabajo y Sociedad</w:t>
      </w:r>
      <w:r w:rsidRPr="00A650E8">
        <w:rPr>
          <w:lang w:val="en-US"/>
        </w:rPr>
        <w:t xml:space="preserve">, </w:t>
      </w:r>
      <w:r w:rsidRPr="00A650E8">
        <w:rPr>
          <w:i/>
          <w:iCs/>
          <w:lang w:val="en-US"/>
        </w:rPr>
        <w:t>21</w:t>
      </w:r>
      <w:r w:rsidRPr="00A650E8">
        <w:rPr>
          <w:lang w:val="en-US"/>
        </w:rPr>
        <w:t>(34), 211-220.</w:t>
      </w:r>
    </w:p>
    <w:p w14:paraId="16D80E7B" w14:textId="77777777" w:rsidR="00A650E8" w:rsidRPr="00A650E8" w:rsidRDefault="00A650E8" w:rsidP="00A650E8">
      <w:pPr>
        <w:pStyle w:val="Bibliografa"/>
        <w:rPr>
          <w:lang w:val="en-US"/>
        </w:rPr>
      </w:pPr>
      <w:r w:rsidRPr="00A650E8">
        <w:rPr>
          <w:lang w:val="en-US"/>
        </w:rPr>
        <w:lastRenderedPageBreak/>
        <w:t xml:space="preserve">Barrett, J. R., &amp; Nearing, M. A. (1998). Humanization of decision support using information from simulations. </w:t>
      </w:r>
      <w:r w:rsidRPr="00A650E8">
        <w:rPr>
          <w:i/>
          <w:iCs/>
          <w:lang w:val="en-US"/>
        </w:rPr>
        <w:t>Agricultural systems modeling and simulation</w:t>
      </w:r>
      <w:r w:rsidRPr="00A650E8">
        <w:rPr>
          <w:lang w:val="en-US"/>
        </w:rPr>
        <w:t>, 1-17.</w:t>
      </w:r>
    </w:p>
    <w:p w14:paraId="79B055AE" w14:textId="77777777" w:rsidR="00A650E8" w:rsidRPr="00A650E8" w:rsidRDefault="00A650E8" w:rsidP="00A650E8">
      <w:pPr>
        <w:pStyle w:val="Bibliografa"/>
        <w:rPr>
          <w:lang w:val="en-US"/>
        </w:rPr>
      </w:pPr>
      <w:r w:rsidRPr="00A650E8">
        <w:rPr>
          <w:lang w:val="en-US"/>
        </w:rPr>
        <w:t xml:space="preserve">Bouman, B. A. M. (2001). </w:t>
      </w:r>
      <w:r w:rsidRPr="00A650E8">
        <w:rPr>
          <w:i/>
          <w:iCs/>
          <w:lang w:val="en-US"/>
        </w:rPr>
        <w:t>ORYZA2000: Modeling lowland rice</w:t>
      </w:r>
      <w:r w:rsidRPr="00A650E8">
        <w:rPr>
          <w:lang w:val="en-US"/>
        </w:rPr>
        <w:t>. IRRI.</w:t>
      </w:r>
    </w:p>
    <w:p w14:paraId="7CD3DB9C" w14:textId="77777777" w:rsidR="00A650E8" w:rsidRPr="00A650E8" w:rsidRDefault="00A650E8" w:rsidP="00A650E8">
      <w:pPr>
        <w:pStyle w:val="Bibliografa"/>
        <w:rPr>
          <w:lang w:val="en-US"/>
        </w:rPr>
      </w:pPr>
      <w:r w:rsidRPr="00A650E8">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w:t>
      </w:r>
      <w:r w:rsidRPr="00A650E8">
        <w:rPr>
          <w:lang w:val="en-US"/>
        </w:rPr>
        <w:lastRenderedPageBreak/>
        <w:t xml:space="preserve">crops and their water and nitrogen balances. I. Theory and parameterization applied to wheat and corn. </w:t>
      </w:r>
      <w:r w:rsidRPr="00A650E8">
        <w:rPr>
          <w:i/>
          <w:iCs/>
          <w:lang w:val="en-US"/>
        </w:rPr>
        <w:t>Agronomie</w:t>
      </w:r>
      <w:r w:rsidRPr="00A650E8">
        <w:rPr>
          <w:lang w:val="en-US"/>
        </w:rPr>
        <w:t xml:space="preserve">, </w:t>
      </w:r>
      <w:r w:rsidRPr="00A650E8">
        <w:rPr>
          <w:i/>
          <w:iCs/>
          <w:lang w:val="en-US"/>
        </w:rPr>
        <w:t>18</w:t>
      </w:r>
      <w:r w:rsidRPr="00A650E8">
        <w:rPr>
          <w:lang w:val="en-US"/>
        </w:rPr>
        <w:t>(5-6), 311-346. https://doi.org/10.1051/agro:19980501</w:t>
      </w:r>
    </w:p>
    <w:p w14:paraId="669CE2FC" w14:textId="77777777" w:rsidR="00A650E8" w:rsidRDefault="00A650E8" w:rsidP="00A650E8">
      <w:pPr>
        <w:pStyle w:val="Bibliografa"/>
      </w:pPr>
      <w:r>
        <w:t xml:space="preserve">Cabrales H, E. M., Toro, M., &amp; López Hernández, D. (2017). </w:t>
      </w:r>
      <w:r>
        <w:rPr>
          <w:i/>
          <w:iCs/>
        </w:rPr>
        <w:t>Efecto de micorrizas nativas y fósforo en los rendimientos del maíz en Guárico, Venezuela</w:t>
      </w:r>
      <w:r>
        <w:t>. https://repositorio.unicordoba.edu.co/handle/ucordoba/312</w:t>
      </w:r>
    </w:p>
    <w:p w14:paraId="2BBCCC5E" w14:textId="77777777" w:rsidR="00A650E8" w:rsidRDefault="00A650E8" w:rsidP="00A650E8">
      <w:pPr>
        <w:pStyle w:val="Bibliografa"/>
      </w:pPr>
      <w:r>
        <w:t xml:space="preserve">CEPAL, N. (2022). </w:t>
      </w:r>
      <w:r>
        <w:rPr>
          <w:i/>
          <w:iCs/>
        </w:rPr>
        <w:t>Informe de la Cuarta Reunión de la Conferencia Regional sobre Desarrollo Social de América Latina y el Caribe</w:t>
      </w:r>
      <w:r>
        <w:t xml:space="preserve">. </w:t>
      </w:r>
      <w:r>
        <w:lastRenderedPageBreak/>
        <w:t>https://repositorio.cepal.org/server/api/core/bitstreams/4db5c492-307c-471f-8165-97b0785c625e/content</w:t>
      </w:r>
    </w:p>
    <w:p w14:paraId="04F8FE6E" w14:textId="77777777" w:rsidR="00A650E8" w:rsidRPr="00A650E8" w:rsidRDefault="00A650E8" w:rsidP="00A650E8">
      <w:pPr>
        <w:pStyle w:val="Bibliografa"/>
        <w:rPr>
          <w:lang w:val="en-US"/>
        </w:rPr>
      </w:pPr>
      <w:r w:rsidRPr="00A650E8">
        <w:rPr>
          <w:lang w:val="en-US"/>
        </w:rPr>
        <w:t xml:space="preserve">CONACYT. (2019). </w:t>
      </w:r>
      <w:r w:rsidRPr="00A650E8">
        <w:rPr>
          <w:i/>
          <w:iCs/>
          <w:lang w:val="en-US"/>
        </w:rPr>
        <w:t>Maíz</w:t>
      </w:r>
      <w:r w:rsidRPr="00A650E8">
        <w:rPr>
          <w:lang w:val="en-US"/>
        </w:rPr>
        <w:t>. https://conacyt.mx/cibiogem/index.php/maiz</w:t>
      </w:r>
    </w:p>
    <w:p w14:paraId="5F4571FD" w14:textId="77777777" w:rsidR="00A650E8" w:rsidRPr="00A650E8" w:rsidRDefault="00A650E8" w:rsidP="00A650E8">
      <w:pPr>
        <w:pStyle w:val="Bibliografa"/>
        <w:rPr>
          <w:lang w:val="en-US"/>
        </w:rPr>
      </w:pPr>
      <w:r w:rsidRPr="00A650E8">
        <w:rPr>
          <w:lang w:val="en-US"/>
        </w:rPr>
        <w:t xml:space="preserve">Corbeels, M., Chirat, G., Messad, S., &amp; Thierfelder, C. (2016). Performance and sensitivity of the DSSAT crop growth model in simulating maize yield under conservation agriculture. </w:t>
      </w:r>
      <w:r w:rsidRPr="00A650E8">
        <w:rPr>
          <w:i/>
          <w:iCs/>
          <w:lang w:val="en-US"/>
        </w:rPr>
        <w:t>European Journal of Agronomy</w:t>
      </w:r>
      <w:r w:rsidRPr="00A650E8">
        <w:rPr>
          <w:lang w:val="en-US"/>
        </w:rPr>
        <w:t xml:space="preserve">, </w:t>
      </w:r>
      <w:r w:rsidRPr="00A650E8">
        <w:rPr>
          <w:i/>
          <w:iCs/>
          <w:lang w:val="en-US"/>
        </w:rPr>
        <w:t>76</w:t>
      </w:r>
      <w:r w:rsidRPr="00A650E8">
        <w:rPr>
          <w:lang w:val="en-US"/>
        </w:rPr>
        <w:t>, 41-53. https://doi.org/10.1016/j.eja.2016.02.001</w:t>
      </w:r>
    </w:p>
    <w:p w14:paraId="0632E150" w14:textId="77777777" w:rsidR="00A650E8" w:rsidRPr="00A650E8" w:rsidRDefault="00A650E8" w:rsidP="00A650E8">
      <w:pPr>
        <w:pStyle w:val="Bibliografa"/>
        <w:rPr>
          <w:lang w:val="en-US"/>
        </w:rPr>
      </w:pPr>
      <w:r w:rsidRPr="00A650E8">
        <w:rPr>
          <w:lang w:val="en-US"/>
        </w:rPr>
        <w:lastRenderedPageBreak/>
        <w:t xml:space="preserve">De Wit, C. T. (1986). Modelling Agricultural Production. </w:t>
      </w:r>
      <w:r w:rsidRPr="00A650E8">
        <w:rPr>
          <w:i/>
          <w:iCs/>
          <w:lang w:val="en-US"/>
        </w:rPr>
        <w:t>Acta Horticulturae</w:t>
      </w:r>
      <w:r w:rsidRPr="00A650E8">
        <w:rPr>
          <w:lang w:val="en-US"/>
        </w:rPr>
        <w:t xml:space="preserve">, </w:t>
      </w:r>
      <w:r w:rsidRPr="00A650E8">
        <w:rPr>
          <w:i/>
          <w:iCs/>
          <w:lang w:val="en-US"/>
        </w:rPr>
        <w:t>184</w:t>
      </w:r>
      <w:r w:rsidRPr="00A650E8">
        <w:rPr>
          <w:lang w:val="en-US"/>
        </w:rPr>
        <w:t>, 59-70.</w:t>
      </w:r>
    </w:p>
    <w:p w14:paraId="68FA6AD7" w14:textId="77777777" w:rsidR="00A650E8" w:rsidRPr="00A650E8" w:rsidRDefault="00A650E8" w:rsidP="00A650E8">
      <w:pPr>
        <w:pStyle w:val="Bibliografa"/>
        <w:rPr>
          <w:lang w:val="en-US"/>
        </w:rPr>
      </w:pPr>
      <w:r w:rsidRPr="00A650E8">
        <w:rPr>
          <w:lang w:val="en-US"/>
        </w:rPr>
        <w:t xml:space="preserve">Dong, C., Hu, D., Fu, Y., Wang, M., &amp; Liu, H. (2014). Analysis and optimization of the effect of light and nutrient solution on wheat growth and development using an inverse system model strategy. </w:t>
      </w:r>
      <w:r w:rsidRPr="00A650E8">
        <w:rPr>
          <w:i/>
          <w:iCs/>
          <w:lang w:val="en-US"/>
        </w:rPr>
        <w:t>Computers and Electronics in Agriculture</w:t>
      </w:r>
      <w:r w:rsidRPr="00A650E8">
        <w:rPr>
          <w:lang w:val="en-US"/>
        </w:rPr>
        <w:t xml:space="preserve">, </w:t>
      </w:r>
      <w:r w:rsidRPr="00A650E8">
        <w:rPr>
          <w:i/>
          <w:iCs/>
          <w:lang w:val="en-US"/>
        </w:rPr>
        <w:t>109</w:t>
      </w:r>
      <w:r w:rsidRPr="00A650E8">
        <w:rPr>
          <w:lang w:val="en-US"/>
        </w:rPr>
        <w:t>, 221-231. https://doi.org/10.1016/j.compag.2014.10.013</w:t>
      </w:r>
    </w:p>
    <w:p w14:paraId="69E19D75" w14:textId="77777777" w:rsidR="00A650E8" w:rsidRDefault="00A650E8" w:rsidP="00A650E8">
      <w:pPr>
        <w:pStyle w:val="Bibliografa"/>
      </w:pPr>
      <w:r>
        <w:t>Duran-Peralta, E., Acuayte-Valdes, E., Acuayte-Valdes, M. del C., Hernández-López, J. C., López-Cruz, I. L., Duran-Peralta, E., Acuayte-Valdes, E., Acuayte-Valdes, M. del C., Hernández-Ló</w:t>
      </w:r>
      <w:r>
        <w:lastRenderedPageBreak/>
        <w:t xml:space="preserve">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0F628C2A" w14:textId="77777777" w:rsidR="00A650E8" w:rsidRPr="00A650E8" w:rsidRDefault="00A650E8" w:rsidP="00A650E8">
      <w:pPr>
        <w:pStyle w:val="Bibliografa"/>
        <w:rPr>
          <w:lang w:val="en-US"/>
        </w:rPr>
      </w:pPr>
      <w:r w:rsidRPr="00A650E8">
        <w:rPr>
          <w:lang w:val="en-US"/>
        </w:rPr>
        <w:t xml:space="preserve">Fageria, N. (2007). Yield physiology of rice. </w:t>
      </w:r>
      <w:r w:rsidRPr="00A650E8">
        <w:rPr>
          <w:i/>
          <w:iCs/>
          <w:lang w:val="en-US"/>
        </w:rPr>
        <w:t>Journal of Plant Nutrition</w:t>
      </w:r>
      <w:r w:rsidRPr="00A650E8">
        <w:rPr>
          <w:lang w:val="en-US"/>
        </w:rPr>
        <w:t xml:space="preserve">, </w:t>
      </w:r>
      <w:r w:rsidRPr="00A650E8">
        <w:rPr>
          <w:i/>
          <w:iCs/>
          <w:lang w:val="en-US"/>
        </w:rPr>
        <w:t>30</w:t>
      </w:r>
      <w:r w:rsidRPr="00A650E8">
        <w:rPr>
          <w:lang w:val="en-US"/>
        </w:rPr>
        <w:t>, 843-879. https://doi.org/10.1080/15226510701374831</w:t>
      </w:r>
    </w:p>
    <w:p w14:paraId="52A7E7FF" w14:textId="77777777" w:rsidR="00A650E8" w:rsidRPr="00A650E8" w:rsidRDefault="00A650E8" w:rsidP="00A650E8">
      <w:pPr>
        <w:pStyle w:val="Bibliografa"/>
        <w:rPr>
          <w:lang w:val="en-US"/>
        </w:rPr>
      </w:pPr>
      <w:r w:rsidRPr="00A650E8">
        <w:rPr>
          <w:lang w:val="en-US"/>
        </w:rPr>
        <w:t xml:space="preserve">FAOSTAT. (2020). </w:t>
      </w:r>
      <w:r w:rsidRPr="00A650E8">
        <w:rPr>
          <w:i/>
          <w:iCs/>
          <w:lang w:val="en-US"/>
        </w:rPr>
        <w:t>Crops</w:t>
      </w:r>
      <w:r w:rsidRPr="00A650E8">
        <w:rPr>
          <w:lang w:val="en-US"/>
        </w:rPr>
        <w:t>. Food and Agriculture Organization of the United Nations. https://www.fao.org/faostat/</w:t>
      </w:r>
    </w:p>
    <w:p w14:paraId="0E7BF915" w14:textId="77777777" w:rsidR="00A650E8" w:rsidRDefault="00A650E8" w:rsidP="00A650E8">
      <w:pPr>
        <w:pStyle w:val="Bibliografa"/>
      </w:pPr>
      <w:r>
        <w:lastRenderedPageBreak/>
        <w:t xml:space="preserve">Gálvez, G. (2008). Modelación del crecimiento de las plantas. Modelación de cultivos agrícolas. </w:t>
      </w:r>
      <w:r>
        <w:rPr>
          <w:i/>
          <w:iCs/>
        </w:rPr>
        <w:t>Seminario de modelación de cultivos.(1: 2008 mar. 13-14)</w:t>
      </w:r>
      <w:r>
        <w:t>.</w:t>
      </w:r>
    </w:p>
    <w:p w14:paraId="450F4D21" w14:textId="77777777" w:rsidR="00A650E8" w:rsidRDefault="00A650E8" w:rsidP="00A650E8">
      <w:pPr>
        <w:pStyle w:val="Bibliografa"/>
      </w:pPr>
      <w:r>
        <w:t xml:space="preserve">Gálvez, G., Sigarroa, A., López, T., &amp; Fernández, J. (2010). MODELACIÓN DE CULTIVOS AGRÍCOLAS. ALGUNOS EJEMPLOS. </w:t>
      </w:r>
      <w:r>
        <w:rPr>
          <w:i/>
          <w:iCs/>
        </w:rPr>
        <w:t>Cultivos Tropicales</w:t>
      </w:r>
      <w:r>
        <w:t xml:space="preserve">, </w:t>
      </w:r>
      <w:r>
        <w:rPr>
          <w:i/>
          <w:iCs/>
        </w:rPr>
        <w:t>31</w:t>
      </w:r>
      <w:r>
        <w:t>(3), 60-65.</w:t>
      </w:r>
    </w:p>
    <w:p w14:paraId="770ED529" w14:textId="77777777" w:rsidR="00A650E8" w:rsidRDefault="00A650E8" w:rsidP="00A650E8">
      <w:pPr>
        <w:pStyle w:val="Bibliografa"/>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0F146E7F" w14:textId="77777777" w:rsidR="00A650E8" w:rsidRDefault="00A650E8" w:rsidP="00A650E8">
      <w:pPr>
        <w:pStyle w:val="Bibliografa"/>
      </w:pPr>
      <w:r>
        <w:t xml:space="preserve">Guevara, E. (2007). </w:t>
      </w:r>
      <w:r>
        <w:rPr>
          <w:i/>
          <w:iCs/>
        </w:rPr>
        <w:t>La simulación del desarrollo, crecimiento y rendimiento en maíz</w:t>
      </w:r>
      <w:r>
        <w:t>. 37.</w:t>
      </w:r>
    </w:p>
    <w:p w14:paraId="1DDFC77E" w14:textId="77777777" w:rsidR="00A650E8" w:rsidRDefault="00A650E8" w:rsidP="00A650E8">
      <w:pPr>
        <w:pStyle w:val="Bibliografa"/>
      </w:pPr>
      <w:r>
        <w:lastRenderedPageBreak/>
        <w:t xml:space="preserve">Hernández, N., Soto, F., &amp; Caballero, A. (2009). Modelos de simulación de cultivos: Características y usos. </w:t>
      </w:r>
      <w:r>
        <w:rPr>
          <w:i/>
          <w:iCs/>
        </w:rPr>
        <w:t>Cultivos Tropicales</w:t>
      </w:r>
      <w:r>
        <w:t xml:space="preserve">, </w:t>
      </w:r>
      <w:r>
        <w:rPr>
          <w:i/>
          <w:iCs/>
        </w:rPr>
        <w:t>30</w:t>
      </w:r>
      <w:r>
        <w:t>(1), 00-00.</w:t>
      </w:r>
    </w:p>
    <w:p w14:paraId="2CF4FFF2" w14:textId="77777777" w:rsidR="00A650E8" w:rsidRPr="00A650E8" w:rsidRDefault="00A650E8" w:rsidP="00A650E8">
      <w:pPr>
        <w:pStyle w:val="Bibliografa"/>
        <w:rPr>
          <w:lang w:val="en-US"/>
        </w:rPr>
      </w:pPr>
      <w:r>
        <w:t xml:space="preserve">Hernández, N., Soto, F., Florido, R., Plana, R., Caballero, A., Maqueira, L. A., Cid, G., López, T., Chaterlan, Y., García, A., Solano, O., Vázquez, R., Otero, L., &amp; Vantour, A. (2016). Utilización de un modelo de simulación para la predicción del comportamiento de algunos cereales en las condiciones de Cuba. </w:t>
      </w:r>
      <w:r w:rsidRPr="00A650E8">
        <w:rPr>
          <w:i/>
          <w:iCs/>
          <w:lang w:val="en-US"/>
        </w:rPr>
        <w:t>Cultivos Tropicales</w:t>
      </w:r>
      <w:r w:rsidRPr="00A650E8">
        <w:rPr>
          <w:lang w:val="en-US"/>
        </w:rPr>
        <w:t xml:space="preserve">, </w:t>
      </w:r>
      <w:r w:rsidRPr="00A650E8">
        <w:rPr>
          <w:i/>
          <w:iCs/>
          <w:lang w:val="en-US"/>
        </w:rPr>
        <w:t>37</w:t>
      </w:r>
      <w:r w:rsidRPr="00A650E8">
        <w:rPr>
          <w:lang w:val="en-US"/>
        </w:rPr>
        <w:t>(1), 7.</w:t>
      </w:r>
    </w:p>
    <w:p w14:paraId="4E0BB237" w14:textId="77777777" w:rsidR="00A650E8" w:rsidRPr="00A650E8" w:rsidRDefault="00A650E8" w:rsidP="00A650E8">
      <w:pPr>
        <w:pStyle w:val="Bibliografa"/>
        <w:rPr>
          <w:lang w:val="en-US"/>
        </w:rPr>
      </w:pPr>
      <w:r w:rsidRPr="00A650E8">
        <w:rPr>
          <w:lang w:val="en-US"/>
        </w:rPr>
        <w:t xml:space="preserve">Hodges, T., &amp; Ritchie, J. T. (1991). The CERES-Wheat phenology model. </w:t>
      </w:r>
      <w:r w:rsidRPr="00A650E8">
        <w:rPr>
          <w:i/>
          <w:iCs/>
          <w:lang w:val="en-US"/>
        </w:rPr>
        <w:t>Predicting crop phenology</w:t>
      </w:r>
      <w:r w:rsidRPr="00A650E8">
        <w:rPr>
          <w:lang w:val="en-US"/>
        </w:rPr>
        <w:t>, 133-141.</w:t>
      </w:r>
    </w:p>
    <w:p w14:paraId="31C0D6E0" w14:textId="77777777" w:rsidR="00A650E8" w:rsidRDefault="00A650E8" w:rsidP="00A650E8">
      <w:pPr>
        <w:pStyle w:val="Bibliografa"/>
      </w:pPr>
      <w:r w:rsidRPr="00A650E8">
        <w:rPr>
          <w:lang w:val="en-US"/>
        </w:rPr>
        <w:lastRenderedPageBreak/>
        <w:t xml:space="preserve">Hunt, L. A., Jones, J. W., Ritchie, J. T., &amp; Teng, P. S. (1989). Genetic coefficients for the IBSNAT crop models. </w:t>
      </w:r>
      <w:r w:rsidRPr="00A650E8">
        <w:rPr>
          <w:i/>
          <w:iCs/>
          <w:lang w:val="en-US"/>
        </w:rPr>
        <w:t xml:space="preserve">Proceedings of IBSNAT Symposium, 81st Ann. </w:t>
      </w:r>
      <w:r>
        <w:rPr>
          <w:i/>
          <w:iCs/>
        </w:rPr>
        <w:t>Meeting of Amer. Soc. Agronomy, Las Vegas</w:t>
      </w:r>
      <w:r>
        <w:t>, 15-30.</w:t>
      </w:r>
    </w:p>
    <w:p w14:paraId="4E00229F" w14:textId="77777777" w:rsidR="00A650E8" w:rsidRDefault="00A650E8" w:rsidP="00A650E8">
      <w:pPr>
        <w:pStyle w:val="Bibliografa"/>
      </w:pPr>
      <w:r>
        <w:t xml:space="preserve">I. L. López-Cruz, A Ramírez-Arias, &amp; Rojano-Aguilar, A. (2005, diciembre). Modelos matemáticos de hortalizas en invernadero: Trascendiendo la contemplación de la dinámica de cultivos. </w:t>
      </w:r>
      <w:r>
        <w:rPr>
          <w:i/>
          <w:iCs/>
        </w:rPr>
        <w:t>REVISTA CHAPINGO SERIE HORTICULTURA,</w:t>
      </w:r>
      <w:r>
        <w:t xml:space="preserve"> </w:t>
      </w:r>
      <w:r>
        <w:rPr>
          <w:i/>
          <w:iCs/>
        </w:rPr>
        <w:t>11</w:t>
      </w:r>
      <w:r>
        <w:t>(2), 257-267.</w:t>
      </w:r>
    </w:p>
    <w:p w14:paraId="763D0008" w14:textId="77777777" w:rsidR="00A650E8" w:rsidRDefault="00A650E8" w:rsidP="00A650E8">
      <w:pPr>
        <w:pStyle w:val="Bibliografa"/>
      </w:pPr>
      <w:r>
        <w:t xml:space="preserve">IIG. (2020). </w:t>
      </w:r>
      <w:r>
        <w:rPr>
          <w:i/>
          <w:iCs/>
        </w:rPr>
        <w:t>Guía técnica para la producción de maíz</w:t>
      </w:r>
      <w:r>
        <w:t>.</w:t>
      </w:r>
    </w:p>
    <w:p w14:paraId="1D371DAE" w14:textId="77777777" w:rsidR="00A650E8" w:rsidRDefault="00A650E8" w:rsidP="00A650E8">
      <w:pPr>
        <w:pStyle w:val="Bibliografa"/>
      </w:pPr>
      <w:r>
        <w:lastRenderedPageBreak/>
        <w:t xml:space="preserve">Irizar Garza, M. B. G., González Molina, L., Larqué Saavedra, B. S., Martínez Trejo, G., Díaz Valasis, M., &amp; Muñiz Reyes, É. (2016). </w:t>
      </w:r>
      <w:r>
        <w:rPr>
          <w:i/>
          <w:iCs/>
        </w:rPr>
        <w:t>Uso de micorriza y abonos orgánicos en el cultivo de maíz</w:t>
      </w:r>
      <w:r>
        <w:t>.</w:t>
      </w:r>
    </w:p>
    <w:p w14:paraId="667A6FE7" w14:textId="77777777" w:rsidR="00A650E8" w:rsidRPr="00A650E8" w:rsidRDefault="00A650E8" w:rsidP="00A650E8">
      <w:pPr>
        <w:pStyle w:val="Bibliografa"/>
        <w:rPr>
          <w:lang w:val="en-US"/>
        </w:rPr>
      </w:pPr>
      <w:r w:rsidRPr="00A650E8">
        <w:rPr>
          <w:lang w:val="en-US"/>
        </w:rPr>
        <w:t xml:space="preserve">Jones, C. A., Dyke, P. T., Williams, J. R., Kiniry, J. R., Benson, V. W., &amp; Griggs, R. H. (1991). EPIC: An operational model for evaluation of agricultural sustainability. </w:t>
      </w:r>
      <w:r w:rsidRPr="00A650E8">
        <w:rPr>
          <w:i/>
          <w:iCs/>
          <w:lang w:val="en-US"/>
        </w:rPr>
        <w:t>Agricultural Systems</w:t>
      </w:r>
      <w:r w:rsidRPr="00A650E8">
        <w:rPr>
          <w:lang w:val="en-US"/>
        </w:rPr>
        <w:t xml:space="preserve">, </w:t>
      </w:r>
      <w:r w:rsidRPr="00A650E8">
        <w:rPr>
          <w:i/>
          <w:iCs/>
          <w:lang w:val="en-US"/>
        </w:rPr>
        <w:t>37</w:t>
      </w:r>
      <w:r w:rsidRPr="00A650E8">
        <w:rPr>
          <w:lang w:val="en-US"/>
        </w:rPr>
        <w:t>(4), 341-350. https://doi.org/10.1016/0308-521X(91)90057-H</w:t>
      </w:r>
    </w:p>
    <w:p w14:paraId="0223ED01" w14:textId="77777777" w:rsidR="00A650E8" w:rsidRPr="00A650E8" w:rsidRDefault="00A650E8" w:rsidP="00A650E8">
      <w:pPr>
        <w:pStyle w:val="Bibliografa"/>
        <w:rPr>
          <w:lang w:val="en-US"/>
        </w:rPr>
      </w:pPr>
      <w:r w:rsidRPr="00A650E8">
        <w:rPr>
          <w:lang w:val="en-US"/>
        </w:rPr>
        <w:t xml:space="preserve">Jones, J., Hoogenboom, G., Porter, C., Boote, K., Batchelor, W., Hunt, L., Wilkens, P., Singh, U., Gijsman, A., &amp; Ritchie, J. (2003a). The DSSAT cropping model. </w:t>
      </w:r>
      <w:r w:rsidRPr="00A650E8">
        <w:rPr>
          <w:i/>
          <w:iCs/>
          <w:lang w:val="en-US"/>
        </w:rPr>
        <w:t>European Journal of Agronomy</w:t>
      </w:r>
      <w:r w:rsidRPr="00A650E8">
        <w:rPr>
          <w:lang w:val="en-US"/>
        </w:rPr>
        <w:t xml:space="preserve">, </w:t>
      </w:r>
      <w:r w:rsidRPr="00A650E8">
        <w:rPr>
          <w:i/>
          <w:iCs/>
          <w:lang w:val="en-US"/>
        </w:rPr>
        <w:t>18</w:t>
      </w:r>
      <w:r w:rsidRPr="00A650E8">
        <w:rPr>
          <w:lang w:val="en-US"/>
        </w:rPr>
        <w:t>, 235-265.</w:t>
      </w:r>
    </w:p>
    <w:p w14:paraId="3747EB0C" w14:textId="77777777" w:rsidR="00A650E8" w:rsidRPr="00A650E8" w:rsidRDefault="00A650E8" w:rsidP="00A650E8">
      <w:pPr>
        <w:pStyle w:val="Bibliografa"/>
        <w:rPr>
          <w:lang w:val="en-US"/>
        </w:rPr>
      </w:pPr>
      <w:r w:rsidRPr="00A650E8">
        <w:rPr>
          <w:lang w:val="en-US"/>
        </w:rPr>
        <w:lastRenderedPageBreak/>
        <w:t xml:space="preserve">Jones, J., Hoogenboom, G., Porter, C., Boote, K., Batchelor, W., Hunt, L., Wilkens, P., Singh, U., Gijsman, A., &amp; Ritchie, J. (2003b). The DSSAT cropping model. </w:t>
      </w:r>
      <w:r w:rsidRPr="00A650E8">
        <w:rPr>
          <w:i/>
          <w:iCs/>
          <w:lang w:val="en-US"/>
        </w:rPr>
        <w:t>European Journal of Agronomy</w:t>
      </w:r>
      <w:r w:rsidRPr="00A650E8">
        <w:rPr>
          <w:lang w:val="en-US"/>
        </w:rPr>
        <w:t xml:space="preserve">, </w:t>
      </w:r>
      <w:r w:rsidRPr="00A650E8">
        <w:rPr>
          <w:i/>
          <w:iCs/>
          <w:lang w:val="en-US"/>
        </w:rPr>
        <w:t>18</w:t>
      </w:r>
      <w:r w:rsidRPr="00A650E8">
        <w:rPr>
          <w:lang w:val="en-US"/>
        </w:rPr>
        <w:t>, 235-265.</w:t>
      </w:r>
    </w:p>
    <w:p w14:paraId="5D11013A" w14:textId="77777777" w:rsidR="00A650E8" w:rsidRPr="00A650E8" w:rsidRDefault="00A650E8" w:rsidP="00A650E8">
      <w:pPr>
        <w:pStyle w:val="Bibliografa"/>
        <w:rPr>
          <w:lang w:val="en-US"/>
        </w:rPr>
      </w:pPr>
      <w:r w:rsidRPr="00A650E8">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sidRPr="00A650E8">
        <w:rPr>
          <w:i/>
          <w:iCs/>
          <w:lang w:val="en-US"/>
        </w:rPr>
        <w:t xml:space="preserve">European Journal of </w:t>
      </w:r>
      <w:r w:rsidRPr="00A650E8">
        <w:rPr>
          <w:i/>
          <w:iCs/>
          <w:lang w:val="en-US"/>
        </w:rPr>
        <w:lastRenderedPageBreak/>
        <w:t>Agronomy</w:t>
      </w:r>
      <w:r w:rsidRPr="00A650E8">
        <w:rPr>
          <w:lang w:val="en-US"/>
        </w:rPr>
        <w:t xml:space="preserve">, </w:t>
      </w:r>
      <w:r w:rsidRPr="00A650E8">
        <w:rPr>
          <w:i/>
          <w:iCs/>
          <w:lang w:val="en-US"/>
        </w:rPr>
        <w:t>18</w:t>
      </w:r>
      <w:r w:rsidRPr="00A650E8">
        <w:rPr>
          <w:lang w:val="en-US"/>
        </w:rPr>
        <w:t>(3-4), 267-288. https://doi.org/10.1016/S1161-0301(02)00108-9</w:t>
      </w:r>
    </w:p>
    <w:p w14:paraId="7069050E" w14:textId="77777777" w:rsidR="00A650E8" w:rsidRDefault="00A650E8" w:rsidP="00A650E8">
      <w:pPr>
        <w:pStyle w:val="Bibliografa"/>
      </w:pPr>
      <w:r w:rsidRPr="00A650E8">
        <w:rPr>
          <w:lang w:val="en-US"/>
        </w:rPr>
        <w:t xml:space="preserve">Link, E. J. (2005). </w:t>
      </w:r>
      <w:r w:rsidRPr="00A650E8">
        <w:rPr>
          <w:i/>
          <w:iCs/>
          <w:lang w:val="en-US"/>
        </w:rPr>
        <w:t>Investigation and modeling of the optimization potential of adapted nitrogen fertilization strategies in corn cropping system with regard to minimize nitrogen losses</w:t>
      </w:r>
      <w:r w:rsidRPr="00A650E8">
        <w:rPr>
          <w:lang w:val="en-US"/>
        </w:rPr>
        <w:t xml:space="preserve"> [Tesis Doctoral]. </w:t>
      </w:r>
      <w:r>
        <w:t>Institut fur  Pflanzenbau und Grunland. Universitat  Hohenheim.</w:t>
      </w:r>
    </w:p>
    <w:p w14:paraId="07F3D503" w14:textId="77777777" w:rsidR="00A650E8" w:rsidRDefault="00A650E8" w:rsidP="00A650E8">
      <w:pPr>
        <w:pStyle w:val="Bibliografa"/>
      </w:pPr>
      <w:r>
        <w:t xml:space="preserve">Martín Alonso, G. M., Rivera Espinosa, R., Arias Pérez, L., &amp; Pérez Díaz, A. (2012). Respuesta de la Canavalia ensiformis a la inoculación micorrízica con Glomus cubense (cepa INCAM-4), su </w:t>
      </w:r>
      <w:r>
        <w:lastRenderedPageBreak/>
        <w:t xml:space="preserve">efecto de permanencia en el cultivo del maíz. </w:t>
      </w:r>
      <w:r>
        <w:rPr>
          <w:i/>
          <w:iCs/>
        </w:rPr>
        <w:t>Cultivos Tropicales</w:t>
      </w:r>
      <w:r>
        <w:t xml:space="preserve">, </w:t>
      </w:r>
      <w:r>
        <w:rPr>
          <w:i/>
          <w:iCs/>
        </w:rPr>
        <w:t>33</w:t>
      </w:r>
      <w:r>
        <w:t>(2), 20-28.</w:t>
      </w:r>
    </w:p>
    <w:p w14:paraId="303F8F5C" w14:textId="77777777" w:rsidR="00A650E8" w:rsidRDefault="00A650E8" w:rsidP="00A650E8">
      <w:pPr>
        <w:pStyle w:val="Bibliografa"/>
      </w:pPr>
      <w:r>
        <w:t xml:space="preserve">Martín, G. M., &amp; Rivera, R. (2015). Influencia de la inoculación micorrízica en los abonos verdes. Efecto sobre el cultivo principal. Estudio de caso: El maíz. </w:t>
      </w:r>
      <w:r>
        <w:rPr>
          <w:i/>
          <w:iCs/>
        </w:rPr>
        <w:t>Cultivos tropicales</w:t>
      </w:r>
      <w:r>
        <w:t xml:space="preserve">, </w:t>
      </w:r>
      <w:r>
        <w:rPr>
          <w:i/>
          <w:iCs/>
        </w:rPr>
        <w:t>36</w:t>
      </w:r>
      <w:r>
        <w:t>, 34-50.</w:t>
      </w:r>
    </w:p>
    <w:p w14:paraId="116B89E7" w14:textId="77777777" w:rsidR="00A650E8" w:rsidRDefault="00A650E8" w:rsidP="00A650E8">
      <w:pPr>
        <w:pStyle w:val="Bibliografa"/>
      </w:pPr>
      <w:r>
        <w:t xml:space="preserve">Martín, M. M.-S., Olesen, J. E., &amp; Porter, J. R. (2014). </w:t>
      </w:r>
      <w:r w:rsidRPr="00A650E8">
        <w:rPr>
          <w:lang w:val="en-US"/>
        </w:rPr>
        <w:t xml:space="preserve">A genotype, environment and management (GxExM) analysis of adaptation in winter wheat to climate change in Denmark. </w:t>
      </w:r>
      <w:r>
        <w:rPr>
          <w:i/>
          <w:iCs/>
        </w:rPr>
        <w:t>Agricultural and Forest Meteorology</w:t>
      </w:r>
      <w:r>
        <w:t xml:space="preserve">, </w:t>
      </w:r>
      <w:r>
        <w:rPr>
          <w:i/>
          <w:iCs/>
        </w:rPr>
        <w:t>187</w:t>
      </w:r>
      <w:r>
        <w:t>, 1-13. https://doi.org/10.1016/j.agrformet.2013.11.009</w:t>
      </w:r>
    </w:p>
    <w:p w14:paraId="65960F59" w14:textId="77777777" w:rsidR="00A650E8" w:rsidRDefault="00A650E8" w:rsidP="00A650E8">
      <w:pPr>
        <w:pStyle w:val="Bibliografa"/>
      </w:pPr>
      <w:r>
        <w:lastRenderedPageBreak/>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14:paraId="48D7BE85" w14:textId="77777777" w:rsidR="00A650E8" w:rsidRDefault="00A650E8" w:rsidP="00A650E8">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17B4D174" w14:textId="77777777" w:rsidR="00A650E8" w:rsidRDefault="00A650E8" w:rsidP="00A650E8">
      <w:pPr>
        <w:pStyle w:val="Bibliografa"/>
      </w:pPr>
      <w:r>
        <w:t xml:space="preserve">MINAG. (2012). </w:t>
      </w:r>
      <w:r>
        <w:rPr>
          <w:i/>
          <w:iCs/>
        </w:rPr>
        <w:t>Guía Técnica para el cultivo del maíz</w:t>
      </w:r>
      <w:r>
        <w:t>. Ministerio de Agricultura.</w:t>
      </w:r>
    </w:p>
    <w:p w14:paraId="0ED42084" w14:textId="77777777" w:rsidR="00A650E8" w:rsidRDefault="00A650E8" w:rsidP="00A650E8">
      <w:pPr>
        <w:pStyle w:val="Bibliografa"/>
      </w:pPr>
      <w:r>
        <w:t xml:space="preserve">MINAG. (2015). </w:t>
      </w:r>
      <w:r>
        <w:rPr>
          <w:i/>
          <w:iCs/>
        </w:rPr>
        <w:t>Lista oficial de variedades comerciales. Registro de variedades comerciales</w:t>
      </w:r>
      <w:r>
        <w:t>. Ministerio de Agricultura.</w:t>
      </w:r>
    </w:p>
    <w:p w14:paraId="7AF02577" w14:textId="77777777" w:rsidR="00A650E8" w:rsidRPr="00F26CEC" w:rsidRDefault="00A650E8" w:rsidP="00A650E8">
      <w:pPr>
        <w:pStyle w:val="Bibliografa"/>
        <w:rPr>
          <w:lang w:val="en-US"/>
        </w:rPr>
      </w:pPr>
      <w:r w:rsidRPr="00A650E8">
        <w:rPr>
          <w:lang w:val="en-US"/>
        </w:rPr>
        <w:lastRenderedPageBreak/>
        <w:t xml:space="preserve">Mohanty, M., Probert, M. E., Reddy, K. S., Dalal, R. C., Mishra, A. K., Subba Rao, A., Singh, M., &amp; Menzies, N. W. (2012). Simulating soybean–wheat cropping system: APSIM model parameterization and validation. </w:t>
      </w:r>
      <w:r w:rsidRPr="00F26CEC">
        <w:rPr>
          <w:i/>
          <w:iCs/>
          <w:lang w:val="en-US"/>
        </w:rPr>
        <w:t>Agriculture, Ecosystems &amp; Environment</w:t>
      </w:r>
      <w:r w:rsidRPr="00F26CEC">
        <w:rPr>
          <w:lang w:val="en-US"/>
        </w:rPr>
        <w:t xml:space="preserve">, </w:t>
      </w:r>
      <w:r w:rsidRPr="00F26CEC">
        <w:rPr>
          <w:i/>
          <w:iCs/>
          <w:lang w:val="en-US"/>
        </w:rPr>
        <w:t>152</w:t>
      </w:r>
      <w:r w:rsidRPr="00F26CEC">
        <w:rPr>
          <w:lang w:val="en-US"/>
        </w:rPr>
        <w:t>, 68-78. https://doi.org/10.1016/j.agee.2012.02.013</w:t>
      </w:r>
    </w:p>
    <w:p w14:paraId="69DA4B4D" w14:textId="77777777" w:rsidR="00A650E8" w:rsidRPr="00F26CEC" w:rsidRDefault="00A650E8" w:rsidP="00A650E8">
      <w:pPr>
        <w:pStyle w:val="Bibliografa"/>
        <w:rPr>
          <w:lang w:val="en-US"/>
        </w:rPr>
      </w:pPr>
      <w:r w:rsidRPr="00F26CEC">
        <w:rPr>
          <w:lang w:val="en-US"/>
        </w:rPr>
        <w:t xml:space="preserve">Muchow, R., &amp; Davis, R. (1988). Effect of nitrogen supply on the comparative productivity of maize and sorghum in a semi-arid tropical environment II. Radiation interception and biomass accumulation. </w:t>
      </w:r>
      <w:r w:rsidRPr="00F26CEC">
        <w:rPr>
          <w:i/>
          <w:iCs/>
          <w:lang w:val="en-US"/>
        </w:rPr>
        <w:t>Field Crops Research</w:t>
      </w:r>
      <w:r w:rsidRPr="00F26CEC">
        <w:rPr>
          <w:lang w:val="en-US"/>
        </w:rPr>
        <w:t xml:space="preserve">, </w:t>
      </w:r>
      <w:r w:rsidRPr="00F26CEC">
        <w:rPr>
          <w:i/>
          <w:iCs/>
          <w:lang w:val="en-US"/>
        </w:rPr>
        <w:t>18</w:t>
      </w:r>
      <w:r w:rsidRPr="00F26CEC">
        <w:rPr>
          <w:lang w:val="en-US"/>
        </w:rPr>
        <w:t>(1), 17-30. https://doi.org/10.1016/0378-4290(88)90056-1</w:t>
      </w:r>
    </w:p>
    <w:p w14:paraId="7687B996" w14:textId="77777777" w:rsidR="00A650E8" w:rsidRPr="00F26CEC" w:rsidRDefault="00A650E8" w:rsidP="00A650E8">
      <w:pPr>
        <w:pStyle w:val="Bibliografa"/>
        <w:rPr>
          <w:lang w:val="en-US"/>
        </w:rPr>
      </w:pPr>
      <w:r w:rsidRPr="00F26CEC">
        <w:rPr>
          <w:lang w:val="en-US"/>
        </w:rPr>
        <w:lastRenderedPageBreak/>
        <w:t xml:space="preserve">Murthy, V. R. K. (2011). Crop growth modeling and its applications in agricultural meteorology. En </w:t>
      </w:r>
      <w:r w:rsidRPr="00F26CEC">
        <w:rPr>
          <w:i/>
          <w:iCs/>
          <w:lang w:val="en-US"/>
        </w:rPr>
        <w:t>Satellite Remote Sensing and GIS Applications in Agricultural Meteorology</w:t>
      </w:r>
      <w:r w:rsidRPr="00F26CEC">
        <w:rPr>
          <w:lang w:val="en-US"/>
        </w:rPr>
        <w:t xml:space="preserve"> (Vol. 1, pp. 235-261).</w:t>
      </w:r>
    </w:p>
    <w:p w14:paraId="4FE7AFEB" w14:textId="77777777" w:rsidR="00A650E8" w:rsidRDefault="00A650E8" w:rsidP="00A650E8">
      <w:pPr>
        <w:pStyle w:val="Bibliografa"/>
      </w:pPr>
      <w:r w:rsidRPr="00F26CEC">
        <w:rPr>
          <w:lang w:val="en-US"/>
        </w:rPr>
        <w:t xml:space="preserve">Nleya, T. (2019). Corn Growth and Development. En </w:t>
      </w:r>
      <w:r w:rsidRPr="00F26CEC">
        <w:rPr>
          <w:i/>
          <w:iCs/>
          <w:lang w:val="en-US"/>
        </w:rPr>
        <w:t>Corn best management practices</w:t>
      </w:r>
      <w:r w:rsidRPr="00F26CEC">
        <w:rPr>
          <w:lang w:val="en-US"/>
        </w:rPr>
        <w:t xml:space="preserve">. </w:t>
      </w:r>
      <w:r>
        <w:t>South Dakota State University.</w:t>
      </w:r>
    </w:p>
    <w:p w14:paraId="0654B11A" w14:textId="77777777" w:rsidR="00A650E8" w:rsidRDefault="00A650E8" w:rsidP="00A650E8">
      <w:pPr>
        <w:pStyle w:val="Bibliografa"/>
      </w:pPr>
      <w:r>
        <w:t xml:space="preserve">ONEI. (2022). </w:t>
      </w:r>
      <w:r>
        <w:rPr>
          <w:i/>
          <w:iCs/>
        </w:rPr>
        <w:t>Anuario estadístico de Cuba, 2020</w:t>
      </w:r>
      <w:r>
        <w:t>.</w:t>
      </w:r>
    </w:p>
    <w:p w14:paraId="7A1AE70B" w14:textId="77777777" w:rsidR="00A650E8" w:rsidRDefault="00A650E8" w:rsidP="00A650E8">
      <w:pPr>
        <w:pStyle w:val="Bibliografa"/>
      </w:pPr>
      <w:r>
        <w:t xml:space="preserve">PIONEER. (2015). </w:t>
      </w:r>
      <w:r>
        <w:rPr>
          <w:i/>
          <w:iCs/>
        </w:rPr>
        <w:t>Maíz. Crecimiento y desarrollo</w:t>
      </w:r>
      <w:r>
        <w:t>.</w:t>
      </w:r>
    </w:p>
    <w:p w14:paraId="751E7E77" w14:textId="77777777" w:rsidR="00A650E8" w:rsidRDefault="00A650E8" w:rsidP="00A650E8">
      <w:pPr>
        <w:pStyle w:val="Bibliografa"/>
      </w:pPr>
      <w:r>
        <w:t xml:space="preserve">Ritchie, J. T., Singh, U., Godwin, D., &amp; Hunt, L. (1989). </w:t>
      </w:r>
      <w:r w:rsidRPr="00F26CEC">
        <w:rPr>
          <w:lang w:val="en-US"/>
        </w:rPr>
        <w:t xml:space="preserve">A user’s guide to CERES-Maize V2. 10. </w:t>
      </w:r>
      <w:r>
        <w:rPr>
          <w:i/>
          <w:iCs/>
        </w:rPr>
        <w:t>International Fertilizer Development Center, Muscle Shoals, AL</w:t>
      </w:r>
      <w:r>
        <w:t>.</w:t>
      </w:r>
    </w:p>
    <w:p w14:paraId="2DE6839B" w14:textId="77777777" w:rsidR="00A650E8" w:rsidRPr="00F26CEC" w:rsidRDefault="00A650E8" w:rsidP="00A650E8">
      <w:pPr>
        <w:pStyle w:val="Bibliografa"/>
        <w:rPr>
          <w:lang w:val="en-US"/>
        </w:rPr>
      </w:pPr>
      <w:r>
        <w:lastRenderedPageBreak/>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sidRPr="00F26CEC">
        <w:rPr>
          <w:i/>
          <w:iCs/>
          <w:lang w:val="en-US"/>
        </w:rPr>
        <w:t>Cuban Journal of Agricultural Science</w:t>
      </w:r>
      <w:r w:rsidRPr="00F26CEC">
        <w:rPr>
          <w:lang w:val="en-US"/>
        </w:rPr>
        <w:t xml:space="preserve">, </w:t>
      </w:r>
      <w:r w:rsidRPr="00F26CEC">
        <w:rPr>
          <w:i/>
          <w:iCs/>
          <w:lang w:val="en-US"/>
        </w:rPr>
        <w:t>55</w:t>
      </w:r>
      <w:r w:rsidRPr="00F26CEC">
        <w:rPr>
          <w:lang w:val="en-US"/>
        </w:rPr>
        <w:t>(2). http://scielo.sld.cu/scielo.php?script=sci_abstract&amp;pid=S2079-34802021000200008&amp;lng=es&amp;nrm=iso&amp;tlng=en</w:t>
      </w:r>
    </w:p>
    <w:p w14:paraId="7F53AC31" w14:textId="77777777" w:rsidR="00A650E8" w:rsidRDefault="00A650E8" w:rsidP="00A650E8">
      <w:pPr>
        <w:pStyle w:val="Bibliografa"/>
      </w:pPr>
      <w:r>
        <w:lastRenderedPageBreak/>
        <w:t xml:space="preserve">Ruiz-Rodríguez, M., Pulido-Velázquez, M., &amp; García-Prats, A. (s. f.). Desafíos del regadío español frente al cambio climático y consecuencias para el viñedo. </w:t>
      </w:r>
      <w:r>
        <w:rPr>
          <w:i/>
          <w:iCs/>
        </w:rPr>
        <w:t>El sector vitivinícola frente al desafío del cambio climático</w:t>
      </w:r>
      <w:r>
        <w:t>, 221.</w:t>
      </w:r>
    </w:p>
    <w:p w14:paraId="4801E0AA" w14:textId="77777777" w:rsidR="00A650E8" w:rsidRDefault="00A650E8" w:rsidP="00A650E8">
      <w:pPr>
        <w:pStyle w:val="Bibliografa"/>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0B14C62F" w14:textId="77777777" w:rsidR="00A650E8" w:rsidRPr="00F26CEC" w:rsidRDefault="00A650E8" w:rsidP="00A650E8">
      <w:pPr>
        <w:pStyle w:val="Bibliografa"/>
        <w:rPr>
          <w:lang w:val="en-US"/>
        </w:rPr>
      </w:pPr>
      <w:r w:rsidRPr="00F26CEC">
        <w:rPr>
          <w:lang w:val="en-US"/>
        </w:rPr>
        <w:lastRenderedPageBreak/>
        <w:t xml:space="preserve">Singh, U., Godwin, D. C., &amp; Ritchie, J. T. (1988). Modeling growth and Development of rice under upland lowland conditions. </w:t>
      </w:r>
      <w:r w:rsidRPr="00F26CEC">
        <w:rPr>
          <w:i/>
          <w:iCs/>
          <w:lang w:val="en-US"/>
        </w:rPr>
        <w:t>Agronomy Abs</w:t>
      </w:r>
      <w:r w:rsidRPr="00F26CEC">
        <w:rPr>
          <w:lang w:val="en-US"/>
        </w:rPr>
        <w:t xml:space="preserve">, </w:t>
      </w:r>
      <w:r w:rsidRPr="00F26CEC">
        <w:rPr>
          <w:i/>
          <w:iCs/>
          <w:lang w:val="en-US"/>
        </w:rPr>
        <w:t>80</w:t>
      </w:r>
      <w:r w:rsidRPr="00F26CEC">
        <w:rPr>
          <w:lang w:val="en-US"/>
        </w:rPr>
        <w:t>, 27.</w:t>
      </w:r>
    </w:p>
    <w:p w14:paraId="3703A62F" w14:textId="77777777" w:rsidR="00A650E8" w:rsidRPr="00F26CEC" w:rsidRDefault="00A650E8" w:rsidP="00A650E8">
      <w:pPr>
        <w:pStyle w:val="Bibliografa"/>
        <w:rPr>
          <w:lang w:val="en-US"/>
        </w:rPr>
      </w:pPr>
      <w:r w:rsidRPr="00F26CEC">
        <w:rPr>
          <w:lang w:val="en-US"/>
        </w:rPr>
        <w:t xml:space="preserve">Singh, U., Ritchie, J. T., &amp; Godwin, D. C. (1993). </w:t>
      </w:r>
      <w:r w:rsidRPr="00F26CEC">
        <w:rPr>
          <w:i/>
          <w:iCs/>
          <w:lang w:val="en-US"/>
        </w:rPr>
        <w:t>A User’s Guide to CERES Rice, V2. 10</w:t>
      </w:r>
      <w:r w:rsidRPr="00F26CEC">
        <w:rPr>
          <w:lang w:val="en-US"/>
        </w:rPr>
        <w:t>. International Fertilizer Development Center Muscle Schoals.</w:t>
      </w:r>
    </w:p>
    <w:p w14:paraId="220B19E4" w14:textId="77777777" w:rsidR="00A650E8" w:rsidRDefault="00A650E8" w:rsidP="00A650E8">
      <w:pPr>
        <w:pStyle w:val="Bibliografa"/>
      </w:pPr>
      <w:r w:rsidRPr="00F26CEC">
        <w:rPr>
          <w:lang w:val="en-US"/>
        </w:rPr>
        <w:t xml:space="preserve">Stöckle, C. O., Donatelli, M., &amp; Nelson, R. (2003). CropSyst, a cropping systems simulation model. </w:t>
      </w:r>
      <w:r>
        <w:rPr>
          <w:i/>
          <w:iCs/>
        </w:rPr>
        <w:t>European Journal of Agronomy</w:t>
      </w:r>
      <w:r>
        <w:t xml:space="preserve">, </w:t>
      </w:r>
      <w:r>
        <w:rPr>
          <w:i/>
          <w:iCs/>
        </w:rPr>
        <w:t>18</w:t>
      </w:r>
      <w:r>
        <w:t>(3), 289-307. https://doi.org/10.1016/S1161-0301(02)00109-0</w:t>
      </w:r>
    </w:p>
    <w:p w14:paraId="1EECF7E0" w14:textId="77777777" w:rsidR="00A650E8" w:rsidRDefault="00A650E8" w:rsidP="00A650E8">
      <w:pPr>
        <w:pStyle w:val="Bibliografa"/>
      </w:pPr>
      <w:r>
        <w:lastRenderedPageBreak/>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03EE211F" w14:textId="77777777" w:rsidR="00A650E8" w:rsidRPr="00F26CEC" w:rsidRDefault="00A650E8" w:rsidP="00A650E8">
      <w:pPr>
        <w:pStyle w:val="Bibliografa"/>
        <w:rPr>
          <w:lang w:val="en-US"/>
        </w:rPr>
      </w:pPr>
      <w:r>
        <w:t xml:space="preserve">Trombetta, A., Iacobellis, V., Tarantino, E., &amp; Gentile, F. (2016). </w:t>
      </w:r>
      <w:r w:rsidRPr="00F26CEC">
        <w:rPr>
          <w:lang w:val="en-US"/>
        </w:rPr>
        <w:t xml:space="preserve">Calibration of the AquaCrop model for winter wheat using MODIS LAI images. </w:t>
      </w:r>
      <w:r w:rsidRPr="00F26CEC">
        <w:rPr>
          <w:i/>
          <w:iCs/>
          <w:lang w:val="en-US"/>
        </w:rPr>
        <w:t>Agricultural Water Management</w:t>
      </w:r>
      <w:r w:rsidRPr="00F26CEC">
        <w:rPr>
          <w:lang w:val="en-US"/>
        </w:rPr>
        <w:t xml:space="preserve">, </w:t>
      </w:r>
      <w:r w:rsidRPr="00F26CEC">
        <w:rPr>
          <w:i/>
          <w:iCs/>
          <w:lang w:val="en-US"/>
        </w:rPr>
        <w:t>164</w:t>
      </w:r>
      <w:r w:rsidRPr="00F26CEC">
        <w:rPr>
          <w:lang w:val="en-US"/>
        </w:rPr>
        <w:t>, 304-316. https://doi.org/10.1016/j.agwat.2015.10.013</w:t>
      </w:r>
    </w:p>
    <w:p w14:paraId="61796672" w14:textId="77777777" w:rsidR="00A650E8" w:rsidRDefault="00A650E8" w:rsidP="00A650E8">
      <w:pPr>
        <w:pStyle w:val="Bibliografa"/>
      </w:pPr>
      <w:r w:rsidRPr="00F26CEC">
        <w:rPr>
          <w:lang w:val="en-US"/>
        </w:rPr>
        <w:t xml:space="preserve">Tuero, L., Díaz, J., García, J., &amp; Gómez, S. (2018). </w:t>
      </w:r>
      <w:r>
        <w:t xml:space="preserve">Valoración de estrategias de riego para el cultivo de la soya usando el modelo DSSAT-CROPGRO. </w:t>
      </w:r>
      <w:r>
        <w:rPr>
          <w:i/>
          <w:iCs/>
        </w:rPr>
        <w:t>Revist a C iencias Técnicas Agropecuarias</w:t>
      </w:r>
      <w:r>
        <w:t xml:space="preserve">, </w:t>
      </w:r>
      <w:r>
        <w:rPr>
          <w:i/>
          <w:iCs/>
        </w:rPr>
        <w:t>27</w:t>
      </w:r>
      <w:r>
        <w:t>(3).</w:t>
      </w:r>
    </w:p>
    <w:p w14:paraId="095C087F" w14:textId="77777777" w:rsidR="00A650E8" w:rsidRDefault="00A650E8" w:rsidP="00A650E8">
      <w:pPr>
        <w:pStyle w:val="Bibliografa"/>
      </w:pPr>
      <w:r>
        <w:lastRenderedPageBreak/>
        <w:t xml:space="preserve">Vanderlip, R., &amp; Fjell, D. (2007). </w:t>
      </w:r>
      <w:r w:rsidRPr="00F26CEC">
        <w:rPr>
          <w:lang w:val="en-US"/>
        </w:rPr>
        <w:t xml:space="preserve">Corn growth and development. En </w:t>
      </w:r>
      <w:r w:rsidRPr="00F26CEC">
        <w:rPr>
          <w:i/>
          <w:iCs/>
          <w:lang w:val="en-US"/>
        </w:rPr>
        <w:t>Crop production handbook</w:t>
      </w:r>
      <w:r w:rsidRPr="00F26CEC">
        <w:rPr>
          <w:lang w:val="en-US"/>
        </w:rPr>
        <w:t xml:space="preserve">. </w:t>
      </w:r>
      <w:r>
        <w:t>Kansas State University.</w:t>
      </w:r>
    </w:p>
    <w:p w14:paraId="2ABEA4E3" w14:textId="77777777" w:rsidR="00A650E8" w:rsidRDefault="00A650E8" w:rsidP="00A650E8">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460A4150" w14:textId="6E0E25A7" w:rsidR="001877EF" w:rsidRDefault="000C6959">
      <w:pPr>
        <w:rPr>
          <w:lang w:val="es-ES_tradnl"/>
        </w:rPr>
      </w:pPr>
      <w:r>
        <w:rPr>
          <w:lang w:val="es-ES_tradnl"/>
        </w:rPr>
        <w:fldChar w:fldCharType="end"/>
      </w:r>
    </w:p>
    <w:p w14:paraId="2FC77CAB" w14:textId="77777777" w:rsidR="001877EF" w:rsidRDefault="001877EF">
      <w:pPr>
        <w:rPr>
          <w:lang w:val="es-ES_tradnl"/>
        </w:rPr>
      </w:pPr>
      <w:r>
        <w:rPr>
          <w:lang w:val="es-ES_tradnl"/>
        </w:rPr>
        <w:br w:type="page"/>
      </w:r>
    </w:p>
    <w:p w14:paraId="7165EBA6" w14:textId="5E6AA3B4" w:rsidR="00481A01" w:rsidRPr="00497013" w:rsidRDefault="001877EF" w:rsidP="001877EF">
      <w:pPr>
        <w:pStyle w:val="Ttulo1"/>
        <w:rPr>
          <w:lang w:val="es-ES_tradnl"/>
        </w:rPr>
      </w:pPr>
      <w:r>
        <w:rPr>
          <w:lang w:val="es-ES_tradnl"/>
        </w:rPr>
        <w:lastRenderedPageBreak/>
        <w:t>Anexos</w:t>
      </w:r>
    </w:p>
    <w:sectPr w:rsidR="00481A01" w:rsidRPr="00497013">
      <w:pgSz w:w="12240" w:h="15840"/>
      <w:pgMar w:top="1417" w:right="1701" w:bottom="1417"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ía desconocida" w:date="2025-04-02T10:05:00Z" w:initials="">
    <w:p w14:paraId="09155970"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De maíz</w:t>
      </w:r>
    </w:p>
    <w:p w14:paraId="1314D01E"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(Para evaluar esto vamos a decir que se montó el experimento que está en el artículo como si lo hubiese hecho él???)</w:t>
      </w:r>
    </w:p>
  </w:comment>
  <w:comment w:id="18" w:author="Autoría desconocida" w:date="2025-04-02T10:13:00Z" w:initials="">
    <w:p w14:paraId="2080CBBE"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Aquí creo que se debería incluir los beneficios del EcoMic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14D01E" w15:done="0"/>
  <w15:commentEx w15:paraId="2080CBB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14D01E" w16cid:durableId="2BA0C160"/>
  <w16cid:commentId w16cid:paraId="2080CBBE" w16cid:durableId="2BA0C16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algun Gothic"/>
    <w:panose1 w:val="00000000000000000000"/>
    <w:charset w:val="81"/>
    <w:family w:val="auto"/>
    <w:notTrueType/>
    <w:pitch w:val="default"/>
    <w:sig w:usb0="00000000" w:usb1="09060000" w:usb2="00000010" w:usb3="00000000" w:csb0="00080000"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80"/>
    <w:family w:val="auto"/>
    <w:notTrueType/>
    <w:pitch w:val="default"/>
    <w:sig w:usb0="00000000" w:usb1="08070000" w:usb2="00000010" w:usb3="00000000" w:csb0="00020000" w:csb1="00000000"/>
  </w:font>
  <w:font w:name="F">
    <w:altName w:val="Calibri"/>
    <w:charset w:val="00"/>
    <w:family w:val="auto"/>
    <w:pitch w:val="variable"/>
  </w:font>
  <w:font w:name="Cambria Math">
    <w:panose1 w:val="02040503050406030204"/>
    <w:charset w:val="00"/>
    <w:family w:val="roman"/>
    <w:pitch w:val="variable"/>
    <w:sig w:usb0="E00006FF" w:usb1="420024FF" w:usb2="02000000" w:usb3="00000000" w:csb0="0000019F" w:csb1="00000000"/>
  </w:font>
  <w:font w:name="TimesNewRomanPSMT">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6232D"/>
    <w:multiLevelType w:val="hybridMultilevel"/>
    <w:tmpl w:val="CB1EE39E"/>
    <w:lvl w:ilvl="0" w:tplc="CC7E9D9E">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7491FDE"/>
    <w:multiLevelType w:val="hybridMultilevel"/>
    <w:tmpl w:val="742416B0"/>
    <w:lvl w:ilvl="0" w:tplc="A8509404">
      <w:start w:val="1"/>
      <w:numFmt w:val="decimal"/>
      <w:lvlText w:val="%1."/>
      <w:lvlJc w:val="left"/>
      <w:pPr>
        <w:tabs>
          <w:tab w:val="num" w:pos="720"/>
        </w:tabs>
        <w:ind w:left="720" w:hanging="360"/>
      </w:pPr>
    </w:lvl>
    <w:lvl w:ilvl="1" w:tplc="C5E45A52" w:tentative="1">
      <w:start w:val="1"/>
      <w:numFmt w:val="decimal"/>
      <w:lvlText w:val="%2."/>
      <w:lvlJc w:val="left"/>
      <w:pPr>
        <w:tabs>
          <w:tab w:val="num" w:pos="1440"/>
        </w:tabs>
        <w:ind w:left="1440" w:hanging="360"/>
      </w:pPr>
    </w:lvl>
    <w:lvl w:ilvl="2" w:tplc="52A020BE" w:tentative="1">
      <w:start w:val="1"/>
      <w:numFmt w:val="decimal"/>
      <w:lvlText w:val="%3."/>
      <w:lvlJc w:val="left"/>
      <w:pPr>
        <w:tabs>
          <w:tab w:val="num" w:pos="2160"/>
        </w:tabs>
        <w:ind w:left="2160" w:hanging="360"/>
      </w:pPr>
    </w:lvl>
    <w:lvl w:ilvl="3" w:tplc="68226492" w:tentative="1">
      <w:start w:val="1"/>
      <w:numFmt w:val="decimal"/>
      <w:lvlText w:val="%4."/>
      <w:lvlJc w:val="left"/>
      <w:pPr>
        <w:tabs>
          <w:tab w:val="num" w:pos="2880"/>
        </w:tabs>
        <w:ind w:left="2880" w:hanging="360"/>
      </w:pPr>
    </w:lvl>
    <w:lvl w:ilvl="4" w:tplc="C6C62C0A" w:tentative="1">
      <w:start w:val="1"/>
      <w:numFmt w:val="decimal"/>
      <w:lvlText w:val="%5."/>
      <w:lvlJc w:val="left"/>
      <w:pPr>
        <w:tabs>
          <w:tab w:val="num" w:pos="3600"/>
        </w:tabs>
        <w:ind w:left="3600" w:hanging="360"/>
      </w:pPr>
    </w:lvl>
    <w:lvl w:ilvl="5" w:tplc="CC1E4B8C" w:tentative="1">
      <w:start w:val="1"/>
      <w:numFmt w:val="decimal"/>
      <w:lvlText w:val="%6."/>
      <w:lvlJc w:val="left"/>
      <w:pPr>
        <w:tabs>
          <w:tab w:val="num" w:pos="4320"/>
        </w:tabs>
        <w:ind w:left="4320" w:hanging="360"/>
      </w:pPr>
    </w:lvl>
    <w:lvl w:ilvl="6" w:tplc="B686D716" w:tentative="1">
      <w:start w:val="1"/>
      <w:numFmt w:val="decimal"/>
      <w:lvlText w:val="%7."/>
      <w:lvlJc w:val="left"/>
      <w:pPr>
        <w:tabs>
          <w:tab w:val="num" w:pos="5040"/>
        </w:tabs>
        <w:ind w:left="5040" w:hanging="360"/>
      </w:pPr>
    </w:lvl>
    <w:lvl w:ilvl="7" w:tplc="0BB2287E" w:tentative="1">
      <w:start w:val="1"/>
      <w:numFmt w:val="decimal"/>
      <w:lvlText w:val="%8."/>
      <w:lvlJc w:val="left"/>
      <w:pPr>
        <w:tabs>
          <w:tab w:val="num" w:pos="5760"/>
        </w:tabs>
        <w:ind w:left="5760" w:hanging="360"/>
      </w:pPr>
    </w:lvl>
    <w:lvl w:ilvl="8" w:tplc="BB36A162" w:tentative="1">
      <w:start w:val="1"/>
      <w:numFmt w:val="decimal"/>
      <w:lvlText w:val="%9."/>
      <w:lvlJc w:val="left"/>
      <w:pPr>
        <w:tabs>
          <w:tab w:val="num" w:pos="6480"/>
        </w:tabs>
        <w:ind w:left="6480" w:hanging="360"/>
      </w:pPr>
    </w:lvl>
  </w:abstractNum>
  <w:abstractNum w:abstractNumId="2" w15:restartNumberingAfterBreak="0">
    <w:nsid w:val="62576A2C"/>
    <w:multiLevelType w:val="multilevel"/>
    <w:tmpl w:val="CDE69262"/>
    <w:styleLink w:val="WWNum18"/>
    <w:lvl w:ilvl="0">
      <w:numFmt w:val="bullet"/>
      <w:lvlText w:val=""/>
      <w:lvlJc w:val="left"/>
      <w:pPr>
        <w:ind w:left="720" w:hanging="360"/>
      </w:pPr>
      <w:rPr>
        <w:rFonts w:ascii="Calibri" w:hAnsi="Calibri"/>
      </w:rPr>
    </w:lvl>
    <w:lvl w:ilvl="1">
      <w:numFmt w:val="bullet"/>
      <w:lvlText w:val="o"/>
      <w:lvlJc w:val="left"/>
      <w:pPr>
        <w:ind w:left="1440" w:hanging="360"/>
      </w:pPr>
      <w:rPr>
        <w:rFonts w:ascii="Calibri" w:hAnsi="Calibri" w:cs="Courier New"/>
      </w:rPr>
    </w:lvl>
    <w:lvl w:ilvl="2">
      <w:numFmt w:val="bullet"/>
      <w:lvlText w:val=""/>
      <w:lvlJc w:val="left"/>
      <w:pPr>
        <w:ind w:left="2160" w:hanging="360"/>
      </w:pPr>
      <w:rPr>
        <w:rFonts w:ascii="Calibri" w:hAnsi="Calibri"/>
      </w:rPr>
    </w:lvl>
    <w:lvl w:ilvl="3">
      <w:numFmt w:val="bullet"/>
      <w:lvlText w:val=""/>
      <w:lvlJc w:val="left"/>
      <w:pPr>
        <w:ind w:left="2880" w:hanging="360"/>
      </w:pPr>
      <w:rPr>
        <w:rFonts w:ascii="Calibri" w:hAnsi="Calibri"/>
      </w:rPr>
    </w:lvl>
    <w:lvl w:ilvl="4">
      <w:numFmt w:val="bullet"/>
      <w:lvlText w:val="o"/>
      <w:lvlJc w:val="left"/>
      <w:pPr>
        <w:ind w:left="3600" w:hanging="360"/>
      </w:pPr>
      <w:rPr>
        <w:rFonts w:ascii="Calibri" w:hAnsi="Calibri" w:cs="Courier New"/>
      </w:rPr>
    </w:lvl>
    <w:lvl w:ilvl="5">
      <w:numFmt w:val="bullet"/>
      <w:lvlText w:val=""/>
      <w:lvlJc w:val="left"/>
      <w:pPr>
        <w:ind w:left="4320" w:hanging="360"/>
      </w:pPr>
      <w:rPr>
        <w:rFonts w:ascii="Calibri" w:hAnsi="Calibri"/>
      </w:rPr>
    </w:lvl>
    <w:lvl w:ilvl="6">
      <w:numFmt w:val="bullet"/>
      <w:lvlText w:val=""/>
      <w:lvlJc w:val="left"/>
      <w:pPr>
        <w:ind w:left="5040" w:hanging="360"/>
      </w:pPr>
      <w:rPr>
        <w:rFonts w:ascii="Calibri" w:hAnsi="Calibri"/>
      </w:rPr>
    </w:lvl>
    <w:lvl w:ilvl="7">
      <w:numFmt w:val="bullet"/>
      <w:lvlText w:val="o"/>
      <w:lvlJc w:val="left"/>
      <w:pPr>
        <w:ind w:left="5760" w:hanging="360"/>
      </w:pPr>
      <w:rPr>
        <w:rFonts w:ascii="Calibri" w:hAnsi="Calibri" w:cs="Courier New"/>
      </w:rPr>
    </w:lvl>
    <w:lvl w:ilvl="8">
      <w:numFmt w:val="bullet"/>
      <w:lvlText w:val=""/>
      <w:lvlJc w:val="left"/>
      <w:pPr>
        <w:ind w:left="6480" w:hanging="360"/>
      </w:pPr>
      <w:rPr>
        <w:rFonts w:ascii="Calibri" w:hAnsi="Calibri"/>
      </w:rPr>
    </w:lvl>
  </w:abstractNum>
  <w:abstractNum w:abstractNumId="3" w15:restartNumberingAfterBreak="0">
    <w:nsid w:val="7D061D42"/>
    <w:multiLevelType w:val="multilevel"/>
    <w:tmpl w:val="3B326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013"/>
    <w:rsid w:val="0000087A"/>
    <w:rsid w:val="000453DA"/>
    <w:rsid w:val="00046453"/>
    <w:rsid w:val="000630B1"/>
    <w:rsid w:val="00073DE4"/>
    <w:rsid w:val="000767F6"/>
    <w:rsid w:val="000A5207"/>
    <w:rsid w:val="000C6959"/>
    <w:rsid w:val="000F6792"/>
    <w:rsid w:val="000F6E65"/>
    <w:rsid w:val="00132B57"/>
    <w:rsid w:val="00137927"/>
    <w:rsid w:val="001877EF"/>
    <w:rsid w:val="001B075B"/>
    <w:rsid w:val="001B6351"/>
    <w:rsid w:val="00252DF7"/>
    <w:rsid w:val="00257E56"/>
    <w:rsid w:val="002920C4"/>
    <w:rsid w:val="002B0084"/>
    <w:rsid w:val="002B3CA8"/>
    <w:rsid w:val="00303142"/>
    <w:rsid w:val="00315322"/>
    <w:rsid w:val="003216E1"/>
    <w:rsid w:val="0035449F"/>
    <w:rsid w:val="00386826"/>
    <w:rsid w:val="003D2BE6"/>
    <w:rsid w:val="0041551E"/>
    <w:rsid w:val="00480D10"/>
    <w:rsid w:val="00481A01"/>
    <w:rsid w:val="00497013"/>
    <w:rsid w:val="004A25AD"/>
    <w:rsid w:val="004B3728"/>
    <w:rsid w:val="004D3BF2"/>
    <w:rsid w:val="004D47B0"/>
    <w:rsid w:val="004F160A"/>
    <w:rsid w:val="005249EC"/>
    <w:rsid w:val="00532166"/>
    <w:rsid w:val="0055400C"/>
    <w:rsid w:val="0056501D"/>
    <w:rsid w:val="005873E4"/>
    <w:rsid w:val="005D6EB7"/>
    <w:rsid w:val="005F4E32"/>
    <w:rsid w:val="006076D2"/>
    <w:rsid w:val="00633438"/>
    <w:rsid w:val="00656B51"/>
    <w:rsid w:val="00672A69"/>
    <w:rsid w:val="006A377C"/>
    <w:rsid w:val="006A4740"/>
    <w:rsid w:val="006B46FE"/>
    <w:rsid w:val="00720401"/>
    <w:rsid w:val="007370C6"/>
    <w:rsid w:val="007A1346"/>
    <w:rsid w:val="007A23D1"/>
    <w:rsid w:val="007C3032"/>
    <w:rsid w:val="007C533B"/>
    <w:rsid w:val="00827D5F"/>
    <w:rsid w:val="00852C68"/>
    <w:rsid w:val="008B4890"/>
    <w:rsid w:val="008B4F15"/>
    <w:rsid w:val="008E012D"/>
    <w:rsid w:val="008E1F11"/>
    <w:rsid w:val="008E3AD8"/>
    <w:rsid w:val="008E3C27"/>
    <w:rsid w:val="008E48CA"/>
    <w:rsid w:val="008F1D40"/>
    <w:rsid w:val="00910009"/>
    <w:rsid w:val="0091067A"/>
    <w:rsid w:val="00915B86"/>
    <w:rsid w:val="009234E1"/>
    <w:rsid w:val="0093634A"/>
    <w:rsid w:val="0094027D"/>
    <w:rsid w:val="00963BA4"/>
    <w:rsid w:val="00975304"/>
    <w:rsid w:val="00992695"/>
    <w:rsid w:val="009C09B4"/>
    <w:rsid w:val="00A1112D"/>
    <w:rsid w:val="00A16170"/>
    <w:rsid w:val="00A57E4C"/>
    <w:rsid w:val="00A6097C"/>
    <w:rsid w:val="00A650E8"/>
    <w:rsid w:val="00A77DDE"/>
    <w:rsid w:val="00A874FA"/>
    <w:rsid w:val="00AB5322"/>
    <w:rsid w:val="00AC0D07"/>
    <w:rsid w:val="00AE7722"/>
    <w:rsid w:val="00B23BF3"/>
    <w:rsid w:val="00B944A2"/>
    <w:rsid w:val="00BC1925"/>
    <w:rsid w:val="00BD1E72"/>
    <w:rsid w:val="00BF07CB"/>
    <w:rsid w:val="00BF4609"/>
    <w:rsid w:val="00C15C45"/>
    <w:rsid w:val="00C56C04"/>
    <w:rsid w:val="00C94912"/>
    <w:rsid w:val="00CC3CFF"/>
    <w:rsid w:val="00CF1EE0"/>
    <w:rsid w:val="00CF47D4"/>
    <w:rsid w:val="00D06BE4"/>
    <w:rsid w:val="00D1093D"/>
    <w:rsid w:val="00D7244C"/>
    <w:rsid w:val="00D84FCB"/>
    <w:rsid w:val="00D869BC"/>
    <w:rsid w:val="00DA07D0"/>
    <w:rsid w:val="00DA17E7"/>
    <w:rsid w:val="00DC7253"/>
    <w:rsid w:val="00E01AB7"/>
    <w:rsid w:val="00E36226"/>
    <w:rsid w:val="00E67C88"/>
    <w:rsid w:val="00E73FD5"/>
    <w:rsid w:val="00EA2C92"/>
    <w:rsid w:val="00EA3EA3"/>
    <w:rsid w:val="00EE6312"/>
    <w:rsid w:val="00EF799D"/>
    <w:rsid w:val="00F1421C"/>
    <w:rsid w:val="00F26CEC"/>
    <w:rsid w:val="00F550C5"/>
    <w:rsid w:val="00F554F0"/>
    <w:rsid w:val="00F725CE"/>
    <w:rsid w:val="00FA1A3D"/>
    <w:rsid w:val="00FB5B41"/>
    <w:rsid w:val="00FD3866"/>
    <w:rsid w:val="00FE0F3F"/>
    <w:rsid w:val="00FE2817"/>
    <w:rsid w:val="00FF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6008"/>
  <w15:chartTrackingRefBased/>
  <w15:docId w15:val="{0AF759E0-8907-485D-9F09-47F06DC4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013"/>
    <w:rPr>
      <w:lang w:val="es-ES"/>
    </w:rPr>
  </w:style>
  <w:style w:type="paragraph" w:styleId="Ttulo1">
    <w:name w:val="heading 1"/>
    <w:basedOn w:val="Normal"/>
    <w:next w:val="Normal"/>
    <w:link w:val="Ttulo1Car"/>
    <w:uiPriority w:val="9"/>
    <w:qFormat/>
    <w:rsid w:val="002B0084"/>
    <w:pPr>
      <w:keepNext/>
      <w:keepLines/>
      <w:spacing w:before="480" w:after="0"/>
      <w:outlineLvl w:val="0"/>
    </w:pPr>
    <w:rPr>
      <w:rFonts w:ascii="Arial" w:eastAsiaTheme="majorEastAsia" w:hAnsi="Arial" w:cstheme="majorBidi"/>
      <w:b/>
      <w:bCs/>
      <w:sz w:val="28"/>
      <w:szCs w:val="28"/>
    </w:rPr>
  </w:style>
  <w:style w:type="paragraph" w:styleId="Ttulo2">
    <w:name w:val="heading 2"/>
    <w:basedOn w:val="Normal"/>
    <w:next w:val="Normal"/>
    <w:link w:val="Ttulo2Car"/>
    <w:uiPriority w:val="9"/>
    <w:unhideWhenUsed/>
    <w:qFormat/>
    <w:rsid w:val="001877EF"/>
    <w:pPr>
      <w:keepNext/>
      <w:keepLines/>
      <w:spacing w:before="160" w:after="12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1877EF"/>
    <w:pPr>
      <w:keepNext/>
      <w:keepLines/>
      <w:spacing w:before="160" w:after="120"/>
      <w:outlineLvl w:val="2"/>
    </w:pPr>
    <w:rPr>
      <w:rFonts w:ascii="Arial" w:eastAsiaTheme="majorEastAsia" w:hAnsi="Arial" w:cstheme="majorBidi"/>
      <w:sz w:val="24"/>
      <w:szCs w:val="24"/>
    </w:rPr>
  </w:style>
  <w:style w:type="paragraph" w:styleId="Ttulo4">
    <w:name w:val="heading 4"/>
    <w:basedOn w:val="Normal"/>
    <w:next w:val="Normal"/>
    <w:link w:val="Ttulo4Car"/>
    <w:uiPriority w:val="9"/>
    <w:semiHidden/>
    <w:unhideWhenUsed/>
    <w:qFormat/>
    <w:rsid w:val="00AC0D0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0084"/>
    <w:rPr>
      <w:rFonts w:ascii="Arial" w:eastAsiaTheme="majorEastAsia" w:hAnsi="Arial" w:cstheme="majorBidi"/>
      <w:b/>
      <w:bCs/>
      <w:sz w:val="28"/>
      <w:szCs w:val="28"/>
      <w:lang w:val="es-ES"/>
    </w:rPr>
  </w:style>
  <w:style w:type="paragraph" w:customStyle="1" w:styleId="Default">
    <w:name w:val="Default"/>
    <w:qFormat/>
    <w:rsid w:val="00497013"/>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39"/>
    <w:rsid w:val="0049701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497013"/>
    <w:pPr>
      <w:ind w:left="720"/>
      <w:contextualSpacing/>
    </w:pPr>
  </w:style>
  <w:style w:type="character" w:customStyle="1" w:styleId="tlid-translation">
    <w:name w:val="tlid-translation"/>
    <w:basedOn w:val="Fuentedeprrafopredeter"/>
    <w:qFormat/>
    <w:rsid w:val="00497013"/>
  </w:style>
  <w:style w:type="character" w:customStyle="1" w:styleId="object">
    <w:name w:val="object"/>
    <w:basedOn w:val="Fuentedeprrafopredeter"/>
    <w:qFormat/>
    <w:rsid w:val="00497013"/>
  </w:style>
  <w:style w:type="paragraph" w:styleId="Textodeglobo">
    <w:name w:val="Balloon Text"/>
    <w:basedOn w:val="Normal"/>
    <w:link w:val="TextodegloboCar"/>
    <w:uiPriority w:val="99"/>
    <w:semiHidden/>
    <w:unhideWhenUsed/>
    <w:rsid w:val="004970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7013"/>
    <w:rPr>
      <w:rFonts w:ascii="Segoe UI" w:hAnsi="Segoe UI" w:cs="Segoe UI"/>
      <w:sz w:val="18"/>
      <w:szCs w:val="18"/>
      <w:lang w:val="es-ES"/>
    </w:rPr>
  </w:style>
  <w:style w:type="paragraph" w:styleId="Bibliografa">
    <w:name w:val="Bibliography"/>
    <w:basedOn w:val="Normal"/>
    <w:next w:val="Normal"/>
    <w:uiPriority w:val="37"/>
    <w:unhideWhenUsed/>
    <w:rsid w:val="004F160A"/>
    <w:pPr>
      <w:spacing w:after="0" w:line="480" w:lineRule="auto"/>
      <w:ind w:left="720" w:hanging="720"/>
    </w:pPr>
  </w:style>
  <w:style w:type="paragraph" w:styleId="NormalWeb">
    <w:name w:val="Normal (Web)"/>
    <w:basedOn w:val="Normal"/>
    <w:uiPriority w:val="99"/>
    <w:semiHidden/>
    <w:unhideWhenUsed/>
    <w:qFormat/>
    <w:rsid w:val="00E67C8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1877EF"/>
    <w:rPr>
      <w:rFonts w:ascii="Arial" w:eastAsiaTheme="majorEastAsia" w:hAnsi="Arial" w:cstheme="majorBidi"/>
      <w:b/>
      <w:sz w:val="24"/>
      <w:szCs w:val="26"/>
      <w:lang w:val="es-ES"/>
    </w:rPr>
  </w:style>
  <w:style w:type="character" w:customStyle="1" w:styleId="Ttulo3Car">
    <w:name w:val="Título 3 Car"/>
    <w:basedOn w:val="Fuentedeprrafopredeter"/>
    <w:link w:val="Ttulo3"/>
    <w:uiPriority w:val="9"/>
    <w:rsid w:val="001877EF"/>
    <w:rPr>
      <w:rFonts w:ascii="Arial" w:eastAsiaTheme="majorEastAsia" w:hAnsi="Arial" w:cstheme="majorBidi"/>
      <w:sz w:val="24"/>
      <w:szCs w:val="24"/>
      <w:lang w:val="es-ES"/>
    </w:rPr>
  </w:style>
  <w:style w:type="character" w:customStyle="1" w:styleId="Ttulo4Car">
    <w:name w:val="Título 4 Car"/>
    <w:basedOn w:val="Fuentedeprrafopredeter"/>
    <w:link w:val="Ttulo4"/>
    <w:uiPriority w:val="9"/>
    <w:semiHidden/>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qFormat/>
    <w:rsid w:val="00AC0D07"/>
  </w:style>
  <w:style w:type="character" w:customStyle="1" w:styleId="rynqvb">
    <w:name w:val="rynqvb"/>
    <w:basedOn w:val="Fuentedeprrafopredeter"/>
    <w:qFormat/>
    <w:rsid w:val="00AC0D07"/>
  </w:style>
  <w:style w:type="character" w:styleId="Hipervnculo">
    <w:name w:val="Hyperlink"/>
    <w:basedOn w:val="Fuentedeprrafopredeter"/>
    <w:uiPriority w:val="99"/>
    <w:unhideWhenUsed/>
    <w:rsid w:val="00315322"/>
    <w:rPr>
      <w:color w:val="0563C1" w:themeColor="hyperlink"/>
      <w:u w:val="single"/>
    </w:rPr>
  </w:style>
  <w:style w:type="table" w:styleId="Tablaconcuadrcula5oscura-nfasis4">
    <w:name w:val="Grid Table 5 Dark Accent 4"/>
    <w:basedOn w:val="Tablanormal"/>
    <w:uiPriority w:val="50"/>
    <w:rsid w:val="00386826"/>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132B57"/>
    <w:pPr>
      <w:spacing w:after="0" w:line="240" w:lineRule="auto"/>
    </w:pPr>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Contenidodelmarco">
    <w:name w:val="Contenido del marco"/>
    <w:basedOn w:val="Normal"/>
    <w:qFormat/>
    <w:rsid w:val="000630B1"/>
    <w:pPr>
      <w:suppressAutoHyphens/>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customStyle="1" w:styleId="Standard">
    <w:name w:val="Standard"/>
    <w:rsid w:val="00720401"/>
    <w:pPr>
      <w:suppressAutoHyphens/>
      <w:autoSpaceDN w:val="0"/>
      <w:spacing w:after="0" w:line="240" w:lineRule="auto"/>
      <w:textAlignment w:val="baseline"/>
    </w:pPr>
    <w:rPr>
      <w:rFonts w:ascii="Liberation Serif" w:eastAsia="NSimSun" w:hAnsi="Liberation Serif" w:cs="Arial"/>
      <w:kern w:val="3"/>
      <w:sz w:val="24"/>
      <w:szCs w:val="24"/>
      <w:lang w:val="es-ES" w:eastAsia="zh-CN" w:bidi="hi-IN"/>
    </w:rPr>
  </w:style>
  <w:style w:type="numbering" w:customStyle="1" w:styleId="WWNum18">
    <w:name w:val="WWNum18"/>
    <w:basedOn w:val="Sinlista"/>
    <w:rsid w:val="0072040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11087">
      <w:bodyDiv w:val="1"/>
      <w:marLeft w:val="0"/>
      <w:marRight w:val="0"/>
      <w:marTop w:val="0"/>
      <w:marBottom w:val="0"/>
      <w:divBdr>
        <w:top w:val="none" w:sz="0" w:space="0" w:color="auto"/>
        <w:left w:val="none" w:sz="0" w:space="0" w:color="auto"/>
        <w:bottom w:val="none" w:sz="0" w:space="0" w:color="auto"/>
        <w:right w:val="none" w:sz="0" w:space="0" w:color="auto"/>
      </w:divBdr>
    </w:div>
    <w:div w:id="468523291">
      <w:bodyDiv w:val="1"/>
      <w:marLeft w:val="0"/>
      <w:marRight w:val="0"/>
      <w:marTop w:val="0"/>
      <w:marBottom w:val="0"/>
      <w:divBdr>
        <w:top w:val="none" w:sz="0" w:space="0" w:color="auto"/>
        <w:left w:val="none" w:sz="0" w:space="0" w:color="auto"/>
        <w:bottom w:val="none" w:sz="0" w:space="0" w:color="auto"/>
        <w:right w:val="none" w:sz="0" w:space="0" w:color="auto"/>
      </w:divBdr>
    </w:div>
    <w:div w:id="876310899">
      <w:bodyDiv w:val="1"/>
      <w:marLeft w:val="0"/>
      <w:marRight w:val="0"/>
      <w:marTop w:val="0"/>
      <w:marBottom w:val="0"/>
      <w:divBdr>
        <w:top w:val="none" w:sz="0" w:space="0" w:color="auto"/>
        <w:left w:val="none" w:sz="0" w:space="0" w:color="auto"/>
        <w:bottom w:val="none" w:sz="0" w:space="0" w:color="auto"/>
        <w:right w:val="none" w:sz="0" w:space="0" w:color="auto"/>
      </w:divBdr>
    </w:div>
    <w:div w:id="1230773341">
      <w:bodyDiv w:val="1"/>
      <w:marLeft w:val="0"/>
      <w:marRight w:val="0"/>
      <w:marTop w:val="0"/>
      <w:marBottom w:val="0"/>
      <w:divBdr>
        <w:top w:val="none" w:sz="0" w:space="0" w:color="auto"/>
        <w:left w:val="none" w:sz="0" w:space="0" w:color="auto"/>
        <w:bottom w:val="none" w:sz="0" w:space="0" w:color="auto"/>
        <w:right w:val="none" w:sz="0" w:space="0" w:color="auto"/>
      </w:divBdr>
      <w:divsChild>
        <w:div w:id="51852035">
          <w:marLeft w:val="806"/>
          <w:marRight w:val="0"/>
          <w:marTop w:val="0"/>
          <w:marBottom w:val="0"/>
          <w:divBdr>
            <w:top w:val="none" w:sz="0" w:space="0" w:color="auto"/>
            <w:left w:val="none" w:sz="0" w:space="0" w:color="auto"/>
            <w:bottom w:val="none" w:sz="0" w:space="0" w:color="auto"/>
            <w:right w:val="none" w:sz="0" w:space="0" w:color="auto"/>
          </w:divBdr>
        </w:div>
        <w:div w:id="378096285">
          <w:marLeft w:val="806"/>
          <w:marRight w:val="0"/>
          <w:marTop w:val="0"/>
          <w:marBottom w:val="0"/>
          <w:divBdr>
            <w:top w:val="none" w:sz="0" w:space="0" w:color="auto"/>
            <w:left w:val="none" w:sz="0" w:space="0" w:color="auto"/>
            <w:bottom w:val="none" w:sz="0" w:space="0" w:color="auto"/>
            <w:right w:val="none" w:sz="0" w:space="0" w:color="auto"/>
          </w:divBdr>
        </w:div>
        <w:div w:id="1852641106">
          <w:marLeft w:val="806"/>
          <w:marRight w:val="0"/>
          <w:marTop w:val="0"/>
          <w:marBottom w:val="0"/>
          <w:divBdr>
            <w:top w:val="none" w:sz="0" w:space="0" w:color="auto"/>
            <w:left w:val="none" w:sz="0" w:space="0" w:color="auto"/>
            <w:bottom w:val="none" w:sz="0" w:space="0" w:color="auto"/>
            <w:right w:val="none" w:sz="0" w:space="0" w:color="auto"/>
          </w:divBdr>
        </w:div>
      </w:divsChild>
    </w:div>
    <w:div w:id="1525513565">
      <w:bodyDiv w:val="1"/>
      <w:marLeft w:val="0"/>
      <w:marRight w:val="0"/>
      <w:marTop w:val="0"/>
      <w:marBottom w:val="0"/>
      <w:divBdr>
        <w:top w:val="none" w:sz="0" w:space="0" w:color="auto"/>
        <w:left w:val="none" w:sz="0" w:space="0" w:color="auto"/>
        <w:bottom w:val="none" w:sz="0" w:space="0" w:color="auto"/>
        <w:right w:val="none" w:sz="0" w:space="0" w:color="auto"/>
      </w:divBdr>
    </w:div>
    <w:div w:id="1617249383">
      <w:bodyDiv w:val="1"/>
      <w:marLeft w:val="0"/>
      <w:marRight w:val="0"/>
      <w:marTop w:val="0"/>
      <w:marBottom w:val="0"/>
      <w:divBdr>
        <w:top w:val="none" w:sz="0" w:space="0" w:color="auto"/>
        <w:left w:val="none" w:sz="0" w:space="0" w:color="auto"/>
        <w:bottom w:val="none" w:sz="0" w:space="0" w:color="auto"/>
        <w:right w:val="none" w:sz="0" w:space="0" w:color="auto"/>
      </w:divBdr>
    </w:div>
    <w:div w:id="16479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ri.conicet.gov.ar/handle/11336/162758" TargetMode="External"/><Relationship Id="rId4" Type="http://schemas.openxmlformats.org/officeDocument/2006/relationships/settings" Target="settings.xml"/><Relationship Id="rId9" Type="http://schemas.openxmlformats.org/officeDocument/2006/relationships/hyperlink" Target="https://ri.conicet.gov.ar/handle/11336/162758"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5ACA7-C0EA-4658-A18F-AA262F04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39</Pages>
  <Words>24879</Words>
  <Characters>136840</Characters>
  <Application>Microsoft Office Word</Application>
  <DocSecurity>0</DocSecurity>
  <Lines>1140</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cp:keywords/>
  <dc:description/>
  <cp:lastModifiedBy>Daniel Fernández Sotolongo</cp:lastModifiedBy>
  <cp:revision>9</cp:revision>
  <cp:lastPrinted>2023-07-11T03:47:00Z</cp:lastPrinted>
  <dcterms:created xsi:type="dcterms:W3CDTF">2025-04-03T15:05:00Z</dcterms:created>
  <dcterms:modified xsi:type="dcterms:W3CDTF">2025-04-09T13:55:00Z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zotero-version="7.0.9"&gt;&lt;session id="UJQ2oGUC"/&gt;&lt;style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