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drawings/drawing1.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2.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3.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drawings/drawing4.xml" ContentType="application/vnd.openxmlformats-officedocument.drawingml.chartshapes+xml"/>
  <Override PartName="/word/charts/chart8.xml" ContentType="application/vnd.openxmlformats-officedocument.drawingml.chart+xml"/>
  <Override PartName="/word/theme/themeOverride8.xml" ContentType="application/vnd.openxmlformats-officedocument.themeOverride+xml"/>
  <Override PartName="/word/drawings/drawing5.xml" ContentType="application/vnd.openxmlformats-officedocument.drawingml.chartshapes+xml"/>
  <Override PartName="/word/charts/chart9.xml" ContentType="application/vnd.openxmlformats-officedocument.drawingml.chart+xml"/>
  <Override PartName="/word/drawings/drawing6.xml" ContentType="application/vnd.openxmlformats-officedocument.drawingml.chartshapes+xml"/>
  <Override PartName="/word/charts/chart10.xml" ContentType="application/vnd.openxmlformats-officedocument.drawingml.chart+xml"/>
  <Override PartName="/word/drawings/drawing7.xml" ContentType="application/vnd.openxmlformats-officedocument.drawingml.chartshapes+xml"/>
  <Override PartName="/word/charts/chart11.xml" ContentType="application/vnd.openxmlformats-officedocument.drawingml.chart+xml"/>
  <Override PartName="/word/drawings/drawing8.xml" ContentType="application/vnd.openxmlformats-officedocument.drawingml.chartshapes+xml"/>
  <Override PartName="/word/charts/chart12.xml" ContentType="application/vnd.openxmlformats-officedocument.drawingml.chart+xml"/>
  <Override PartName="/word/theme/themeOverride9.xml" ContentType="application/vnd.openxmlformats-officedocument.themeOverride+xml"/>
  <Override PartName="/word/drawings/drawing9.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7A97" w:rsidRPr="00DD29C8" w:rsidRDefault="00DD29C8" w:rsidP="001A7A97">
      <w:pPr>
        <w:spacing w:after="0" w:line="360" w:lineRule="auto"/>
        <w:jc w:val="both"/>
        <w:rPr>
          <w:rFonts w:ascii="Arial" w:hAnsi="Arial" w:cs="Arial"/>
          <w:b/>
          <w:sz w:val="24"/>
          <w:szCs w:val="24"/>
        </w:rPr>
      </w:pPr>
      <w:bookmarkStart w:id="0" w:name="_GoBack"/>
      <w:bookmarkEnd w:id="0"/>
      <w:r w:rsidRPr="00DD29C8">
        <w:rPr>
          <w:rFonts w:ascii="Arial" w:hAnsi="Arial" w:cs="Arial"/>
          <w:b/>
          <w:sz w:val="24"/>
          <w:szCs w:val="24"/>
        </w:rPr>
        <w:t>INFLUENCIA DE TRES FECHAS DE SIEMBRA SOBRE LA PRODUCTIVIDAD BIOLÓGICA DEL CULTIVO DEL SORGO (</w:t>
      </w:r>
      <w:r w:rsidRPr="00DD29C8">
        <w:rPr>
          <w:rStyle w:val="st"/>
          <w:rFonts w:ascii="Arial" w:hAnsi="Arial" w:cs="Arial"/>
          <w:b/>
          <w:i/>
          <w:sz w:val="24"/>
          <w:szCs w:val="24"/>
        </w:rPr>
        <w:t xml:space="preserve">SORGHUM BICOLOR </w:t>
      </w:r>
      <w:r w:rsidRPr="00DD29C8">
        <w:rPr>
          <w:rStyle w:val="st"/>
          <w:rFonts w:ascii="Arial" w:hAnsi="Arial" w:cs="Arial"/>
          <w:b/>
          <w:sz w:val="24"/>
          <w:szCs w:val="24"/>
        </w:rPr>
        <w:t>L. MOENCH</w:t>
      </w:r>
      <w:r w:rsidRPr="00DD29C8">
        <w:rPr>
          <w:rFonts w:ascii="Arial" w:hAnsi="Arial" w:cs="Arial"/>
          <w:b/>
          <w:sz w:val="24"/>
          <w:szCs w:val="24"/>
        </w:rPr>
        <w:t>)</w:t>
      </w:r>
    </w:p>
    <w:p w:rsidR="001A7A97" w:rsidRPr="0042001C" w:rsidRDefault="00DD29C8" w:rsidP="001A7A97">
      <w:pPr>
        <w:spacing w:after="0" w:line="360" w:lineRule="auto"/>
        <w:jc w:val="both"/>
        <w:rPr>
          <w:rFonts w:ascii="Arial" w:hAnsi="Arial" w:cs="Arial"/>
          <w:b/>
          <w:sz w:val="24"/>
          <w:szCs w:val="24"/>
          <w:lang w:val="en-US"/>
        </w:rPr>
      </w:pPr>
      <w:r w:rsidRPr="00FE07C0">
        <w:rPr>
          <w:rFonts w:ascii="Arial" w:hAnsi="Arial" w:cs="Arial"/>
          <w:b/>
          <w:sz w:val="24"/>
          <w:szCs w:val="24"/>
          <w:lang w:val="en-US"/>
        </w:rPr>
        <w:t>INFLUENCE OF THREE SOWING DATES ON THE BIOLOGICAL PRODUCTIVITY OF SORGHUM CULTIVATION</w:t>
      </w:r>
      <w:r>
        <w:rPr>
          <w:rFonts w:ascii="Arial" w:hAnsi="Arial" w:cs="Arial"/>
          <w:b/>
          <w:sz w:val="24"/>
          <w:szCs w:val="24"/>
          <w:lang w:val="en-US"/>
        </w:rPr>
        <w:t xml:space="preserve"> </w:t>
      </w:r>
      <w:r w:rsidR="00FE07C0">
        <w:rPr>
          <w:rFonts w:ascii="Arial" w:hAnsi="Arial" w:cs="Arial"/>
          <w:b/>
          <w:sz w:val="24"/>
          <w:szCs w:val="24"/>
          <w:lang w:val="en-US"/>
        </w:rPr>
        <w:t>(</w:t>
      </w:r>
      <w:r w:rsidR="00FE07C0" w:rsidRPr="00E51A86">
        <w:rPr>
          <w:rFonts w:ascii="Arial" w:hAnsi="Arial" w:cs="Arial"/>
          <w:b/>
          <w:i/>
          <w:sz w:val="24"/>
          <w:szCs w:val="24"/>
          <w:lang w:val="en-US"/>
        </w:rPr>
        <w:t>SORGHUM BICOLOR</w:t>
      </w:r>
      <w:r w:rsidR="00FE07C0">
        <w:rPr>
          <w:rFonts w:ascii="Arial" w:hAnsi="Arial" w:cs="Arial"/>
          <w:b/>
          <w:sz w:val="24"/>
          <w:szCs w:val="24"/>
          <w:lang w:val="en-US"/>
        </w:rPr>
        <w:t xml:space="preserve"> L. MOENCH) </w:t>
      </w:r>
    </w:p>
    <w:p w:rsidR="001A7A97" w:rsidRPr="0042001C" w:rsidRDefault="001A7A97" w:rsidP="001A7A97">
      <w:pPr>
        <w:spacing w:after="0" w:line="360" w:lineRule="auto"/>
        <w:jc w:val="both"/>
        <w:rPr>
          <w:rFonts w:ascii="Arial" w:hAnsi="Arial" w:cs="Arial"/>
          <w:sz w:val="24"/>
          <w:szCs w:val="24"/>
        </w:rPr>
      </w:pPr>
      <w:r w:rsidRPr="0042001C">
        <w:rPr>
          <w:rStyle w:val="Textoennegrita"/>
          <w:rFonts w:ascii="Arial" w:hAnsi="Arial" w:cs="Arial"/>
          <w:sz w:val="24"/>
          <w:szCs w:val="24"/>
        </w:rPr>
        <w:t>RESUMEN</w:t>
      </w:r>
      <w:r>
        <w:rPr>
          <w:rFonts w:ascii="Arial" w:hAnsi="Arial" w:cs="Arial"/>
          <w:sz w:val="24"/>
          <w:szCs w:val="24"/>
        </w:rPr>
        <w:t>. E</w:t>
      </w:r>
      <w:r w:rsidRPr="0042001C">
        <w:rPr>
          <w:rFonts w:ascii="Arial" w:hAnsi="Arial" w:cs="Arial"/>
          <w:sz w:val="24"/>
          <w:szCs w:val="24"/>
        </w:rPr>
        <w:t>l trabajo se desarrolló en el Instituto Nacional de Ciencias Agrícolas</w:t>
      </w:r>
      <w:r>
        <w:rPr>
          <w:rFonts w:ascii="Arial" w:hAnsi="Arial" w:cs="Arial"/>
          <w:sz w:val="24"/>
          <w:szCs w:val="24"/>
        </w:rPr>
        <w:t>, c</w:t>
      </w:r>
      <w:r w:rsidRPr="0042001C">
        <w:rPr>
          <w:rFonts w:ascii="Arial" w:hAnsi="Arial" w:cs="Arial"/>
          <w:sz w:val="24"/>
          <w:szCs w:val="24"/>
        </w:rPr>
        <w:t xml:space="preserve">on el objetivo de evaluar la influencia de tres fechas de siembra sobre el </w:t>
      </w:r>
      <w:r>
        <w:rPr>
          <w:rFonts w:ascii="Arial" w:hAnsi="Arial" w:cs="Arial"/>
          <w:sz w:val="24"/>
          <w:szCs w:val="24"/>
        </w:rPr>
        <w:t xml:space="preserve">crecimiento y la relación fuente demanda en el cultivo del sorgo. </w:t>
      </w:r>
      <w:r w:rsidRPr="0042001C">
        <w:rPr>
          <w:rFonts w:ascii="Arial" w:hAnsi="Arial" w:cs="Arial"/>
          <w:sz w:val="24"/>
          <w:szCs w:val="24"/>
        </w:rPr>
        <w:t>Se</w:t>
      </w:r>
      <w:r>
        <w:rPr>
          <w:rFonts w:ascii="Arial" w:hAnsi="Arial" w:cs="Arial"/>
          <w:sz w:val="24"/>
          <w:szCs w:val="24"/>
        </w:rPr>
        <w:t xml:space="preserve"> estudiaron tres</w:t>
      </w:r>
      <w:r w:rsidRPr="0042001C">
        <w:rPr>
          <w:rFonts w:ascii="Arial" w:hAnsi="Arial" w:cs="Arial"/>
          <w:sz w:val="24"/>
          <w:szCs w:val="24"/>
        </w:rPr>
        <w:t xml:space="preserve"> fechas de siembra: noviembre de 2008, junio de 2009 y julio de 2009, uti</w:t>
      </w:r>
      <w:r>
        <w:rPr>
          <w:rFonts w:ascii="Arial" w:hAnsi="Arial" w:cs="Arial"/>
          <w:sz w:val="24"/>
          <w:szCs w:val="24"/>
        </w:rPr>
        <w:t xml:space="preserve">lizándose una densidad de 15 kg </w:t>
      </w:r>
      <w:r w:rsidRPr="0042001C">
        <w:rPr>
          <w:rFonts w:ascii="Arial" w:hAnsi="Arial" w:cs="Arial"/>
          <w:sz w:val="24"/>
          <w:szCs w:val="24"/>
        </w:rPr>
        <w:t>ha-1. Se realizaron muestreos destructivos cada 15 días de emergidas las plantas hasta la cosecha, determinándose</w:t>
      </w:r>
      <w:r>
        <w:rPr>
          <w:rFonts w:ascii="Arial" w:hAnsi="Arial" w:cs="Arial"/>
          <w:sz w:val="24"/>
          <w:szCs w:val="24"/>
        </w:rPr>
        <w:t xml:space="preserve"> la masa seca por órgano.</w:t>
      </w:r>
      <w:r w:rsidRPr="0042001C">
        <w:rPr>
          <w:rFonts w:ascii="Arial" w:hAnsi="Arial" w:cs="Arial"/>
          <w:sz w:val="24"/>
          <w:szCs w:val="24"/>
        </w:rPr>
        <w:t xml:space="preserve"> </w:t>
      </w:r>
      <w:r>
        <w:rPr>
          <w:rFonts w:ascii="Arial" w:hAnsi="Arial" w:cs="Arial"/>
          <w:sz w:val="24"/>
          <w:szCs w:val="24"/>
        </w:rPr>
        <w:t>L</w:t>
      </w:r>
      <w:r w:rsidRPr="0042001C">
        <w:rPr>
          <w:rFonts w:ascii="Arial" w:hAnsi="Arial" w:cs="Arial"/>
          <w:sz w:val="24"/>
          <w:szCs w:val="24"/>
        </w:rPr>
        <w:t xml:space="preserve">os datos </w:t>
      </w:r>
      <w:r>
        <w:rPr>
          <w:rFonts w:ascii="Arial" w:hAnsi="Arial" w:cs="Arial"/>
          <w:sz w:val="24"/>
          <w:szCs w:val="24"/>
        </w:rPr>
        <w:t>se ajustaron</w:t>
      </w:r>
      <w:r w:rsidRPr="0042001C">
        <w:rPr>
          <w:rFonts w:ascii="Arial" w:hAnsi="Arial" w:cs="Arial"/>
          <w:sz w:val="24"/>
          <w:szCs w:val="24"/>
        </w:rPr>
        <w:t xml:space="preserve"> a una función exponencial polinómica de segundo grado, “x” fue los días después de la emergencia y “y” la variable en cuestión</w:t>
      </w:r>
      <w:r>
        <w:rPr>
          <w:rFonts w:ascii="Arial" w:hAnsi="Arial" w:cs="Arial"/>
          <w:sz w:val="24"/>
          <w:szCs w:val="24"/>
        </w:rPr>
        <w:t>.</w:t>
      </w:r>
      <w:r w:rsidRPr="0042001C">
        <w:rPr>
          <w:rFonts w:ascii="Arial" w:hAnsi="Arial" w:cs="Arial"/>
          <w:sz w:val="24"/>
          <w:szCs w:val="24"/>
        </w:rPr>
        <w:t xml:space="preserve"> </w:t>
      </w:r>
      <w:r>
        <w:rPr>
          <w:rFonts w:ascii="Arial" w:hAnsi="Arial" w:cs="Arial"/>
          <w:sz w:val="24"/>
          <w:szCs w:val="24"/>
        </w:rPr>
        <w:t>A</w:t>
      </w:r>
      <w:r w:rsidRPr="0042001C">
        <w:rPr>
          <w:rFonts w:ascii="Arial" w:hAnsi="Arial" w:cs="Arial"/>
          <w:sz w:val="24"/>
          <w:szCs w:val="24"/>
        </w:rPr>
        <w:t xml:space="preserve"> partir de las ecuaciones de regresión se calcularon la </w:t>
      </w:r>
      <w:r>
        <w:rPr>
          <w:rFonts w:ascii="Arial" w:hAnsi="Arial" w:cs="Arial"/>
          <w:sz w:val="24"/>
          <w:szCs w:val="24"/>
        </w:rPr>
        <w:t>t</w:t>
      </w:r>
      <w:r w:rsidRPr="0042001C">
        <w:rPr>
          <w:rFonts w:ascii="Arial" w:hAnsi="Arial" w:cs="Arial"/>
          <w:sz w:val="24"/>
          <w:szCs w:val="24"/>
        </w:rPr>
        <w:t xml:space="preserve">asa </w:t>
      </w:r>
      <w:r>
        <w:rPr>
          <w:rFonts w:ascii="Arial" w:hAnsi="Arial" w:cs="Arial"/>
          <w:sz w:val="24"/>
          <w:szCs w:val="24"/>
        </w:rPr>
        <w:t>de asimilación neta (TAN) y la r</w:t>
      </w:r>
      <w:r w:rsidRPr="0042001C">
        <w:rPr>
          <w:rFonts w:ascii="Arial" w:hAnsi="Arial" w:cs="Arial"/>
          <w:sz w:val="24"/>
          <w:szCs w:val="24"/>
        </w:rPr>
        <w:t>elación de área foliar (RAF)</w:t>
      </w:r>
      <w:r>
        <w:rPr>
          <w:rFonts w:ascii="Arial" w:hAnsi="Arial" w:cs="Arial"/>
          <w:sz w:val="24"/>
          <w:szCs w:val="24"/>
        </w:rPr>
        <w:t>. T</w:t>
      </w:r>
      <w:r w:rsidRPr="0042001C">
        <w:rPr>
          <w:rFonts w:ascii="Arial" w:hAnsi="Arial" w:cs="Arial"/>
          <w:sz w:val="24"/>
          <w:szCs w:val="24"/>
        </w:rPr>
        <w:t>ambién se calculó la relación entre la potencia de la fuente y la potencia de la demanda, encontrándose que una mayor eficiencia en el uso de la radiación conlleva a valores máximos más elevados en la (TAN) y en los potenciales entre los órganos fuente y demanda y por tanto a una mayor acumulación de biomasa en momentos pr</w:t>
      </w:r>
      <w:r>
        <w:rPr>
          <w:rFonts w:ascii="Arial" w:hAnsi="Arial" w:cs="Arial"/>
          <w:sz w:val="24"/>
          <w:szCs w:val="24"/>
        </w:rPr>
        <w:t>óximos a la madurez fisiológica;</w:t>
      </w:r>
      <w:r w:rsidRPr="0042001C">
        <w:rPr>
          <w:rFonts w:ascii="Arial" w:hAnsi="Arial" w:cs="Arial"/>
          <w:sz w:val="24"/>
          <w:szCs w:val="24"/>
        </w:rPr>
        <w:t xml:space="preserve"> destacándose en este caso las fechas de junio y julio de 2009 las cuales manifestaron un comportamiento más eficiente en relación con los índices de crecimiento evaluados, obteniéndose en estas los mayores rendimientos. </w:t>
      </w:r>
    </w:p>
    <w:p w:rsidR="001A7A97" w:rsidRPr="0042001C" w:rsidRDefault="001A7A97" w:rsidP="001A7A97">
      <w:pPr>
        <w:spacing w:after="0" w:line="360" w:lineRule="auto"/>
        <w:jc w:val="both"/>
        <w:rPr>
          <w:rFonts w:ascii="Arial" w:hAnsi="Arial" w:cs="Arial"/>
          <w:sz w:val="24"/>
          <w:szCs w:val="24"/>
        </w:rPr>
      </w:pPr>
      <w:r w:rsidRPr="00130C97">
        <w:rPr>
          <w:rFonts w:ascii="Arial" w:hAnsi="Arial" w:cs="Arial"/>
          <w:b/>
          <w:bCs/>
          <w:i/>
          <w:sz w:val="24"/>
          <w:szCs w:val="24"/>
        </w:rPr>
        <w:t>Palabras clave</w:t>
      </w:r>
      <w:r w:rsidRPr="0042001C">
        <w:rPr>
          <w:rFonts w:ascii="Arial" w:hAnsi="Arial" w:cs="Arial"/>
          <w:b/>
          <w:bCs/>
          <w:sz w:val="24"/>
          <w:szCs w:val="24"/>
        </w:rPr>
        <w:t>:</w:t>
      </w:r>
      <w:r w:rsidRPr="0042001C">
        <w:rPr>
          <w:rFonts w:ascii="Arial" w:hAnsi="Arial" w:cs="Arial"/>
          <w:sz w:val="24"/>
          <w:szCs w:val="24"/>
        </w:rPr>
        <w:t xml:space="preserve"> contenido de masa seca</w:t>
      </w:r>
      <w:r>
        <w:rPr>
          <w:rFonts w:ascii="Arial" w:hAnsi="Arial" w:cs="Arial"/>
          <w:sz w:val="24"/>
          <w:szCs w:val="24"/>
        </w:rPr>
        <w:t>,</w:t>
      </w:r>
      <w:r w:rsidRPr="0042001C">
        <w:rPr>
          <w:rFonts w:ascii="Arial" w:hAnsi="Arial" w:cs="Arial"/>
          <w:sz w:val="24"/>
          <w:szCs w:val="24"/>
        </w:rPr>
        <w:t xml:space="preserve"> rendimiento, productividad</w:t>
      </w:r>
    </w:p>
    <w:p w:rsidR="001A7A97" w:rsidRPr="0042001C" w:rsidRDefault="001A7A97" w:rsidP="001A7A97">
      <w:pPr>
        <w:spacing w:after="0" w:line="360" w:lineRule="auto"/>
        <w:jc w:val="both"/>
        <w:rPr>
          <w:rFonts w:ascii="Arial" w:hAnsi="Arial" w:cs="Arial"/>
          <w:sz w:val="24"/>
          <w:szCs w:val="24"/>
          <w:lang w:val="en"/>
        </w:rPr>
      </w:pPr>
      <w:r w:rsidRPr="00D52FB5">
        <w:rPr>
          <w:rFonts w:ascii="Arial" w:hAnsi="Arial" w:cs="Arial"/>
          <w:b/>
          <w:sz w:val="24"/>
          <w:szCs w:val="24"/>
          <w:lang w:val="en"/>
        </w:rPr>
        <w:t>ABSTRACT</w:t>
      </w:r>
      <w:r>
        <w:rPr>
          <w:rFonts w:ascii="Arial" w:hAnsi="Arial" w:cs="Arial"/>
          <w:sz w:val="24"/>
          <w:szCs w:val="24"/>
          <w:lang w:val="en"/>
        </w:rPr>
        <w:t xml:space="preserve">. </w:t>
      </w:r>
      <w:r w:rsidRPr="0042001C">
        <w:rPr>
          <w:rFonts w:ascii="Arial" w:hAnsi="Arial" w:cs="Arial"/>
          <w:sz w:val="24"/>
          <w:szCs w:val="24"/>
          <w:lang w:val="en"/>
        </w:rPr>
        <w:t>In order to evaluate the influence of three planting dates on growth and supply demand relationship in the cultivation of sorghum, the work was developed at the National Institute of Agricultural Sciences</w:t>
      </w:r>
      <w:r>
        <w:rPr>
          <w:rFonts w:ascii="Arial" w:hAnsi="Arial" w:cs="Arial"/>
          <w:sz w:val="24"/>
          <w:szCs w:val="24"/>
          <w:lang w:val="en"/>
        </w:rPr>
        <w:t>.</w:t>
      </w:r>
      <w:r w:rsidRPr="0042001C">
        <w:rPr>
          <w:rFonts w:ascii="Arial" w:hAnsi="Arial" w:cs="Arial"/>
          <w:sz w:val="24"/>
          <w:szCs w:val="24"/>
          <w:lang w:val="en"/>
        </w:rPr>
        <w:t xml:space="preserve"> Three planting dates were studied: November 2008, June 2009 and July 2009, using a density of 15 kg ha-1. plants destructive samplings were made every 15 days after emergence to harvest, </w:t>
      </w:r>
      <w:proofErr w:type="spellStart"/>
      <w:r w:rsidRPr="0042001C">
        <w:rPr>
          <w:rFonts w:ascii="Arial" w:hAnsi="Arial" w:cs="Arial"/>
          <w:sz w:val="24"/>
          <w:szCs w:val="24"/>
          <w:lang w:val="en"/>
        </w:rPr>
        <w:t>determinándoseles</w:t>
      </w:r>
      <w:proofErr w:type="spellEnd"/>
      <w:r w:rsidRPr="0042001C">
        <w:rPr>
          <w:rFonts w:ascii="Arial" w:hAnsi="Arial" w:cs="Arial"/>
          <w:sz w:val="24"/>
          <w:szCs w:val="24"/>
          <w:lang w:val="en"/>
        </w:rPr>
        <w:t xml:space="preserve"> the dry mass of organs, adjusting the data to a polynomial exponential function of the second degree, "x" was the days after the emergency "and" variable in question from the regression equations the net assimilation rate (NAR) and leaf area ratio (RAF) were calculated, the relationship between the power source and power demand was also calculated and found to </w:t>
      </w:r>
      <w:r w:rsidRPr="0042001C">
        <w:rPr>
          <w:rFonts w:ascii="Arial" w:hAnsi="Arial" w:cs="Arial"/>
          <w:sz w:val="24"/>
          <w:szCs w:val="24"/>
          <w:lang w:val="en"/>
        </w:rPr>
        <w:lastRenderedPageBreak/>
        <w:t>greater efficiency in the use of radiation leads to higher maximum in (NAR) and the potential between the supply and demand organs and therefore a greater accumulation of biomass in next time to physiological maturity, s</w:t>
      </w:r>
      <w:proofErr w:type="spellStart"/>
      <w:r w:rsidRPr="0042001C">
        <w:rPr>
          <w:rFonts w:ascii="Arial" w:hAnsi="Arial" w:cs="Arial"/>
          <w:sz w:val="24"/>
          <w:szCs w:val="24"/>
          <w:lang w:val="en-US"/>
        </w:rPr>
        <w:t>tanding</w:t>
      </w:r>
      <w:proofErr w:type="spellEnd"/>
      <w:r w:rsidRPr="0042001C">
        <w:rPr>
          <w:rFonts w:ascii="Arial" w:hAnsi="Arial" w:cs="Arial"/>
          <w:sz w:val="24"/>
          <w:szCs w:val="24"/>
          <w:lang w:val="en-US"/>
        </w:rPr>
        <w:t xml:space="preserve"> out in</w:t>
      </w:r>
      <w:r w:rsidRPr="0042001C">
        <w:rPr>
          <w:rFonts w:ascii="Arial" w:hAnsi="Arial" w:cs="Arial"/>
          <w:sz w:val="24"/>
          <w:szCs w:val="24"/>
          <w:lang w:val="en"/>
        </w:rPr>
        <w:t xml:space="preserve"> this case the dates of June and July 2009 which expressed more efficient in relation to growth rates assessed behavior, resulting in these higher yields.</w:t>
      </w:r>
    </w:p>
    <w:p w:rsidR="001A7A97" w:rsidRPr="0042001C" w:rsidRDefault="001A7A97" w:rsidP="001A7A97">
      <w:pPr>
        <w:autoSpaceDE w:val="0"/>
        <w:autoSpaceDN w:val="0"/>
        <w:adjustRightInd w:val="0"/>
        <w:spacing w:after="0" w:line="360" w:lineRule="auto"/>
        <w:jc w:val="both"/>
        <w:rPr>
          <w:rFonts w:ascii="Arial" w:hAnsi="Arial" w:cs="Arial"/>
          <w:sz w:val="24"/>
          <w:szCs w:val="24"/>
          <w:lang w:val="en-US"/>
        </w:rPr>
      </w:pPr>
      <w:r w:rsidRPr="0042001C">
        <w:rPr>
          <w:rFonts w:ascii="Arial" w:hAnsi="Arial" w:cs="Arial"/>
          <w:b/>
          <w:sz w:val="24"/>
          <w:szCs w:val="24"/>
          <w:lang w:val="en-US"/>
        </w:rPr>
        <w:t>Keywords</w:t>
      </w:r>
      <w:r w:rsidRPr="0042001C">
        <w:rPr>
          <w:rFonts w:ascii="Arial" w:hAnsi="Arial" w:cs="Arial"/>
          <w:sz w:val="24"/>
          <w:szCs w:val="24"/>
          <w:lang w:val="en-US"/>
        </w:rPr>
        <w:t xml:space="preserve">: </w:t>
      </w:r>
      <w:r>
        <w:rPr>
          <w:rFonts w:ascii="Arial" w:hAnsi="Arial" w:cs="Arial"/>
          <w:sz w:val="24"/>
          <w:szCs w:val="24"/>
          <w:lang w:val="en-US"/>
        </w:rPr>
        <w:t>yield</w:t>
      </w:r>
      <w:r w:rsidRPr="0042001C">
        <w:rPr>
          <w:rFonts w:ascii="Arial" w:hAnsi="Arial" w:cs="Arial"/>
          <w:sz w:val="24"/>
          <w:szCs w:val="24"/>
          <w:lang w:val="en-US"/>
        </w:rPr>
        <w:t>, dry matter content, productivity.</w:t>
      </w:r>
    </w:p>
    <w:p w:rsidR="001A7A97" w:rsidRPr="0042001C" w:rsidRDefault="001A7A97" w:rsidP="001A7A97">
      <w:pPr>
        <w:spacing w:after="0" w:line="360" w:lineRule="auto"/>
        <w:jc w:val="both"/>
        <w:rPr>
          <w:rFonts w:ascii="Arial" w:hAnsi="Arial" w:cs="Arial"/>
          <w:b/>
          <w:sz w:val="24"/>
          <w:szCs w:val="24"/>
        </w:rPr>
      </w:pPr>
      <w:r w:rsidRPr="0042001C">
        <w:rPr>
          <w:rFonts w:ascii="Arial" w:hAnsi="Arial" w:cs="Arial"/>
          <w:b/>
          <w:sz w:val="24"/>
          <w:szCs w:val="24"/>
        </w:rPr>
        <w:t xml:space="preserve">INTRODUCCIÓN </w:t>
      </w:r>
    </w:p>
    <w:p w:rsidR="001A7A97" w:rsidRPr="0042001C" w:rsidRDefault="001A7A97" w:rsidP="001A7A97">
      <w:pPr>
        <w:spacing w:after="0" w:line="360" w:lineRule="auto"/>
        <w:jc w:val="both"/>
        <w:rPr>
          <w:rFonts w:ascii="Arial" w:hAnsi="Arial" w:cs="Arial"/>
          <w:sz w:val="24"/>
          <w:szCs w:val="24"/>
        </w:rPr>
      </w:pPr>
      <w:r w:rsidRPr="0042001C">
        <w:rPr>
          <w:rFonts w:ascii="Arial" w:hAnsi="Arial" w:cs="Arial"/>
          <w:sz w:val="24"/>
          <w:szCs w:val="24"/>
        </w:rPr>
        <w:t xml:space="preserve">El sorgo </w:t>
      </w:r>
      <w:r w:rsidRPr="00C45E2C">
        <w:rPr>
          <w:rFonts w:ascii="Arial" w:hAnsi="Arial" w:cs="Arial"/>
          <w:i/>
          <w:sz w:val="24"/>
          <w:szCs w:val="24"/>
        </w:rPr>
        <w:t>(</w:t>
      </w:r>
      <w:proofErr w:type="spellStart"/>
      <w:r w:rsidRPr="00C45E2C">
        <w:rPr>
          <w:rFonts w:ascii="Arial" w:hAnsi="Arial" w:cs="Arial"/>
          <w:i/>
          <w:sz w:val="24"/>
          <w:szCs w:val="24"/>
        </w:rPr>
        <w:t>Sorghum</w:t>
      </w:r>
      <w:proofErr w:type="spellEnd"/>
      <w:r w:rsidRPr="00C45E2C">
        <w:rPr>
          <w:rFonts w:ascii="Arial" w:hAnsi="Arial" w:cs="Arial"/>
          <w:i/>
          <w:sz w:val="24"/>
          <w:szCs w:val="24"/>
        </w:rPr>
        <w:t xml:space="preserve"> bicolor</w:t>
      </w:r>
      <w:r w:rsidRPr="0042001C">
        <w:rPr>
          <w:rFonts w:ascii="Arial" w:hAnsi="Arial" w:cs="Arial"/>
          <w:sz w:val="24"/>
          <w:szCs w:val="24"/>
        </w:rPr>
        <w:t xml:space="preserve"> L. </w:t>
      </w:r>
      <w:proofErr w:type="spellStart"/>
      <w:r w:rsidRPr="0042001C">
        <w:rPr>
          <w:rFonts w:ascii="Arial" w:hAnsi="Arial" w:cs="Arial"/>
          <w:sz w:val="24"/>
          <w:szCs w:val="24"/>
        </w:rPr>
        <w:t>Moench</w:t>
      </w:r>
      <w:proofErr w:type="spellEnd"/>
      <w:r w:rsidRPr="0042001C">
        <w:rPr>
          <w:rFonts w:ascii="Arial" w:hAnsi="Arial" w:cs="Arial"/>
          <w:sz w:val="24"/>
          <w:szCs w:val="24"/>
        </w:rPr>
        <w:t>) es uno de los cereales que por sus características agronómicas y nutricionales pudiera aportar grandes beneficios en la alimentación, tanto humana como animal, a nivel mundial, tropical y nacional (1). En condiciones de baja humedad del suelo, el sorgo mantiene una actividad fisiológica similar a la de las plantas con suficiente humedad mediante el aumento de longitud de la raíz, la densidad, y la eficiencia del uso del agua. Su biomasa se utiliza de diversas maneras para la producción de energía,</w:t>
      </w:r>
      <w:r>
        <w:rPr>
          <w:rFonts w:ascii="Arial" w:hAnsi="Arial" w:cs="Arial"/>
          <w:sz w:val="24"/>
          <w:szCs w:val="24"/>
        </w:rPr>
        <w:t xml:space="preserve"> de</w:t>
      </w:r>
      <w:r w:rsidRPr="0042001C">
        <w:rPr>
          <w:rFonts w:ascii="Arial" w:hAnsi="Arial" w:cs="Arial"/>
          <w:sz w:val="24"/>
          <w:szCs w:val="24"/>
        </w:rPr>
        <w:t xml:space="preserve"> fibra o papel, así como</w:t>
      </w:r>
      <w:r>
        <w:rPr>
          <w:rFonts w:ascii="Arial" w:hAnsi="Arial" w:cs="Arial"/>
          <w:sz w:val="24"/>
          <w:szCs w:val="24"/>
        </w:rPr>
        <w:t xml:space="preserve"> de</w:t>
      </w:r>
      <w:r w:rsidRPr="0042001C">
        <w:rPr>
          <w:rFonts w:ascii="Arial" w:hAnsi="Arial" w:cs="Arial"/>
          <w:sz w:val="24"/>
          <w:szCs w:val="24"/>
        </w:rPr>
        <w:t xml:space="preserve"> jarabe en varias regiones.</w:t>
      </w:r>
    </w:p>
    <w:p w:rsidR="001A7A97" w:rsidRPr="0042001C" w:rsidRDefault="001A7A97" w:rsidP="001A7A97">
      <w:pPr>
        <w:spacing w:after="0" w:line="360" w:lineRule="auto"/>
        <w:jc w:val="both"/>
        <w:rPr>
          <w:rFonts w:ascii="Arial" w:hAnsi="Arial" w:cs="Arial"/>
          <w:sz w:val="24"/>
          <w:szCs w:val="24"/>
        </w:rPr>
      </w:pPr>
      <w:r w:rsidRPr="0042001C">
        <w:rPr>
          <w:rFonts w:ascii="Arial" w:hAnsi="Arial" w:cs="Arial"/>
          <w:sz w:val="24"/>
          <w:szCs w:val="24"/>
        </w:rPr>
        <w:t>Este cultivo se adapta bien a las condiciones de Cuba, el cual mostró un incipiente desarrollo que desapareció de forma paralela a la colaboración del CAME (Consejo de Ayuda Mutua Económica). Hoy no existe una amplia tradición y experiencia en cuanto a su producción; sin embargo, diferentes ensayos indican que los rendimientos son satisfactorios y que pudieran incrementarse si se contara con tecnologías apropiadas y sustentables que permitieran expresar todo su potencial (</w:t>
      </w:r>
      <w:r>
        <w:rPr>
          <w:rFonts w:ascii="Arial" w:hAnsi="Arial" w:cs="Arial"/>
          <w:sz w:val="24"/>
          <w:szCs w:val="24"/>
        </w:rPr>
        <w:t>1</w:t>
      </w:r>
      <w:r w:rsidRPr="0042001C">
        <w:rPr>
          <w:rFonts w:ascii="Arial" w:hAnsi="Arial" w:cs="Arial"/>
          <w:sz w:val="24"/>
          <w:szCs w:val="24"/>
        </w:rPr>
        <w:t>).</w:t>
      </w:r>
    </w:p>
    <w:p w:rsidR="001A7A97" w:rsidRPr="0042001C" w:rsidRDefault="001A7A97" w:rsidP="002A215D">
      <w:pPr>
        <w:autoSpaceDE w:val="0"/>
        <w:autoSpaceDN w:val="0"/>
        <w:adjustRightInd w:val="0"/>
        <w:spacing w:before="120" w:after="120" w:line="360" w:lineRule="auto"/>
        <w:jc w:val="both"/>
        <w:rPr>
          <w:rFonts w:ascii="Arial" w:hAnsi="Arial" w:cs="Arial"/>
          <w:sz w:val="24"/>
          <w:szCs w:val="24"/>
        </w:rPr>
      </w:pPr>
      <w:r w:rsidRPr="0042001C">
        <w:rPr>
          <w:rFonts w:ascii="Arial" w:hAnsi="Arial" w:cs="Arial"/>
          <w:sz w:val="24"/>
          <w:szCs w:val="24"/>
        </w:rPr>
        <w:t>El rendimiento de un cultivo depende de su capacidad de crecimiento y la producción de asimilados y de qué parte de ellos destina a los órganos de interés económico. El crecimiento resulta del aprovechamiento de la luz solar en la fabricación de los componentes constituyentes y funcionales de los distintos órganos de la planta. Por lo tanto, está directamente relacionado con la capacidad de la copa para capturar la luz incidente. Las consecuencias de la modificación del momento de implantación del cultivo sobre su crecimiento resultan de la incidencia de la temperatura, la radiación y el fotoperiodo sobre su fenología, el desarrollo del área foliar y la acumulación de materia seca (2).</w:t>
      </w:r>
    </w:p>
    <w:p w:rsidR="000B4EE4" w:rsidRDefault="000B4EE4" w:rsidP="002A215D">
      <w:pPr>
        <w:autoSpaceDE w:val="0"/>
        <w:autoSpaceDN w:val="0"/>
        <w:adjustRightInd w:val="0"/>
        <w:spacing w:before="120" w:after="120" w:line="360" w:lineRule="auto"/>
        <w:jc w:val="both"/>
        <w:rPr>
          <w:rFonts w:ascii="Arial" w:hAnsi="Arial" w:cs="Arial"/>
          <w:sz w:val="24"/>
          <w:szCs w:val="24"/>
        </w:rPr>
      </w:pPr>
      <w:r w:rsidRPr="0042001C">
        <w:rPr>
          <w:rFonts w:ascii="Arial" w:hAnsi="Arial" w:cs="Arial"/>
          <w:sz w:val="24"/>
          <w:szCs w:val="24"/>
        </w:rPr>
        <w:t xml:space="preserve">En el cultivo de sorgo se plantea que el rendimiento del grano está determinado casi totalmente por la movilización de asimilados producto de la fotosíntesis </w:t>
      </w:r>
      <w:r w:rsidRPr="0042001C">
        <w:rPr>
          <w:rFonts w:ascii="Arial" w:hAnsi="Arial" w:cs="Arial"/>
          <w:sz w:val="24"/>
          <w:szCs w:val="24"/>
        </w:rPr>
        <w:lastRenderedPageBreak/>
        <w:t xml:space="preserve">laminar realizada durante la etapa de llenado de </w:t>
      </w:r>
      <w:r>
        <w:rPr>
          <w:rFonts w:ascii="Arial" w:hAnsi="Arial" w:cs="Arial"/>
          <w:sz w:val="24"/>
          <w:szCs w:val="24"/>
        </w:rPr>
        <w:t xml:space="preserve">la </w:t>
      </w:r>
      <w:r w:rsidRPr="0042001C">
        <w:rPr>
          <w:rFonts w:ascii="Arial" w:hAnsi="Arial" w:cs="Arial"/>
          <w:sz w:val="24"/>
          <w:szCs w:val="24"/>
        </w:rPr>
        <w:t>semilla, o sea, la etapa post-antesis. La contribución de la fotosíntesis laminar pre-antesis es un factor importante, puesto que contribuye hasta con 12</w:t>
      </w:r>
      <w:r>
        <w:rPr>
          <w:rFonts w:ascii="Arial" w:hAnsi="Arial" w:cs="Arial"/>
          <w:sz w:val="24"/>
          <w:szCs w:val="24"/>
        </w:rPr>
        <w:t xml:space="preserve"> </w:t>
      </w:r>
      <w:r w:rsidRPr="0042001C">
        <w:rPr>
          <w:rFonts w:ascii="Arial" w:hAnsi="Arial" w:cs="Arial"/>
          <w:sz w:val="24"/>
          <w:szCs w:val="24"/>
        </w:rPr>
        <w:t xml:space="preserve">% del rendimiento de </w:t>
      </w:r>
      <w:r>
        <w:rPr>
          <w:rFonts w:ascii="Arial" w:hAnsi="Arial" w:cs="Arial"/>
          <w:sz w:val="24"/>
          <w:szCs w:val="24"/>
        </w:rPr>
        <w:t xml:space="preserve">la </w:t>
      </w:r>
      <w:r w:rsidRPr="0042001C">
        <w:rPr>
          <w:rFonts w:ascii="Arial" w:hAnsi="Arial" w:cs="Arial"/>
          <w:sz w:val="24"/>
          <w:szCs w:val="24"/>
        </w:rPr>
        <w:t xml:space="preserve">semilla (3). Por tanto la productividad de los cultivos está gobernada por complejas interacciones entre el clima y los procesos </w:t>
      </w:r>
      <w:proofErr w:type="spellStart"/>
      <w:r w:rsidRPr="0042001C">
        <w:rPr>
          <w:rFonts w:ascii="Arial" w:hAnsi="Arial" w:cs="Arial"/>
          <w:sz w:val="24"/>
          <w:szCs w:val="24"/>
        </w:rPr>
        <w:t>ecofisiológicos</w:t>
      </w:r>
      <w:proofErr w:type="spellEnd"/>
      <w:r w:rsidRPr="0042001C">
        <w:rPr>
          <w:rFonts w:ascii="Arial" w:hAnsi="Arial" w:cs="Arial"/>
          <w:sz w:val="24"/>
          <w:szCs w:val="24"/>
        </w:rPr>
        <w:t xml:space="preserve"> que estos conllevan. El éxito productivo no solo depende de la intensidad de los estímulos climáticos sino también de la secuencia temporal de estos durante el ciclo de la vida de los cultivos (2). </w:t>
      </w:r>
    </w:p>
    <w:p w:rsidR="001A7A97" w:rsidRPr="0042001C" w:rsidRDefault="001A7A97" w:rsidP="002A215D">
      <w:pPr>
        <w:autoSpaceDE w:val="0"/>
        <w:autoSpaceDN w:val="0"/>
        <w:adjustRightInd w:val="0"/>
        <w:spacing w:before="120" w:after="120" w:line="360" w:lineRule="auto"/>
        <w:jc w:val="both"/>
        <w:rPr>
          <w:rFonts w:ascii="Arial" w:hAnsi="Arial" w:cs="Arial"/>
          <w:sz w:val="24"/>
          <w:szCs w:val="24"/>
        </w:rPr>
      </w:pPr>
      <w:r w:rsidRPr="0042001C">
        <w:rPr>
          <w:rFonts w:ascii="Arial" w:hAnsi="Arial" w:cs="Arial"/>
          <w:sz w:val="24"/>
          <w:szCs w:val="24"/>
        </w:rPr>
        <w:t>La eficiencia fotosintética de las plantas cultivadas y la producción total pueden determinarse mediante el empleo de índices de crecimiento, los cuales, indican la eficacia de las plantas para aprovechar los factores ambientales y la forma en que estas distribuyen sus asimilados (4). Por lo que el presente trabajo tuvo como objetivo evaluar la influencia de tres fechas de siembra sobre el crecimiento y la relación f</w:t>
      </w:r>
      <w:r>
        <w:rPr>
          <w:rFonts w:ascii="Arial" w:hAnsi="Arial" w:cs="Arial"/>
          <w:sz w:val="24"/>
          <w:szCs w:val="24"/>
        </w:rPr>
        <w:t xml:space="preserve">uente </w:t>
      </w:r>
      <w:r w:rsidRPr="0042001C">
        <w:rPr>
          <w:rFonts w:ascii="Arial" w:hAnsi="Arial" w:cs="Arial"/>
          <w:sz w:val="24"/>
          <w:szCs w:val="24"/>
        </w:rPr>
        <w:t>demanda del</w:t>
      </w:r>
      <w:r w:rsidRPr="0042001C">
        <w:rPr>
          <w:rFonts w:ascii="Arial" w:hAnsi="Arial" w:cs="Arial"/>
          <w:b/>
          <w:sz w:val="24"/>
          <w:szCs w:val="24"/>
        </w:rPr>
        <w:t xml:space="preserve"> </w:t>
      </w:r>
      <w:r w:rsidRPr="0042001C">
        <w:rPr>
          <w:rFonts w:ascii="Arial" w:hAnsi="Arial" w:cs="Arial"/>
          <w:sz w:val="24"/>
          <w:szCs w:val="24"/>
        </w:rPr>
        <w:t xml:space="preserve">cultivo del sorgo. </w:t>
      </w:r>
    </w:p>
    <w:p w:rsidR="001A7A97" w:rsidRPr="0042001C" w:rsidRDefault="001A7A97" w:rsidP="002A215D">
      <w:pPr>
        <w:spacing w:before="120" w:after="120" w:line="360" w:lineRule="auto"/>
        <w:jc w:val="both"/>
        <w:rPr>
          <w:rFonts w:ascii="Arial" w:hAnsi="Arial" w:cs="Arial"/>
          <w:b/>
          <w:sz w:val="24"/>
          <w:szCs w:val="24"/>
        </w:rPr>
      </w:pPr>
      <w:r w:rsidRPr="0042001C">
        <w:rPr>
          <w:rFonts w:ascii="Arial" w:hAnsi="Arial" w:cs="Arial"/>
          <w:b/>
          <w:sz w:val="24"/>
          <w:szCs w:val="24"/>
        </w:rPr>
        <w:t>MATERIALES Y MÉTODOS</w:t>
      </w:r>
    </w:p>
    <w:p w:rsidR="001A7A97" w:rsidRPr="0042001C" w:rsidRDefault="001A7A97" w:rsidP="001A7A97">
      <w:pPr>
        <w:pStyle w:val="Bodytext"/>
        <w:spacing w:line="360" w:lineRule="auto"/>
        <w:jc w:val="both"/>
      </w:pPr>
      <w:r w:rsidRPr="0042001C">
        <w:t xml:space="preserve">El trabajo se desarrolló en el área experimental del Instituto Nacional de Ciencias Agrícolas (INCA), ubicado en San José de las Lajas, Mayabeque, situado a 138 msnm. Se establecieron tres fechas de siembra: 18 de noviembre de 2008, 12 de junio de 2009 y 31 de julio de 2009, sobre un suelo Ferralítico Rojo (5), siguiendo las recomendaciones para la producción del cultivo (6). El sorgo </w:t>
      </w:r>
      <w:proofErr w:type="spellStart"/>
      <w:r w:rsidRPr="0042001C">
        <w:t>var</w:t>
      </w:r>
      <w:proofErr w:type="spellEnd"/>
      <w:r w:rsidRPr="0042001C">
        <w:t>. ISIAP Dorado se utilizó u</w:t>
      </w:r>
      <w:r>
        <w:t xml:space="preserve">na densidad de siembra de 15 kg </w:t>
      </w:r>
      <w:r w:rsidRPr="0042001C">
        <w:t>ha</w:t>
      </w:r>
      <w:r w:rsidRPr="0042001C">
        <w:rPr>
          <w:vertAlign w:val="superscript"/>
        </w:rPr>
        <w:t>-1</w:t>
      </w:r>
      <w:r w:rsidRPr="0042001C">
        <w:t xml:space="preserve"> de semilla. Semanalmente y a partir de los 15 días después de la emergencia (DDE) se determinó mediante muestreos destructivos, los siguientes indicadores.</w:t>
      </w:r>
    </w:p>
    <w:p w:rsidR="001A7A97" w:rsidRPr="0042001C" w:rsidRDefault="001A7A97" w:rsidP="001A7A97">
      <w:pPr>
        <w:pStyle w:val="pleca"/>
        <w:numPr>
          <w:ilvl w:val="0"/>
          <w:numId w:val="1"/>
        </w:numPr>
        <w:spacing w:line="360" w:lineRule="auto"/>
        <w:ind w:left="426" w:hanging="398"/>
        <w:jc w:val="both"/>
        <w:rPr>
          <w:rFonts w:ascii="Arial" w:hAnsi="Arial" w:cs="Arial"/>
        </w:rPr>
      </w:pPr>
      <w:r w:rsidRPr="0042001C">
        <w:rPr>
          <w:rFonts w:ascii="Arial" w:hAnsi="Arial" w:cs="Arial"/>
        </w:rPr>
        <w:t>Índice de área foliar (IAF), para ello se estimó el área foliar por el método del disco en base a masa seca.</w:t>
      </w:r>
    </w:p>
    <w:p w:rsidR="001A7A97" w:rsidRPr="0042001C" w:rsidRDefault="001A7A97" w:rsidP="001A7A97">
      <w:pPr>
        <w:pStyle w:val="Prrafodelista"/>
        <w:numPr>
          <w:ilvl w:val="0"/>
          <w:numId w:val="1"/>
        </w:numPr>
        <w:autoSpaceDE w:val="0"/>
        <w:autoSpaceDN w:val="0"/>
        <w:adjustRightInd w:val="0"/>
        <w:spacing w:after="0" w:line="360" w:lineRule="auto"/>
        <w:ind w:left="426" w:hanging="398"/>
        <w:jc w:val="both"/>
        <w:rPr>
          <w:rFonts w:ascii="Arial" w:hAnsi="Arial" w:cs="Arial"/>
          <w:sz w:val="24"/>
          <w:szCs w:val="24"/>
        </w:rPr>
      </w:pPr>
      <w:r w:rsidRPr="0042001C">
        <w:rPr>
          <w:rFonts w:ascii="Arial" w:hAnsi="Arial" w:cs="Arial"/>
          <w:sz w:val="24"/>
          <w:szCs w:val="24"/>
        </w:rPr>
        <w:t>Rendimiento en grano seco.</w:t>
      </w:r>
    </w:p>
    <w:p w:rsidR="001A7A97" w:rsidRPr="0042001C" w:rsidRDefault="001A7A97" w:rsidP="001A7A97">
      <w:pPr>
        <w:pStyle w:val="Default"/>
        <w:spacing w:line="360" w:lineRule="auto"/>
        <w:jc w:val="both"/>
      </w:pPr>
      <w:r w:rsidRPr="0042001C">
        <w:t>Los datos de los indicadores de crecimiento se ajustaron a una función exponencial polinómica de segundo grado, calculándose a partir de esto, la m</w:t>
      </w:r>
      <w:r w:rsidRPr="0042001C">
        <w:rPr>
          <w:color w:val="auto"/>
        </w:rPr>
        <w:t xml:space="preserve">asa de seca por órganos, </w:t>
      </w:r>
      <w:r w:rsidRPr="0042001C">
        <w:t>la tasa de asimilación neta (TAN) de la masa seca y la relación de área foliar (RAF).</w:t>
      </w:r>
    </w:p>
    <w:p w:rsidR="001A7A97" w:rsidRPr="0042001C" w:rsidRDefault="001A7A97" w:rsidP="001A7A97">
      <w:pPr>
        <w:autoSpaceDE w:val="0"/>
        <w:autoSpaceDN w:val="0"/>
        <w:adjustRightInd w:val="0"/>
        <w:spacing w:after="0" w:line="360" w:lineRule="auto"/>
        <w:jc w:val="both"/>
        <w:rPr>
          <w:rFonts w:ascii="Arial" w:hAnsi="Arial" w:cs="Arial"/>
          <w:sz w:val="24"/>
          <w:szCs w:val="24"/>
        </w:rPr>
      </w:pPr>
      <w:r w:rsidRPr="0042001C">
        <w:rPr>
          <w:rFonts w:ascii="Arial" w:hAnsi="Arial" w:cs="Arial"/>
          <w:sz w:val="24"/>
          <w:szCs w:val="24"/>
        </w:rPr>
        <w:t>Adicionalmente, se determinó la fuerza o potencia de fuente y de demanda de cada fecha de siembra a lo largo del ciclo del cultivo, utilizando las fórmulas (7).</w:t>
      </w:r>
    </w:p>
    <w:p w:rsidR="001A7A97" w:rsidRPr="0042001C" w:rsidRDefault="001A7A97" w:rsidP="001A7A97">
      <w:pPr>
        <w:autoSpaceDE w:val="0"/>
        <w:autoSpaceDN w:val="0"/>
        <w:adjustRightInd w:val="0"/>
        <w:spacing w:after="0" w:line="360" w:lineRule="auto"/>
        <w:ind w:left="2977" w:hanging="2693"/>
        <w:jc w:val="both"/>
        <w:rPr>
          <w:rFonts w:ascii="Arial" w:hAnsi="Arial" w:cs="Arial"/>
          <w:sz w:val="24"/>
          <w:szCs w:val="24"/>
        </w:rPr>
      </w:pPr>
      <w:r w:rsidRPr="0042001C">
        <w:rPr>
          <w:rFonts w:ascii="Arial" w:hAnsi="Arial" w:cs="Arial"/>
          <w:sz w:val="24"/>
          <w:szCs w:val="24"/>
        </w:rPr>
        <w:lastRenderedPageBreak/>
        <w:t>Potencia de la fuente = Tamaño de la fuente (Área Foliar)*Actividad de la fuente (TAN).</w:t>
      </w:r>
    </w:p>
    <w:p w:rsidR="001A7A97" w:rsidRPr="0042001C" w:rsidRDefault="001A7A97" w:rsidP="001A7A97">
      <w:pPr>
        <w:autoSpaceDE w:val="0"/>
        <w:autoSpaceDN w:val="0"/>
        <w:adjustRightInd w:val="0"/>
        <w:spacing w:after="0" w:line="360" w:lineRule="auto"/>
        <w:ind w:left="3402" w:hanging="3118"/>
        <w:jc w:val="both"/>
        <w:rPr>
          <w:rFonts w:ascii="Arial" w:hAnsi="Arial" w:cs="Arial"/>
          <w:sz w:val="24"/>
          <w:szCs w:val="24"/>
        </w:rPr>
      </w:pPr>
      <w:r w:rsidRPr="0042001C">
        <w:rPr>
          <w:rFonts w:ascii="Arial" w:hAnsi="Arial" w:cs="Arial"/>
          <w:sz w:val="24"/>
          <w:szCs w:val="24"/>
        </w:rPr>
        <w:t>Potencia de la demanda = Tamaño de la demanda (materia seca espiga)* Actividad de la demanda (TRC espiga)</w:t>
      </w:r>
    </w:p>
    <w:p w:rsidR="001A7A97" w:rsidRDefault="001A7A97" w:rsidP="001A7A97">
      <w:pPr>
        <w:spacing w:after="0" w:line="360" w:lineRule="auto"/>
        <w:jc w:val="both"/>
        <w:rPr>
          <w:rFonts w:ascii="Arial" w:hAnsi="Arial" w:cs="Arial"/>
          <w:sz w:val="24"/>
          <w:szCs w:val="24"/>
        </w:rPr>
      </w:pPr>
      <w:r w:rsidRPr="0042001C">
        <w:rPr>
          <w:rFonts w:ascii="Arial" w:hAnsi="Arial" w:cs="Arial"/>
          <w:sz w:val="24"/>
          <w:szCs w:val="24"/>
        </w:rPr>
        <w:t>Los datos de temperatura media del aire se tomaron de la estación meteorológica de Tapaste, próxima al sitio experimental, no teniéndose en cuenta</w:t>
      </w:r>
      <w:r>
        <w:rPr>
          <w:rFonts w:ascii="Arial" w:hAnsi="Arial" w:cs="Arial"/>
          <w:sz w:val="24"/>
          <w:szCs w:val="24"/>
        </w:rPr>
        <w:t xml:space="preserve"> los datos de</w:t>
      </w:r>
      <w:r w:rsidRPr="0042001C">
        <w:rPr>
          <w:rFonts w:ascii="Arial" w:hAnsi="Arial" w:cs="Arial"/>
          <w:sz w:val="24"/>
          <w:szCs w:val="24"/>
        </w:rPr>
        <w:t xml:space="preserve"> las precipitaciones ya que al mismo se le aplicó riego siempre que fue requerido </w:t>
      </w:r>
      <w:r>
        <w:rPr>
          <w:rFonts w:ascii="Arial" w:hAnsi="Arial" w:cs="Arial"/>
          <w:sz w:val="24"/>
          <w:szCs w:val="24"/>
        </w:rPr>
        <w:t xml:space="preserve">(Figura </w:t>
      </w:r>
      <w:r w:rsidRPr="0042001C">
        <w:rPr>
          <w:rFonts w:ascii="Arial" w:hAnsi="Arial" w:cs="Arial"/>
          <w:sz w:val="24"/>
          <w:szCs w:val="24"/>
        </w:rPr>
        <w:t>1).</w:t>
      </w:r>
    </w:p>
    <w:p w:rsidR="001A7A97" w:rsidRDefault="001A7A97" w:rsidP="001A7A97">
      <w:pPr>
        <w:spacing w:after="0" w:line="360" w:lineRule="auto"/>
        <w:jc w:val="center"/>
        <w:rPr>
          <w:rFonts w:ascii="Arial" w:hAnsi="Arial" w:cs="Arial"/>
          <w:noProof/>
          <w:sz w:val="24"/>
          <w:szCs w:val="24"/>
          <w:lang w:eastAsia="es-ES"/>
        </w:rPr>
      </w:pPr>
      <w:r>
        <w:rPr>
          <w:noProof/>
          <w:lang w:eastAsia="es-ES"/>
        </w:rPr>
        <w:drawing>
          <wp:anchor distT="0" distB="0" distL="114300" distR="114300" simplePos="0" relativeHeight="251664384" behindDoc="0" locked="0" layoutInCell="1" allowOverlap="1" wp14:anchorId="471533C8" wp14:editId="13704C29">
            <wp:simplePos x="0" y="0"/>
            <wp:positionH relativeFrom="column">
              <wp:posOffset>-260985</wp:posOffset>
            </wp:positionH>
            <wp:positionV relativeFrom="paragraph">
              <wp:posOffset>111760</wp:posOffset>
            </wp:positionV>
            <wp:extent cx="3086100" cy="1600200"/>
            <wp:effectExtent l="0" t="0" r="0" b="0"/>
            <wp:wrapSquare wrapText="bothSides"/>
            <wp:docPr id="10" name="Gráfico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14:sizeRelH relativeFrom="margin">
              <wp14:pctWidth>0</wp14:pctWidth>
            </wp14:sizeRelH>
            <wp14:sizeRelV relativeFrom="margin">
              <wp14:pctHeight>0</wp14:pctHeight>
            </wp14:sizeRelV>
          </wp:anchor>
        </w:drawing>
      </w:r>
      <w:r>
        <w:rPr>
          <w:rFonts w:ascii="Arial" w:hAnsi="Arial" w:cs="Arial"/>
          <w:noProof/>
          <w:sz w:val="24"/>
          <w:szCs w:val="24"/>
          <w:lang w:eastAsia="es-ES"/>
        </w:rPr>
        <w:drawing>
          <wp:inline distT="0" distB="0" distL="0" distR="0" wp14:anchorId="0346E32F" wp14:editId="51862E35">
            <wp:extent cx="2876550" cy="1714500"/>
            <wp:effectExtent l="0" t="0" r="0" b="0"/>
            <wp:docPr id="12" name="Gráfico 1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r>
        <w:rPr>
          <w:rFonts w:ascii="Arial" w:hAnsi="Arial" w:cs="Arial"/>
          <w:noProof/>
          <w:sz w:val="24"/>
          <w:szCs w:val="24"/>
          <w:lang w:eastAsia="es-ES"/>
        </w:rPr>
        <w:drawing>
          <wp:inline distT="0" distB="0" distL="0" distR="0" wp14:anchorId="23A78093" wp14:editId="6BFC3F4C">
            <wp:extent cx="2847975" cy="1876425"/>
            <wp:effectExtent l="0" t="0" r="0" b="0"/>
            <wp:docPr id="11" name="Gráfico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1A7A97" w:rsidRPr="0042001C" w:rsidRDefault="001A7A97" w:rsidP="001A7A97">
      <w:pPr>
        <w:spacing w:after="0" w:line="360" w:lineRule="auto"/>
        <w:jc w:val="both"/>
        <w:rPr>
          <w:rFonts w:ascii="Arial" w:hAnsi="Arial" w:cs="Arial"/>
          <w:b/>
          <w:sz w:val="24"/>
          <w:szCs w:val="24"/>
        </w:rPr>
      </w:pPr>
      <w:r w:rsidRPr="0042001C">
        <w:rPr>
          <w:rFonts w:ascii="Arial" w:hAnsi="Arial" w:cs="Arial"/>
          <w:b/>
          <w:sz w:val="24"/>
          <w:szCs w:val="24"/>
        </w:rPr>
        <w:t>Figura 1. Comportamiento de las temperaturas dur</w:t>
      </w:r>
      <w:r>
        <w:rPr>
          <w:rFonts w:ascii="Arial" w:hAnsi="Arial" w:cs="Arial"/>
          <w:b/>
          <w:sz w:val="24"/>
          <w:szCs w:val="24"/>
        </w:rPr>
        <w:t>ante las tres fechas de siembra</w:t>
      </w:r>
    </w:p>
    <w:p w:rsidR="001A7A97" w:rsidRPr="0042001C" w:rsidRDefault="001A7A97" w:rsidP="001A7A97">
      <w:pPr>
        <w:spacing w:after="0" w:line="360" w:lineRule="auto"/>
        <w:jc w:val="both"/>
        <w:rPr>
          <w:rFonts w:ascii="Arial" w:hAnsi="Arial" w:cs="Arial"/>
          <w:b/>
          <w:sz w:val="24"/>
          <w:szCs w:val="24"/>
        </w:rPr>
      </w:pPr>
      <w:r w:rsidRPr="0042001C">
        <w:rPr>
          <w:rFonts w:ascii="Arial" w:hAnsi="Arial" w:cs="Arial"/>
          <w:b/>
          <w:sz w:val="24"/>
          <w:szCs w:val="24"/>
        </w:rPr>
        <w:t>RESULTADOS Y DISCUSIÓN</w:t>
      </w:r>
    </w:p>
    <w:p w:rsidR="00E43B1B" w:rsidRPr="0042001C" w:rsidRDefault="00E43B1B" w:rsidP="00E43B1B">
      <w:pPr>
        <w:spacing w:after="0" w:line="360" w:lineRule="auto"/>
        <w:jc w:val="both"/>
        <w:rPr>
          <w:rFonts w:ascii="Arial" w:hAnsi="Arial" w:cs="Arial"/>
          <w:b/>
          <w:sz w:val="24"/>
          <w:szCs w:val="24"/>
        </w:rPr>
      </w:pPr>
      <w:r>
        <w:rPr>
          <w:rFonts w:ascii="Arial" w:hAnsi="Arial" w:cs="Arial"/>
          <w:sz w:val="24"/>
          <w:szCs w:val="24"/>
        </w:rPr>
        <w:t xml:space="preserve">La Figura 2 indica la dinámica de crecimiento de la masa seca por órganos de la parte aérea </w:t>
      </w:r>
      <w:r w:rsidRPr="0042001C">
        <w:rPr>
          <w:rFonts w:ascii="Arial" w:hAnsi="Arial" w:cs="Arial"/>
          <w:sz w:val="24"/>
          <w:szCs w:val="24"/>
        </w:rPr>
        <w:t xml:space="preserve">en las fechas de siembra </w:t>
      </w:r>
      <w:r>
        <w:rPr>
          <w:rFonts w:ascii="Arial" w:hAnsi="Arial" w:cs="Arial"/>
          <w:sz w:val="24"/>
          <w:szCs w:val="24"/>
        </w:rPr>
        <w:t xml:space="preserve">estudiadas. En cuanto al </w:t>
      </w:r>
      <w:r w:rsidRPr="0042001C">
        <w:rPr>
          <w:rFonts w:ascii="Arial" w:hAnsi="Arial" w:cs="Arial"/>
          <w:sz w:val="24"/>
          <w:szCs w:val="24"/>
        </w:rPr>
        <w:t xml:space="preserve">acumulado de la </w:t>
      </w:r>
      <w:r w:rsidRPr="0042001C">
        <w:rPr>
          <w:rFonts w:ascii="Arial" w:hAnsi="Arial" w:cs="Arial"/>
          <w:sz w:val="24"/>
          <w:szCs w:val="24"/>
        </w:rPr>
        <w:lastRenderedPageBreak/>
        <w:t xml:space="preserve">masa seca de las hojas, los mayores valores </w:t>
      </w:r>
      <w:r>
        <w:rPr>
          <w:rFonts w:ascii="Arial" w:hAnsi="Arial" w:cs="Arial"/>
          <w:sz w:val="24"/>
          <w:szCs w:val="24"/>
        </w:rPr>
        <w:t>se obtuvieron</w:t>
      </w:r>
      <w:r w:rsidRPr="0042001C">
        <w:rPr>
          <w:rFonts w:ascii="Arial" w:hAnsi="Arial" w:cs="Arial"/>
          <w:sz w:val="24"/>
          <w:szCs w:val="24"/>
        </w:rPr>
        <w:t xml:space="preserve"> en la fecha de siembra de julio de 2009 con un valor máximo de 389,2</w:t>
      </w:r>
      <w:r>
        <w:rPr>
          <w:rFonts w:ascii="Arial" w:hAnsi="Arial" w:cs="Arial"/>
          <w:sz w:val="24"/>
          <w:szCs w:val="24"/>
        </w:rPr>
        <w:t xml:space="preserve"> g </w:t>
      </w:r>
      <w:r w:rsidRPr="0042001C">
        <w:rPr>
          <w:rFonts w:ascii="Arial" w:hAnsi="Arial" w:cs="Arial"/>
          <w:sz w:val="24"/>
          <w:szCs w:val="24"/>
        </w:rPr>
        <w:t>m</w:t>
      </w:r>
      <w:r w:rsidRPr="0042001C">
        <w:rPr>
          <w:rFonts w:ascii="Arial" w:hAnsi="Arial" w:cs="Arial"/>
          <w:sz w:val="24"/>
          <w:szCs w:val="24"/>
          <w:vertAlign w:val="superscript"/>
        </w:rPr>
        <w:t>2</w:t>
      </w:r>
      <w:r w:rsidRPr="0042001C">
        <w:rPr>
          <w:rFonts w:ascii="Arial" w:hAnsi="Arial" w:cs="Arial"/>
          <w:sz w:val="24"/>
          <w:szCs w:val="24"/>
        </w:rPr>
        <w:t xml:space="preserve"> a los 100 días después de la emergencia, continuados de la fecha de noviembre de 2008 </w:t>
      </w:r>
      <w:r>
        <w:rPr>
          <w:rFonts w:ascii="Arial" w:hAnsi="Arial" w:cs="Arial"/>
          <w:sz w:val="24"/>
          <w:szCs w:val="24"/>
        </w:rPr>
        <w:t xml:space="preserve">la </w:t>
      </w:r>
      <w:r w:rsidRPr="0042001C">
        <w:rPr>
          <w:rFonts w:ascii="Arial" w:hAnsi="Arial" w:cs="Arial"/>
          <w:sz w:val="24"/>
          <w:szCs w:val="24"/>
        </w:rPr>
        <w:t>cual logró el máximo acumulado a los 75 días con un valor de 319,9</w:t>
      </w:r>
      <w:r>
        <w:rPr>
          <w:rFonts w:ascii="Arial" w:hAnsi="Arial" w:cs="Arial"/>
          <w:sz w:val="24"/>
          <w:szCs w:val="24"/>
        </w:rPr>
        <w:t xml:space="preserve"> g </w:t>
      </w:r>
      <w:r w:rsidRPr="0042001C">
        <w:rPr>
          <w:rFonts w:ascii="Arial" w:hAnsi="Arial" w:cs="Arial"/>
          <w:sz w:val="24"/>
          <w:szCs w:val="24"/>
        </w:rPr>
        <w:t>m</w:t>
      </w:r>
      <w:r w:rsidRPr="0042001C">
        <w:rPr>
          <w:rFonts w:ascii="Arial" w:hAnsi="Arial" w:cs="Arial"/>
          <w:sz w:val="24"/>
          <w:szCs w:val="24"/>
          <w:vertAlign w:val="superscript"/>
        </w:rPr>
        <w:t>2</w:t>
      </w:r>
      <w:r w:rsidRPr="0042001C">
        <w:rPr>
          <w:rFonts w:ascii="Arial" w:hAnsi="Arial" w:cs="Arial"/>
          <w:sz w:val="24"/>
          <w:szCs w:val="24"/>
        </w:rPr>
        <w:t xml:space="preserve"> y la siembra de junio de 2009 con </w:t>
      </w:r>
      <w:r>
        <w:rPr>
          <w:rFonts w:ascii="Arial" w:hAnsi="Arial" w:cs="Arial"/>
          <w:sz w:val="24"/>
          <w:szCs w:val="24"/>
        </w:rPr>
        <w:t xml:space="preserve">un acumulado máximo de 306, 6 g </w:t>
      </w:r>
      <w:r w:rsidRPr="0042001C">
        <w:rPr>
          <w:rFonts w:ascii="Arial" w:hAnsi="Arial" w:cs="Arial"/>
          <w:sz w:val="24"/>
          <w:szCs w:val="24"/>
        </w:rPr>
        <w:t>m</w:t>
      </w:r>
      <w:r w:rsidRPr="0042001C">
        <w:rPr>
          <w:rFonts w:ascii="Arial" w:hAnsi="Arial" w:cs="Arial"/>
          <w:sz w:val="24"/>
          <w:szCs w:val="24"/>
          <w:vertAlign w:val="superscript"/>
        </w:rPr>
        <w:t>2</w:t>
      </w:r>
      <w:r w:rsidRPr="0042001C">
        <w:rPr>
          <w:rFonts w:ascii="Arial" w:hAnsi="Arial" w:cs="Arial"/>
          <w:sz w:val="24"/>
          <w:szCs w:val="24"/>
        </w:rPr>
        <w:t xml:space="preserve"> a los 87 días. </w:t>
      </w:r>
      <w:r>
        <w:rPr>
          <w:rFonts w:ascii="Arial" w:hAnsi="Arial" w:cs="Arial"/>
          <w:sz w:val="24"/>
          <w:szCs w:val="24"/>
        </w:rPr>
        <w:t xml:space="preserve">Estos valores máximos alcanzados coincidieron </w:t>
      </w:r>
      <w:r w:rsidRPr="0042001C">
        <w:rPr>
          <w:rFonts w:ascii="Arial" w:hAnsi="Arial" w:cs="Arial"/>
          <w:sz w:val="24"/>
          <w:szCs w:val="24"/>
        </w:rPr>
        <w:t>con un estado fenológico de las plantas para cada fecha de siembra, los cuales se corresponden con</w:t>
      </w:r>
      <w:r>
        <w:rPr>
          <w:rFonts w:ascii="Arial" w:hAnsi="Arial" w:cs="Arial"/>
          <w:sz w:val="24"/>
          <w:szCs w:val="24"/>
        </w:rPr>
        <w:t xml:space="preserve"> la</w:t>
      </w:r>
      <w:r w:rsidRPr="0042001C">
        <w:rPr>
          <w:rFonts w:ascii="Arial" w:hAnsi="Arial" w:cs="Arial"/>
          <w:sz w:val="24"/>
          <w:szCs w:val="24"/>
        </w:rPr>
        <w:t xml:space="preserve"> madurez fisiológica (julio 2009), </w:t>
      </w:r>
      <w:r>
        <w:rPr>
          <w:rFonts w:ascii="Arial" w:hAnsi="Arial" w:cs="Arial"/>
          <w:sz w:val="24"/>
          <w:szCs w:val="24"/>
        </w:rPr>
        <w:t xml:space="preserve"> la </w:t>
      </w:r>
      <w:r w:rsidRPr="0042001C">
        <w:rPr>
          <w:rFonts w:ascii="Arial" w:hAnsi="Arial" w:cs="Arial"/>
          <w:sz w:val="24"/>
          <w:szCs w:val="24"/>
        </w:rPr>
        <w:t>antesis (noviembre 2008) y</w:t>
      </w:r>
      <w:r>
        <w:rPr>
          <w:rFonts w:ascii="Arial" w:hAnsi="Arial" w:cs="Arial"/>
          <w:sz w:val="24"/>
          <w:szCs w:val="24"/>
        </w:rPr>
        <w:t xml:space="preserve"> el</w:t>
      </w:r>
      <w:r w:rsidRPr="0042001C">
        <w:rPr>
          <w:rFonts w:ascii="Arial" w:hAnsi="Arial" w:cs="Arial"/>
          <w:sz w:val="24"/>
          <w:szCs w:val="24"/>
        </w:rPr>
        <w:t xml:space="preserve"> estado masoso del grano (junio de 2009). </w:t>
      </w:r>
      <w:r>
        <w:rPr>
          <w:rFonts w:ascii="Arial" w:hAnsi="Arial" w:cs="Arial"/>
          <w:sz w:val="24"/>
          <w:szCs w:val="24"/>
        </w:rPr>
        <w:t xml:space="preserve">De esta forma la fechas de </w:t>
      </w:r>
      <w:r w:rsidRPr="0042001C">
        <w:rPr>
          <w:rFonts w:ascii="Arial" w:hAnsi="Arial" w:cs="Arial"/>
          <w:sz w:val="24"/>
          <w:szCs w:val="24"/>
        </w:rPr>
        <w:t xml:space="preserve">siembra de junio y julio de 2009 </w:t>
      </w:r>
      <w:r>
        <w:rPr>
          <w:rFonts w:ascii="Arial" w:hAnsi="Arial" w:cs="Arial"/>
          <w:sz w:val="24"/>
          <w:szCs w:val="24"/>
        </w:rPr>
        <w:t>presentaron</w:t>
      </w:r>
      <w:r w:rsidRPr="0042001C">
        <w:rPr>
          <w:rFonts w:ascii="Arial" w:hAnsi="Arial" w:cs="Arial"/>
          <w:sz w:val="24"/>
          <w:szCs w:val="24"/>
        </w:rPr>
        <w:t xml:space="preserve"> </w:t>
      </w:r>
      <w:r>
        <w:rPr>
          <w:rFonts w:ascii="Arial" w:hAnsi="Arial" w:cs="Arial"/>
          <w:sz w:val="24"/>
          <w:szCs w:val="24"/>
        </w:rPr>
        <w:t>un</w:t>
      </w:r>
      <w:r w:rsidRPr="0042001C">
        <w:rPr>
          <w:rFonts w:ascii="Arial" w:hAnsi="Arial" w:cs="Arial"/>
          <w:sz w:val="24"/>
          <w:szCs w:val="24"/>
        </w:rPr>
        <w:t xml:space="preserve"> máximo desarrollo foliar en un estado fenológico más próximo a la cosecha. </w:t>
      </w:r>
    </w:p>
    <w:p w:rsidR="00E43B1B" w:rsidRPr="0042001C" w:rsidRDefault="00E43B1B" w:rsidP="00E43B1B">
      <w:pPr>
        <w:spacing w:after="0" w:line="360" w:lineRule="auto"/>
        <w:jc w:val="both"/>
        <w:rPr>
          <w:rFonts w:ascii="Arial" w:hAnsi="Arial" w:cs="Arial"/>
          <w:sz w:val="24"/>
          <w:szCs w:val="24"/>
        </w:rPr>
      </w:pPr>
      <w:r>
        <w:rPr>
          <w:noProof/>
          <w:lang w:eastAsia="es-ES"/>
        </w:rPr>
        <w:drawing>
          <wp:anchor distT="0" distB="0" distL="114300" distR="114300" simplePos="0" relativeHeight="251659264" behindDoc="0" locked="0" layoutInCell="1" allowOverlap="1" wp14:anchorId="064642EF" wp14:editId="5082711D">
            <wp:simplePos x="0" y="0"/>
            <wp:positionH relativeFrom="column">
              <wp:posOffset>-91440</wp:posOffset>
            </wp:positionH>
            <wp:positionV relativeFrom="paragraph">
              <wp:posOffset>37465</wp:posOffset>
            </wp:positionV>
            <wp:extent cx="3448050" cy="2457450"/>
            <wp:effectExtent l="0" t="0" r="0" b="0"/>
            <wp:wrapSquare wrapText="bothSides"/>
            <wp:docPr id="8" name="Gráfico 8" descr="Título: masa se"/>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margin">
              <wp14:pctWidth>0</wp14:pctWidth>
            </wp14:sizeRelH>
            <wp14:sizeRelV relativeFrom="margin">
              <wp14:pctHeight>0</wp14:pctHeight>
            </wp14:sizeRelV>
          </wp:anchor>
        </w:drawing>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6"/>
        <w:gridCol w:w="1078"/>
        <w:gridCol w:w="1146"/>
      </w:tblGrid>
      <w:tr w:rsidR="003E102A" w:rsidTr="003E102A">
        <w:trPr>
          <w:trHeight w:val="577"/>
        </w:trPr>
        <w:tc>
          <w:tcPr>
            <w:tcW w:w="3600" w:type="dxa"/>
            <w:gridSpan w:val="3"/>
          </w:tcPr>
          <w:p w:rsidR="003E102A" w:rsidRPr="003E102A" w:rsidRDefault="003E102A" w:rsidP="003E102A">
            <w:pPr>
              <w:tabs>
                <w:tab w:val="center" w:pos="1447"/>
                <w:tab w:val="right" w:pos="2894"/>
              </w:tabs>
              <w:jc w:val="center"/>
              <w:rPr>
                <w:rFonts w:asciiTheme="minorHAnsi" w:hAnsiTheme="minorHAnsi" w:cstheme="minorHAnsi"/>
              </w:rPr>
            </w:pPr>
            <w:r w:rsidRPr="003E102A">
              <w:rPr>
                <w:rFonts w:asciiTheme="minorHAnsi" w:hAnsiTheme="minorHAnsi" w:cstheme="minorHAnsi"/>
              </w:rPr>
              <w:t>Valores máximos de masa seca de las hojas</w:t>
            </w:r>
          </w:p>
        </w:tc>
      </w:tr>
      <w:tr w:rsidR="00CC224E" w:rsidTr="003E102A">
        <w:trPr>
          <w:trHeight w:val="405"/>
        </w:trPr>
        <w:tc>
          <w:tcPr>
            <w:tcW w:w="1376" w:type="dxa"/>
          </w:tcPr>
          <w:p w:rsidR="003E102A" w:rsidRDefault="003E102A" w:rsidP="00E43B1B">
            <w:pPr>
              <w:tabs>
                <w:tab w:val="center" w:pos="1447"/>
                <w:tab w:val="right" w:pos="2894"/>
              </w:tabs>
              <w:spacing w:line="360" w:lineRule="auto"/>
              <w:jc w:val="both"/>
              <w:rPr>
                <w:rFonts w:ascii="Arial" w:hAnsi="Arial" w:cs="Arial"/>
                <w:sz w:val="24"/>
                <w:szCs w:val="24"/>
              </w:rPr>
            </w:pPr>
          </w:p>
        </w:tc>
        <w:tc>
          <w:tcPr>
            <w:tcW w:w="1078" w:type="dxa"/>
          </w:tcPr>
          <w:p w:rsidR="003E102A" w:rsidRDefault="003E102A" w:rsidP="00E43B1B">
            <w:pPr>
              <w:tabs>
                <w:tab w:val="center" w:pos="1447"/>
                <w:tab w:val="right" w:pos="2894"/>
              </w:tabs>
              <w:spacing w:line="360" w:lineRule="auto"/>
              <w:jc w:val="both"/>
              <w:rPr>
                <w:rFonts w:ascii="Arial" w:hAnsi="Arial" w:cs="Arial"/>
                <w:sz w:val="24"/>
                <w:szCs w:val="24"/>
              </w:rPr>
            </w:pPr>
            <w:r w:rsidRPr="0042001C">
              <w:rPr>
                <w:rFonts w:ascii="Arial" w:hAnsi="Arial" w:cs="Arial"/>
                <w:sz w:val="24"/>
                <w:szCs w:val="24"/>
              </w:rPr>
              <w:t xml:space="preserve">  X</w:t>
            </w:r>
          </w:p>
        </w:tc>
        <w:tc>
          <w:tcPr>
            <w:tcW w:w="1146" w:type="dxa"/>
          </w:tcPr>
          <w:p w:rsidR="003E102A" w:rsidRDefault="003E102A" w:rsidP="003E102A">
            <w:pPr>
              <w:tabs>
                <w:tab w:val="center" w:pos="1447"/>
                <w:tab w:val="right" w:pos="2894"/>
              </w:tabs>
              <w:spacing w:line="360" w:lineRule="auto"/>
              <w:jc w:val="center"/>
              <w:rPr>
                <w:rFonts w:ascii="Arial" w:hAnsi="Arial" w:cs="Arial"/>
                <w:sz w:val="24"/>
                <w:szCs w:val="24"/>
              </w:rPr>
            </w:pPr>
            <w:r w:rsidRPr="0042001C">
              <w:rPr>
                <w:rFonts w:ascii="Arial" w:hAnsi="Arial" w:cs="Arial"/>
                <w:sz w:val="24"/>
                <w:szCs w:val="24"/>
              </w:rPr>
              <w:t>Y</w:t>
            </w:r>
          </w:p>
        </w:tc>
      </w:tr>
      <w:tr w:rsidR="00CC224E" w:rsidTr="003E102A">
        <w:trPr>
          <w:trHeight w:val="405"/>
        </w:trPr>
        <w:tc>
          <w:tcPr>
            <w:tcW w:w="1376" w:type="dxa"/>
          </w:tcPr>
          <w:p w:rsidR="003E102A" w:rsidRPr="0042001C" w:rsidRDefault="003E102A" w:rsidP="0000131C">
            <w:pPr>
              <w:spacing w:line="360" w:lineRule="auto"/>
              <w:jc w:val="both"/>
              <w:rPr>
                <w:rFonts w:ascii="Arial" w:hAnsi="Arial" w:cs="Arial"/>
                <w:bCs/>
                <w:sz w:val="24"/>
                <w:szCs w:val="24"/>
              </w:rPr>
            </w:pPr>
            <w:r w:rsidRPr="0042001C">
              <w:rPr>
                <w:rFonts w:ascii="Arial" w:hAnsi="Arial" w:cs="Arial"/>
                <w:bCs/>
                <w:sz w:val="24"/>
                <w:szCs w:val="24"/>
              </w:rPr>
              <w:t>Nov.2008</w:t>
            </w:r>
          </w:p>
        </w:tc>
        <w:tc>
          <w:tcPr>
            <w:tcW w:w="1078" w:type="dxa"/>
          </w:tcPr>
          <w:p w:rsidR="003E102A" w:rsidRPr="0042001C" w:rsidRDefault="003E102A" w:rsidP="0000131C">
            <w:pPr>
              <w:spacing w:line="360" w:lineRule="auto"/>
              <w:jc w:val="both"/>
              <w:rPr>
                <w:rFonts w:ascii="Arial" w:hAnsi="Arial" w:cs="Arial"/>
                <w:bCs/>
                <w:sz w:val="24"/>
                <w:szCs w:val="24"/>
              </w:rPr>
            </w:pPr>
            <w:r w:rsidRPr="0042001C">
              <w:rPr>
                <w:rFonts w:ascii="Arial" w:hAnsi="Arial" w:cs="Arial"/>
                <w:bCs/>
                <w:sz w:val="24"/>
                <w:szCs w:val="24"/>
              </w:rPr>
              <w:t>75</w:t>
            </w:r>
          </w:p>
        </w:tc>
        <w:tc>
          <w:tcPr>
            <w:tcW w:w="1146" w:type="dxa"/>
          </w:tcPr>
          <w:p w:rsidR="003E102A" w:rsidRPr="0042001C" w:rsidRDefault="003E102A" w:rsidP="0000131C">
            <w:pPr>
              <w:spacing w:line="360" w:lineRule="auto"/>
              <w:jc w:val="both"/>
              <w:rPr>
                <w:rFonts w:ascii="Arial" w:hAnsi="Arial" w:cs="Arial"/>
                <w:bCs/>
                <w:sz w:val="24"/>
                <w:szCs w:val="24"/>
              </w:rPr>
            </w:pPr>
            <w:r w:rsidRPr="0042001C">
              <w:rPr>
                <w:rFonts w:ascii="Arial" w:hAnsi="Arial" w:cs="Arial"/>
                <w:bCs/>
                <w:sz w:val="24"/>
                <w:szCs w:val="24"/>
              </w:rPr>
              <w:t>319,9</w:t>
            </w:r>
          </w:p>
        </w:tc>
      </w:tr>
      <w:tr w:rsidR="001A7A97" w:rsidTr="003E102A">
        <w:trPr>
          <w:trHeight w:val="446"/>
        </w:trPr>
        <w:tc>
          <w:tcPr>
            <w:tcW w:w="1376" w:type="dxa"/>
          </w:tcPr>
          <w:p w:rsidR="003E102A" w:rsidRPr="0042001C" w:rsidRDefault="003E102A" w:rsidP="0000131C">
            <w:pPr>
              <w:spacing w:line="360" w:lineRule="auto"/>
              <w:jc w:val="both"/>
              <w:rPr>
                <w:rFonts w:ascii="Arial" w:hAnsi="Arial" w:cs="Arial"/>
                <w:bCs/>
                <w:sz w:val="24"/>
                <w:szCs w:val="24"/>
              </w:rPr>
            </w:pPr>
            <w:r w:rsidRPr="0042001C">
              <w:rPr>
                <w:rFonts w:ascii="Arial" w:hAnsi="Arial" w:cs="Arial"/>
                <w:bCs/>
                <w:sz w:val="24"/>
                <w:szCs w:val="24"/>
              </w:rPr>
              <w:t>Jun. 2009</w:t>
            </w:r>
          </w:p>
        </w:tc>
        <w:tc>
          <w:tcPr>
            <w:tcW w:w="1078" w:type="dxa"/>
          </w:tcPr>
          <w:p w:rsidR="003E102A" w:rsidRPr="0042001C" w:rsidRDefault="003E102A" w:rsidP="0000131C">
            <w:pPr>
              <w:spacing w:line="360" w:lineRule="auto"/>
              <w:jc w:val="both"/>
              <w:rPr>
                <w:rFonts w:ascii="Arial" w:hAnsi="Arial" w:cs="Arial"/>
                <w:sz w:val="24"/>
                <w:szCs w:val="24"/>
              </w:rPr>
            </w:pPr>
            <w:r w:rsidRPr="0042001C">
              <w:rPr>
                <w:rFonts w:ascii="Arial" w:hAnsi="Arial" w:cs="Arial"/>
                <w:sz w:val="24"/>
                <w:szCs w:val="24"/>
              </w:rPr>
              <w:t>87</w:t>
            </w:r>
          </w:p>
        </w:tc>
        <w:tc>
          <w:tcPr>
            <w:tcW w:w="1146" w:type="dxa"/>
          </w:tcPr>
          <w:p w:rsidR="003E102A" w:rsidRPr="0042001C" w:rsidRDefault="003E102A" w:rsidP="0000131C">
            <w:pPr>
              <w:spacing w:line="360" w:lineRule="auto"/>
              <w:jc w:val="both"/>
              <w:rPr>
                <w:rFonts w:ascii="Arial" w:hAnsi="Arial" w:cs="Arial"/>
                <w:sz w:val="24"/>
                <w:szCs w:val="24"/>
              </w:rPr>
            </w:pPr>
            <w:r w:rsidRPr="0042001C">
              <w:rPr>
                <w:rFonts w:ascii="Arial" w:hAnsi="Arial" w:cs="Arial"/>
                <w:bCs/>
                <w:sz w:val="24"/>
                <w:szCs w:val="24"/>
              </w:rPr>
              <w:t>306,6</w:t>
            </w:r>
          </w:p>
        </w:tc>
      </w:tr>
      <w:tr w:rsidR="00CC224E" w:rsidTr="003E102A">
        <w:trPr>
          <w:trHeight w:val="420"/>
        </w:trPr>
        <w:tc>
          <w:tcPr>
            <w:tcW w:w="1376" w:type="dxa"/>
          </w:tcPr>
          <w:p w:rsidR="003E102A" w:rsidRPr="0042001C" w:rsidRDefault="003E102A" w:rsidP="0000131C">
            <w:pPr>
              <w:spacing w:line="360" w:lineRule="auto"/>
              <w:jc w:val="both"/>
              <w:rPr>
                <w:rFonts w:ascii="Arial" w:hAnsi="Arial" w:cs="Arial"/>
                <w:bCs/>
                <w:sz w:val="24"/>
                <w:szCs w:val="24"/>
              </w:rPr>
            </w:pPr>
            <w:r w:rsidRPr="0042001C">
              <w:rPr>
                <w:rFonts w:ascii="Arial" w:hAnsi="Arial" w:cs="Arial"/>
                <w:bCs/>
                <w:sz w:val="24"/>
                <w:szCs w:val="24"/>
              </w:rPr>
              <w:t>Jul. 2009</w:t>
            </w:r>
          </w:p>
        </w:tc>
        <w:tc>
          <w:tcPr>
            <w:tcW w:w="1078" w:type="dxa"/>
          </w:tcPr>
          <w:p w:rsidR="003E102A" w:rsidRPr="0042001C" w:rsidRDefault="003E102A" w:rsidP="0000131C">
            <w:pPr>
              <w:spacing w:line="360" w:lineRule="auto"/>
              <w:jc w:val="both"/>
              <w:rPr>
                <w:rFonts w:ascii="Arial" w:hAnsi="Arial" w:cs="Arial"/>
                <w:bCs/>
                <w:sz w:val="24"/>
                <w:szCs w:val="24"/>
              </w:rPr>
            </w:pPr>
            <w:r w:rsidRPr="0042001C">
              <w:rPr>
                <w:rFonts w:ascii="Arial" w:hAnsi="Arial" w:cs="Arial"/>
                <w:bCs/>
                <w:sz w:val="24"/>
                <w:szCs w:val="24"/>
              </w:rPr>
              <w:t>100</w:t>
            </w:r>
          </w:p>
        </w:tc>
        <w:tc>
          <w:tcPr>
            <w:tcW w:w="1146" w:type="dxa"/>
          </w:tcPr>
          <w:p w:rsidR="003E102A" w:rsidRPr="0042001C" w:rsidRDefault="003E102A" w:rsidP="0000131C">
            <w:pPr>
              <w:spacing w:line="360" w:lineRule="auto"/>
              <w:jc w:val="both"/>
              <w:rPr>
                <w:rFonts w:ascii="Arial" w:hAnsi="Arial" w:cs="Arial"/>
                <w:bCs/>
                <w:sz w:val="24"/>
                <w:szCs w:val="24"/>
              </w:rPr>
            </w:pPr>
            <w:r w:rsidRPr="0042001C">
              <w:rPr>
                <w:rFonts w:ascii="Arial" w:hAnsi="Arial" w:cs="Arial"/>
                <w:bCs/>
                <w:sz w:val="24"/>
                <w:szCs w:val="24"/>
              </w:rPr>
              <w:t>389,2</w:t>
            </w:r>
          </w:p>
        </w:tc>
      </w:tr>
    </w:tbl>
    <w:p w:rsidR="00E43B1B" w:rsidRPr="0042001C" w:rsidRDefault="00E43B1B" w:rsidP="00E43B1B">
      <w:pPr>
        <w:tabs>
          <w:tab w:val="center" w:pos="1447"/>
          <w:tab w:val="right" w:pos="2894"/>
        </w:tabs>
        <w:spacing w:after="0" w:line="360" w:lineRule="auto"/>
        <w:jc w:val="both"/>
        <w:rPr>
          <w:rFonts w:ascii="Arial" w:hAnsi="Arial" w:cs="Arial"/>
          <w:sz w:val="24"/>
          <w:szCs w:val="24"/>
        </w:rPr>
      </w:pPr>
      <w:r w:rsidRPr="0042001C">
        <w:rPr>
          <w:rFonts w:ascii="Arial" w:hAnsi="Arial" w:cs="Arial"/>
          <w:sz w:val="24"/>
          <w:szCs w:val="24"/>
        </w:rPr>
        <w:tab/>
        <w:t xml:space="preserve">                                               </w:t>
      </w:r>
    </w:p>
    <w:p w:rsidR="00E43B1B" w:rsidRPr="0042001C" w:rsidRDefault="00E43B1B" w:rsidP="00E43B1B">
      <w:pPr>
        <w:spacing w:after="0" w:line="360" w:lineRule="auto"/>
        <w:ind w:firstLine="708"/>
        <w:jc w:val="both"/>
        <w:rPr>
          <w:rFonts w:ascii="Arial" w:hAnsi="Arial" w:cs="Arial"/>
          <w:b/>
          <w:sz w:val="24"/>
          <w:szCs w:val="24"/>
        </w:rPr>
      </w:pPr>
    </w:p>
    <w:p w:rsidR="00CC224E" w:rsidRPr="0042001C" w:rsidRDefault="003E102A" w:rsidP="00E43B1B">
      <w:pPr>
        <w:spacing w:after="0" w:line="360" w:lineRule="auto"/>
        <w:jc w:val="both"/>
        <w:rPr>
          <w:rFonts w:ascii="Arial" w:hAnsi="Arial" w:cs="Arial"/>
          <w:sz w:val="24"/>
          <w:szCs w:val="24"/>
        </w:rPr>
      </w:pPr>
      <w:r>
        <w:rPr>
          <w:noProof/>
          <w:lang w:eastAsia="es-ES"/>
        </w:rPr>
        <w:lastRenderedPageBreak/>
        <w:drawing>
          <wp:anchor distT="0" distB="0" distL="114300" distR="114300" simplePos="0" relativeHeight="251660288" behindDoc="0" locked="0" layoutInCell="1" allowOverlap="1" wp14:anchorId="373A3868" wp14:editId="4F92C393">
            <wp:simplePos x="0" y="0"/>
            <wp:positionH relativeFrom="column">
              <wp:posOffset>-3636645</wp:posOffset>
            </wp:positionH>
            <wp:positionV relativeFrom="paragraph">
              <wp:posOffset>492125</wp:posOffset>
            </wp:positionV>
            <wp:extent cx="3295650" cy="2438400"/>
            <wp:effectExtent l="0" t="0" r="0" b="0"/>
            <wp:wrapSquare wrapText="bothSides"/>
            <wp:docPr id="7" name="Gráfico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margin">
              <wp14:pctWidth>0</wp14:pctWidth>
            </wp14:sizeRelH>
            <wp14:sizeRelV relativeFrom="margin">
              <wp14:pctHeight>0</wp14:pctHeight>
            </wp14:sizeRelV>
          </wp:anchor>
        </w:drawing>
      </w:r>
      <w:r w:rsidR="00E43B1B" w:rsidRPr="0042001C">
        <w:rPr>
          <w:rFonts w:ascii="Arial" w:hAnsi="Arial" w:cs="Arial"/>
          <w:sz w:val="24"/>
          <w:szCs w:val="24"/>
        </w:rPr>
        <w:t xml:space="preserve"> </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6"/>
        <w:gridCol w:w="1078"/>
        <w:gridCol w:w="1146"/>
      </w:tblGrid>
      <w:tr w:rsidR="00CC224E" w:rsidTr="0000131C">
        <w:trPr>
          <w:trHeight w:val="577"/>
        </w:trPr>
        <w:tc>
          <w:tcPr>
            <w:tcW w:w="3600" w:type="dxa"/>
            <w:gridSpan w:val="3"/>
          </w:tcPr>
          <w:p w:rsidR="00CC224E" w:rsidRPr="003E102A" w:rsidRDefault="00CC224E" w:rsidP="00CC224E">
            <w:pPr>
              <w:tabs>
                <w:tab w:val="center" w:pos="1447"/>
                <w:tab w:val="right" w:pos="2894"/>
              </w:tabs>
              <w:jc w:val="center"/>
              <w:rPr>
                <w:rFonts w:asciiTheme="minorHAnsi" w:hAnsiTheme="minorHAnsi" w:cstheme="minorHAnsi"/>
              </w:rPr>
            </w:pPr>
            <w:r w:rsidRPr="003E102A">
              <w:rPr>
                <w:rFonts w:asciiTheme="minorHAnsi" w:hAnsiTheme="minorHAnsi" w:cstheme="minorHAnsi"/>
              </w:rPr>
              <w:t>Valores máximos de masa seca de las</w:t>
            </w:r>
            <w:r>
              <w:rPr>
                <w:rFonts w:asciiTheme="minorHAnsi" w:hAnsiTheme="minorHAnsi" w:cstheme="minorHAnsi"/>
              </w:rPr>
              <w:t xml:space="preserve"> tallos</w:t>
            </w:r>
          </w:p>
        </w:tc>
      </w:tr>
      <w:tr w:rsidR="00A074A4" w:rsidTr="0000131C">
        <w:trPr>
          <w:trHeight w:val="405"/>
        </w:trPr>
        <w:tc>
          <w:tcPr>
            <w:tcW w:w="1376" w:type="dxa"/>
          </w:tcPr>
          <w:p w:rsidR="00CC224E" w:rsidRDefault="00CC224E" w:rsidP="0000131C">
            <w:pPr>
              <w:tabs>
                <w:tab w:val="center" w:pos="1447"/>
                <w:tab w:val="right" w:pos="2894"/>
              </w:tabs>
              <w:spacing w:line="360" w:lineRule="auto"/>
              <w:jc w:val="both"/>
              <w:rPr>
                <w:rFonts w:ascii="Arial" w:hAnsi="Arial" w:cs="Arial"/>
                <w:sz w:val="24"/>
                <w:szCs w:val="24"/>
              </w:rPr>
            </w:pPr>
          </w:p>
        </w:tc>
        <w:tc>
          <w:tcPr>
            <w:tcW w:w="1078" w:type="dxa"/>
          </w:tcPr>
          <w:p w:rsidR="00CC224E" w:rsidRDefault="00CC224E" w:rsidP="0000131C">
            <w:pPr>
              <w:tabs>
                <w:tab w:val="center" w:pos="1447"/>
                <w:tab w:val="right" w:pos="2894"/>
              </w:tabs>
              <w:spacing w:line="360" w:lineRule="auto"/>
              <w:jc w:val="both"/>
              <w:rPr>
                <w:rFonts w:ascii="Arial" w:hAnsi="Arial" w:cs="Arial"/>
                <w:sz w:val="24"/>
                <w:szCs w:val="24"/>
              </w:rPr>
            </w:pPr>
            <w:r w:rsidRPr="0042001C">
              <w:rPr>
                <w:rFonts w:ascii="Arial" w:hAnsi="Arial" w:cs="Arial"/>
                <w:sz w:val="24"/>
                <w:szCs w:val="24"/>
              </w:rPr>
              <w:t xml:space="preserve">  X</w:t>
            </w:r>
          </w:p>
        </w:tc>
        <w:tc>
          <w:tcPr>
            <w:tcW w:w="1146" w:type="dxa"/>
          </w:tcPr>
          <w:p w:rsidR="00CC224E" w:rsidRDefault="00CC224E" w:rsidP="0000131C">
            <w:pPr>
              <w:tabs>
                <w:tab w:val="center" w:pos="1447"/>
                <w:tab w:val="right" w:pos="2894"/>
              </w:tabs>
              <w:spacing w:line="360" w:lineRule="auto"/>
              <w:jc w:val="center"/>
              <w:rPr>
                <w:rFonts w:ascii="Arial" w:hAnsi="Arial" w:cs="Arial"/>
                <w:sz w:val="24"/>
                <w:szCs w:val="24"/>
              </w:rPr>
            </w:pPr>
            <w:r w:rsidRPr="0042001C">
              <w:rPr>
                <w:rFonts w:ascii="Arial" w:hAnsi="Arial" w:cs="Arial"/>
                <w:sz w:val="24"/>
                <w:szCs w:val="24"/>
              </w:rPr>
              <w:t>Y</w:t>
            </w:r>
          </w:p>
        </w:tc>
      </w:tr>
      <w:tr w:rsidR="00A074A4" w:rsidTr="0000131C">
        <w:trPr>
          <w:trHeight w:val="405"/>
        </w:trPr>
        <w:tc>
          <w:tcPr>
            <w:tcW w:w="1376" w:type="dxa"/>
          </w:tcPr>
          <w:p w:rsidR="00CC224E" w:rsidRPr="0042001C" w:rsidRDefault="00CC224E" w:rsidP="0000131C">
            <w:pPr>
              <w:spacing w:line="360" w:lineRule="auto"/>
              <w:jc w:val="both"/>
              <w:rPr>
                <w:rFonts w:ascii="Arial" w:hAnsi="Arial" w:cs="Arial"/>
                <w:bCs/>
                <w:sz w:val="24"/>
                <w:szCs w:val="24"/>
              </w:rPr>
            </w:pPr>
            <w:r w:rsidRPr="0042001C">
              <w:rPr>
                <w:rFonts w:ascii="Arial" w:hAnsi="Arial" w:cs="Arial"/>
                <w:bCs/>
                <w:sz w:val="24"/>
                <w:szCs w:val="24"/>
              </w:rPr>
              <w:t>Nov.2008</w:t>
            </w:r>
          </w:p>
        </w:tc>
        <w:tc>
          <w:tcPr>
            <w:tcW w:w="1078" w:type="dxa"/>
          </w:tcPr>
          <w:p w:rsidR="00CC224E" w:rsidRPr="0042001C" w:rsidRDefault="00CC224E" w:rsidP="0000131C">
            <w:pPr>
              <w:spacing w:line="360" w:lineRule="auto"/>
              <w:jc w:val="both"/>
              <w:rPr>
                <w:rFonts w:ascii="Arial" w:hAnsi="Arial" w:cs="Arial"/>
                <w:bCs/>
                <w:sz w:val="24"/>
                <w:szCs w:val="24"/>
              </w:rPr>
            </w:pPr>
            <w:r>
              <w:rPr>
                <w:rFonts w:ascii="Arial" w:hAnsi="Arial" w:cs="Arial"/>
                <w:bCs/>
                <w:sz w:val="24"/>
                <w:szCs w:val="24"/>
              </w:rPr>
              <w:t>81</w:t>
            </w:r>
          </w:p>
        </w:tc>
        <w:tc>
          <w:tcPr>
            <w:tcW w:w="1146" w:type="dxa"/>
          </w:tcPr>
          <w:p w:rsidR="00CC224E" w:rsidRPr="0042001C" w:rsidRDefault="00CC224E" w:rsidP="0000131C">
            <w:pPr>
              <w:spacing w:line="360" w:lineRule="auto"/>
              <w:jc w:val="both"/>
              <w:rPr>
                <w:rFonts w:ascii="Arial" w:hAnsi="Arial" w:cs="Arial"/>
                <w:bCs/>
                <w:sz w:val="24"/>
                <w:szCs w:val="24"/>
              </w:rPr>
            </w:pPr>
            <w:r w:rsidRPr="0042001C">
              <w:rPr>
                <w:rFonts w:ascii="Arial" w:hAnsi="Arial" w:cs="Arial"/>
                <w:bCs/>
                <w:color w:val="000000"/>
                <w:sz w:val="24"/>
                <w:szCs w:val="24"/>
              </w:rPr>
              <w:t>490,8</w:t>
            </w:r>
          </w:p>
        </w:tc>
      </w:tr>
      <w:tr w:rsidR="00A074A4" w:rsidTr="0000131C">
        <w:trPr>
          <w:trHeight w:val="446"/>
        </w:trPr>
        <w:tc>
          <w:tcPr>
            <w:tcW w:w="1376" w:type="dxa"/>
          </w:tcPr>
          <w:p w:rsidR="00CC224E" w:rsidRPr="0042001C" w:rsidRDefault="00CC224E" w:rsidP="0000131C">
            <w:pPr>
              <w:spacing w:line="360" w:lineRule="auto"/>
              <w:jc w:val="both"/>
              <w:rPr>
                <w:rFonts w:ascii="Arial" w:hAnsi="Arial" w:cs="Arial"/>
                <w:bCs/>
                <w:sz w:val="24"/>
                <w:szCs w:val="24"/>
              </w:rPr>
            </w:pPr>
            <w:r w:rsidRPr="0042001C">
              <w:rPr>
                <w:rFonts w:ascii="Arial" w:hAnsi="Arial" w:cs="Arial"/>
                <w:bCs/>
                <w:sz w:val="24"/>
                <w:szCs w:val="24"/>
              </w:rPr>
              <w:t>Jun. 2009</w:t>
            </w:r>
          </w:p>
        </w:tc>
        <w:tc>
          <w:tcPr>
            <w:tcW w:w="1078" w:type="dxa"/>
          </w:tcPr>
          <w:p w:rsidR="00CC224E" w:rsidRPr="0042001C" w:rsidRDefault="00CC224E" w:rsidP="0000131C">
            <w:pPr>
              <w:spacing w:line="360" w:lineRule="auto"/>
              <w:jc w:val="both"/>
              <w:rPr>
                <w:rFonts w:ascii="Arial" w:hAnsi="Arial" w:cs="Arial"/>
                <w:sz w:val="24"/>
                <w:szCs w:val="24"/>
              </w:rPr>
            </w:pPr>
            <w:r>
              <w:rPr>
                <w:rFonts w:ascii="Arial" w:hAnsi="Arial" w:cs="Arial"/>
                <w:sz w:val="24"/>
                <w:szCs w:val="24"/>
              </w:rPr>
              <w:t>86</w:t>
            </w:r>
          </w:p>
        </w:tc>
        <w:tc>
          <w:tcPr>
            <w:tcW w:w="1146" w:type="dxa"/>
          </w:tcPr>
          <w:p w:rsidR="00CC224E" w:rsidRPr="0042001C" w:rsidRDefault="00CC224E" w:rsidP="00CC224E">
            <w:pPr>
              <w:spacing w:line="360" w:lineRule="auto"/>
              <w:jc w:val="both"/>
              <w:rPr>
                <w:rFonts w:ascii="Arial" w:hAnsi="Arial" w:cs="Arial"/>
                <w:sz w:val="24"/>
                <w:szCs w:val="24"/>
              </w:rPr>
            </w:pPr>
            <w:r w:rsidRPr="0042001C">
              <w:rPr>
                <w:rFonts w:ascii="Arial" w:hAnsi="Arial" w:cs="Arial"/>
                <w:bCs/>
                <w:color w:val="000000"/>
                <w:sz w:val="24"/>
                <w:szCs w:val="24"/>
              </w:rPr>
              <w:t>809,1</w:t>
            </w:r>
          </w:p>
        </w:tc>
      </w:tr>
      <w:tr w:rsidR="00A074A4" w:rsidTr="0000131C">
        <w:trPr>
          <w:trHeight w:val="420"/>
        </w:trPr>
        <w:tc>
          <w:tcPr>
            <w:tcW w:w="1376" w:type="dxa"/>
          </w:tcPr>
          <w:p w:rsidR="00CC224E" w:rsidRPr="0042001C" w:rsidRDefault="00CC224E" w:rsidP="0000131C">
            <w:pPr>
              <w:spacing w:line="360" w:lineRule="auto"/>
              <w:jc w:val="both"/>
              <w:rPr>
                <w:rFonts w:ascii="Arial" w:hAnsi="Arial" w:cs="Arial"/>
                <w:bCs/>
                <w:sz w:val="24"/>
                <w:szCs w:val="24"/>
              </w:rPr>
            </w:pPr>
            <w:r w:rsidRPr="0042001C">
              <w:rPr>
                <w:rFonts w:ascii="Arial" w:hAnsi="Arial" w:cs="Arial"/>
                <w:bCs/>
                <w:sz w:val="24"/>
                <w:szCs w:val="24"/>
              </w:rPr>
              <w:t>Jul. 2009</w:t>
            </w:r>
          </w:p>
        </w:tc>
        <w:tc>
          <w:tcPr>
            <w:tcW w:w="1078" w:type="dxa"/>
          </w:tcPr>
          <w:p w:rsidR="00CC224E" w:rsidRPr="0042001C" w:rsidRDefault="00CC224E" w:rsidP="0000131C">
            <w:pPr>
              <w:spacing w:line="360" w:lineRule="auto"/>
              <w:jc w:val="both"/>
              <w:rPr>
                <w:rFonts w:ascii="Arial" w:hAnsi="Arial" w:cs="Arial"/>
                <w:bCs/>
                <w:sz w:val="24"/>
                <w:szCs w:val="24"/>
              </w:rPr>
            </w:pPr>
            <w:r>
              <w:rPr>
                <w:rFonts w:ascii="Arial" w:hAnsi="Arial" w:cs="Arial"/>
                <w:bCs/>
                <w:sz w:val="24"/>
                <w:szCs w:val="24"/>
              </w:rPr>
              <w:t>86</w:t>
            </w:r>
          </w:p>
        </w:tc>
        <w:tc>
          <w:tcPr>
            <w:tcW w:w="1146" w:type="dxa"/>
          </w:tcPr>
          <w:p w:rsidR="00CC224E" w:rsidRPr="0042001C" w:rsidRDefault="00CC224E" w:rsidP="00CC224E">
            <w:pPr>
              <w:spacing w:line="360" w:lineRule="auto"/>
              <w:jc w:val="both"/>
              <w:rPr>
                <w:rFonts w:ascii="Arial" w:hAnsi="Arial" w:cs="Arial"/>
                <w:bCs/>
                <w:sz w:val="24"/>
                <w:szCs w:val="24"/>
              </w:rPr>
            </w:pPr>
            <w:r w:rsidRPr="0042001C">
              <w:rPr>
                <w:rFonts w:ascii="Arial" w:hAnsi="Arial" w:cs="Arial"/>
                <w:bCs/>
                <w:color w:val="000000"/>
                <w:sz w:val="24"/>
                <w:szCs w:val="24"/>
              </w:rPr>
              <w:t>734,9</w:t>
            </w:r>
          </w:p>
        </w:tc>
      </w:tr>
    </w:tbl>
    <w:p w:rsidR="00E43B1B" w:rsidRPr="0042001C" w:rsidRDefault="00E43B1B" w:rsidP="00E43B1B">
      <w:pPr>
        <w:spacing w:after="0" w:line="360" w:lineRule="auto"/>
        <w:jc w:val="both"/>
        <w:rPr>
          <w:rFonts w:ascii="Arial" w:hAnsi="Arial" w:cs="Arial"/>
          <w:sz w:val="24"/>
          <w:szCs w:val="24"/>
        </w:rPr>
      </w:pPr>
      <w:r w:rsidRPr="0042001C">
        <w:rPr>
          <w:rFonts w:ascii="Arial" w:hAnsi="Arial" w:cs="Arial"/>
          <w:sz w:val="24"/>
          <w:szCs w:val="24"/>
        </w:rPr>
        <w:t xml:space="preserve">           </w:t>
      </w:r>
    </w:p>
    <w:p w:rsidR="00E43B1B" w:rsidRPr="0042001C" w:rsidRDefault="00E43B1B" w:rsidP="00E43B1B">
      <w:pPr>
        <w:tabs>
          <w:tab w:val="center" w:pos="1447"/>
          <w:tab w:val="right" w:pos="2894"/>
        </w:tabs>
        <w:spacing w:after="0" w:line="360" w:lineRule="auto"/>
        <w:jc w:val="both"/>
        <w:rPr>
          <w:rFonts w:ascii="Arial" w:hAnsi="Arial" w:cs="Arial"/>
          <w:sz w:val="24"/>
          <w:szCs w:val="24"/>
        </w:rPr>
      </w:pPr>
      <w:r w:rsidRPr="0042001C">
        <w:rPr>
          <w:rFonts w:ascii="Arial" w:hAnsi="Arial" w:cs="Arial"/>
          <w:sz w:val="24"/>
          <w:szCs w:val="24"/>
        </w:rPr>
        <w:t xml:space="preserve">                     </w:t>
      </w:r>
    </w:p>
    <w:p w:rsidR="00E43B1B" w:rsidRDefault="00E43B1B" w:rsidP="00E43B1B">
      <w:pPr>
        <w:spacing w:after="0" w:line="360" w:lineRule="auto"/>
        <w:ind w:firstLine="708"/>
        <w:jc w:val="both"/>
        <w:rPr>
          <w:rFonts w:ascii="Arial" w:hAnsi="Arial" w:cs="Arial"/>
          <w:b/>
          <w:sz w:val="24"/>
          <w:szCs w:val="24"/>
        </w:rPr>
      </w:pPr>
    </w:p>
    <w:p w:rsidR="00B635A1" w:rsidRPr="0042001C" w:rsidRDefault="00B635A1" w:rsidP="00E43B1B">
      <w:pPr>
        <w:spacing w:after="0" w:line="360" w:lineRule="auto"/>
        <w:ind w:firstLine="708"/>
        <w:jc w:val="both"/>
        <w:rPr>
          <w:rFonts w:ascii="Arial" w:hAnsi="Arial" w:cs="Arial"/>
          <w:b/>
          <w:sz w:val="24"/>
          <w:szCs w:val="24"/>
        </w:rPr>
      </w:pPr>
    </w:p>
    <w:p w:rsidR="00E43B1B" w:rsidRPr="0042001C" w:rsidRDefault="00E43B1B" w:rsidP="00E43B1B">
      <w:pPr>
        <w:spacing w:after="0" w:line="360" w:lineRule="auto"/>
        <w:jc w:val="both"/>
        <w:rPr>
          <w:rFonts w:ascii="Arial" w:hAnsi="Arial" w:cs="Arial"/>
          <w:b/>
          <w:sz w:val="24"/>
          <w:szCs w:val="24"/>
        </w:rPr>
      </w:pPr>
    </w:p>
    <w:p w:rsidR="00E43B1B" w:rsidRDefault="00E43B1B" w:rsidP="00E43B1B">
      <w:pPr>
        <w:spacing w:after="0" w:line="360" w:lineRule="auto"/>
        <w:jc w:val="both"/>
        <w:rPr>
          <w:rFonts w:ascii="Arial" w:hAnsi="Arial" w:cs="Arial"/>
          <w:sz w:val="24"/>
          <w:szCs w:val="24"/>
        </w:rPr>
      </w:pPr>
    </w:p>
    <w:tbl>
      <w:tblPr>
        <w:tblStyle w:val="Tablaconcuadrcula"/>
        <w:tblpPr w:leftFromText="141" w:rightFromText="141" w:vertAnchor="text" w:horzAnchor="page" w:tblpX="7048" w:tblpY="115"/>
        <w:tblW w:w="36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6"/>
        <w:gridCol w:w="1078"/>
        <w:gridCol w:w="1146"/>
      </w:tblGrid>
      <w:tr w:rsidR="00A074A4" w:rsidTr="00A074A4">
        <w:trPr>
          <w:trHeight w:val="577"/>
        </w:trPr>
        <w:tc>
          <w:tcPr>
            <w:tcW w:w="3600" w:type="dxa"/>
            <w:gridSpan w:val="3"/>
          </w:tcPr>
          <w:p w:rsidR="00A074A4" w:rsidRPr="003E102A" w:rsidRDefault="00A074A4" w:rsidP="00A074A4">
            <w:pPr>
              <w:tabs>
                <w:tab w:val="center" w:pos="1447"/>
                <w:tab w:val="right" w:pos="2894"/>
              </w:tabs>
              <w:jc w:val="center"/>
              <w:rPr>
                <w:rFonts w:asciiTheme="minorHAnsi" w:hAnsiTheme="minorHAnsi" w:cstheme="minorHAnsi"/>
              </w:rPr>
            </w:pPr>
            <w:r w:rsidRPr="003E102A">
              <w:rPr>
                <w:rFonts w:asciiTheme="minorHAnsi" w:hAnsiTheme="minorHAnsi" w:cstheme="minorHAnsi"/>
              </w:rPr>
              <w:t xml:space="preserve">Valores máximos de masa seca de las </w:t>
            </w:r>
            <w:r>
              <w:rPr>
                <w:rFonts w:asciiTheme="minorHAnsi" w:hAnsiTheme="minorHAnsi" w:cstheme="minorHAnsi"/>
              </w:rPr>
              <w:t>espigas</w:t>
            </w:r>
          </w:p>
        </w:tc>
      </w:tr>
      <w:tr w:rsidR="00A074A4" w:rsidTr="00A074A4">
        <w:trPr>
          <w:trHeight w:val="405"/>
        </w:trPr>
        <w:tc>
          <w:tcPr>
            <w:tcW w:w="1376" w:type="dxa"/>
          </w:tcPr>
          <w:p w:rsidR="00A074A4" w:rsidRDefault="00A074A4" w:rsidP="00A074A4">
            <w:pPr>
              <w:tabs>
                <w:tab w:val="center" w:pos="1447"/>
                <w:tab w:val="right" w:pos="2894"/>
              </w:tabs>
              <w:spacing w:line="360" w:lineRule="auto"/>
              <w:jc w:val="both"/>
              <w:rPr>
                <w:rFonts w:ascii="Arial" w:hAnsi="Arial" w:cs="Arial"/>
                <w:sz w:val="24"/>
                <w:szCs w:val="24"/>
              </w:rPr>
            </w:pPr>
          </w:p>
        </w:tc>
        <w:tc>
          <w:tcPr>
            <w:tcW w:w="1078" w:type="dxa"/>
          </w:tcPr>
          <w:p w:rsidR="00A074A4" w:rsidRDefault="00A074A4" w:rsidP="00A074A4">
            <w:pPr>
              <w:tabs>
                <w:tab w:val="center" w:pos="1447"/>
                <w:tab w:val="right" w:pos="2894"/>
              </w:tabs>
              <w:spacing w:line="360" w:lineRule="auto"/>
              <w:jc w:val="both"/>
              <w:rPr>
                <w:rFonts w:ascii="Arial" w:hAnsi="Arial" w:cs="Arial"/>
                <w:sz w:val="24"/>
                <w:szCs w:val="24"/>
              </w:rPr>
            </w:pPr>
            <w:r w:rsidRPr="0042001C">
              <w:rPr>
                <w:rFonts w:ascii="Arial" w:hAnsi="Arial" w:cs="Arial"/>
                <w:sz w:val="24"/>
                <w:szCs w:val="24"/>
              </w:rPr>
              <w:t xml:space="preserve">  X</w:t>
            </w:r>
          </w:p>
        </w:tc>
        <w:tc>
          <w:tcPr>
            <w:tcW w:w="1146" w:type="dxa"/>
          </w:tcPr>
          <w:p w:rsidR="00A074A4" w:rsidRDefault="00A074A4" w:rsidP="00A074A4">
            <w:pPr>
              <w:tabs>
                <w:tab w:val="center" w:pos="1447"/>
                <w:tab w:val="right" w:pos="2894"/>
              </w:tabs>
              <w:spacing w:line="360" w:lineRule="auto"/>
              <w:jc w:val="center"/>
              <w:rPr>
                <w:rFonts w:ascii="Arial" w:hAnsi="Arial" w:cs="Arial"/>
                <w:sz w:val="24"/>
                <w:szCs w:val="24"/>
              </w:rPr>
            </w:pPr>
            <w:r w:rsidRPr="0042001C">
              <w:rPr>
                <w:rFonts w:ascii="Arial" w:hAnsi="Arial" w:cs="Arial"/>
                <w:sz w:val="24"/>
                <w:szCs w:val="24"/>
              </w:rPr>
              <w:t>Y</w:t>
            </w:r>
          </w:p>
        </w:tc>
      </w:tr>
      <w:tr w:rsidR="00A074A4" w:rsidTr="00A074A4">
        <w:trPr>
          <w:trHeight w:val="405"/>
        </w:trPr>
        <w:tc>
          <w:tcPr>
            <w:tcW w:w="1376" w:type="dxa"/>
          </w:tcPr>
          <w:p w:rsidR="00A074A4" w:rsidRPr="0042001C" w:rsidRDefault="00A074A4" w:rsidP="00A074A4">
            <w:pPr>
              <w:spacing w:line="360" w:lineRule="auto"/>
              <w:jc w:val="both"/>
              <w:rPr>
                <w:rFonts w:ascii="Arial" w:hAnsi="Arial" w:cs="Arial"/>
                <w:bCs/>
                <w:sz w:val="24"/>
                <w:szCs w:val="24"/>
              </w:rPr>
            </w:pPr>
            <w:r w:rsidRPr="0042001C">
              <w:rPr>
                <w:rFonts w:ascii="Arial" w:hAnsi="Arial" w:cs="Arial"/>
                <w:bCs/>
                <w:sz w:val="24"/>
                <w:szCs w:val="24"/>
              </w:rPr>
              <w:t>Nov.2008</w:t>
            </w:r>
          </w:p>
        </w:tc>
        <w:tc>
          <w:tcPr>
            <w:tcW w:w="1078" w:type="dxa"/>
          </w:tcPr>
          <w:p w:rsidR="00A074A4" w:rsidRPr="0042001C" w:rsidRDefault="00A074A4" w:rsidP="00A074A4">
            <w:pPr>
              <w:spacing w:line="360" w:lineRule="auto"/>
              <w:jc w:val="both"/>
              <w:rPr>
                <w:rFonts w:ascii="Arial" w:hAnsi="Arial" w:cs="Arial"/>
                <w:bCs/>
                <w:sz w:val="24"/>
                <w:szCs w:val="24"/>
              </w:rPr>
            </w:pPr>
            <w:r>
              <w:rPr>
                <w:rFonts w:ascii="Arial" w:hAnsi="Arial" w:cs="Arial"/>
                <w:bCs/>
                <w:sz w:val="24"/>
                <w:szCs w:val="24"/>
              </w:rPr>
              <w:t>115</w:t>
            </w:r>
          </w:p>
        </w:tc>
        <w:tc>
          <w:tcPr>
            <w:tcW w:w="1146" w:type="dxa"/>
          </w:tcPr>
          <w:p w:rsidR="00A074A4" w:rsidRPr="0042001C" w:rsidRDefault="00A074A4" w:rsidP="00A074A4">
            <w:pPr>
              <w:spacing w:line="360" w:lineRule="auto"/>
              <w:jc w:val="both"/>
              <w:rPr>
                <w:rFonts w:ascii="Arial" w:hAnsi="Arial" w:cs="Arial"/>
                <w:bCs/>
                <w:sz w:val="24"/>
                <w:szCs w:val="24"/>
              </w:rPr>
            </w:pPr>
            <w:r w:rsidRPr="0042001C">
              <w:rPr>
                <w:rFonts w:ascii="Arial" w:hAnsi="Arial" w:cs="Arial"/>
                <w:bCs/>
                <w:color w:val="000000"/>
                <w:sz w:val="24"/>
                <w:szCs w:val="24"/>
              </w:rPr>
              <w:t>712,3</w:t>
            </w:r>
          </w:p>
        </w:tc>
      </w:tr>
      <w:tr w:rsidR="00A074A4" w:rsidTr="00A074A4">
        <w:trPr>
          <w:trHeight w:val="446"/>
        </w:trPr>
        <w:tc>
          <w:tcPr>
            <w:tcW w:w="1376" w:type="dxa"/>
          </w:tcPr>
          <w:p w:rsidR="00A074A4" w:rsidRPr="0042001C" w:rsidRDefault="00A074A4" w:rsidP="00A074A4">
            <w:pPr>
              <w:spacing w:line="360" w:lineRule="auto"/>
              <w:jc w:val="both"/>
              <w:rPr>
                <w:rFonts w:ascii="Arial" w:hAnsi="Arial" w:cs="Arial"/>
                <w:bCs/>
                <w:sz w:val="24"/>
                <w:szCs w:val="24"/>
              </w:rPr>
            </w:pPr>
            <w:r w:rsidRPr="0042001C">
              <w:rPr>
                <w:rFonts w:ascii="Arial" w:hAnsi="Arial" w:cs="Arial"/>
                <w:bCs/>
                <w:sz w:val="24"/>
                <w:szCs w:val="24"/>
              </w:rPr>
              <w:t>Jun. 2009</w:t>
            </w:r>
          </w:p>
        </w:tc>
        <w:tc>
          <w:tcPr>
            <w:tcW w:w="1078" w:type="dxa"/>
          </w:tcPr>
          <w:p w:rsidR="00A074A4" w:rsidRPr="0042001C" w:rsidRDefault="00A074A4" w:rsidP="00A074A4">
            <w:pPr>
              <w:spacing w:line="360" w:lineRule="auto"/>
              <w:jc w:val="both"/>
              <w:rPr>
                <w:rFonts w:ascii="Arial" w:hAnsi="Arial" w:cs="Arial"/>
                <w:sz w:val="24"/>
                <w:szCs w:val="24"/>
              </w:rPr>
            </w:pPr>
            <w:r>
              <w:rPr>
                <w:rFonts w:ascii="Arial" w:hAnsi="Arial" w:cs="Arial"/>
                <w:sz w:val="24"/>
                <w:szCs w:val="24"/>
              </w:rPr>
              <w:t>93</w:t>
            </w:r>
          </w:p>
        </w:tc>
        <w:tc>
          <w:tcPr>
            <w:tcW w:w="1146" w:type="dxa"/>
          </w:tcPr>
          <w:p w:rsidR="00A074A4" w:rsidRPr="0042001C" w:rsidRDefault="00A074A4" w:rsidP="00A074A4">
            <w:pPr>
              <w:spacing w:line="360" w:lineRule="auto"/>
              <w:jc w:val="both"/>
              <w:rPr>
                <w:rFonts w:ascii="Arial" w:hAnsi="Arial" w:cs="Arial"/>
                <w:sz w:val="24"/>
                <w:szCs w:val="24"/>
              </w:rPr>
            </w:pPr>
            <w:r w:rsidRPr="0042001C">
              <w:rPr>
                <w:rFonts w:ascii="Arial" w:hAnsi="Arial" w:cs="Arial"/>
                <w:bCs/>
                <w:color w:val="000000"/>
                <w:sz w:val="24"/>
                <w:szCs w:val="24"/>
              </w:rPr>
              <w:t>813,1</w:t>
            </w:r>
          </w:p>
        </w:tc>
      </w:tr>
      <w:tr w:rsidR="00A074A4" w:rsidTr="00A074A4">
        <w:trPr>
          <w:trHeight w:val="420"/>
        </w:trPr>
        <w:tc>
          <w:tcPr>
            <w:tcW w:w="1376" w:type="dxa"/>
          </w:tcPr>
          <w:p w:rsidR="00A074A4" w:rsidRPr="0042001C" w:rsidRDefault="00A074A4" w:rsidP="00A074A4">
            <w:pPr>
              <w:spacing w:line="360" w:lineRule="auto"/>
              <w:jc w:val="both"/>
              <w:rPr>
                <w:rFonts w:ascii="Arial" w:hAnsi="Arial" w:cs="Arial"/>
                <w:bCs/>
                <w:sz w:val="24"/>
                <w:szCs w:val="24"/>
              </w:rPr>
            </w:pPr>
            <w:r w:rsidRPr="0042001C">
              <w:rPr>
                <w:rFonts w:ascii="Arial" w:hAnsi="Arial" w:cs="Arial"/>
                <w:bCs/>
                <w:sz w:val="24"/>
                <w:szCs w:val="24"/>
              </w:rPr>
              <w:t>Jul. 2009</w:t>
            </w:r>
          </w:p>
        </w:tc>
        <w:tc>
          <w:tcPr>
            <w:tcW w:w="1078" w:type="dxa"/>
          </w:tcPr>
          <w:p w:rsidR="00A074A4" w:rsidRPr="0042001C" w:rsidRDefault="00A074A4" w:rsidP="00A074A4">
            <w:pPr>
              <w:spacing w:line="360" w:lineRule="auto"/>
              <w:jc w:val="both"/>
              <w:rPr>
                <w:rFonts w:ascii="Arial" w:hAnsi="Arial" w:cs="Arial"/>
                <w:bCs/>
                <w:sz w:val="24"/>
                <w:szCs w:val="24"/>
              </w:rPr>
            </w:pPr>
            <w:r>
              <w:rPr>
                <w:rFonts w:ascii="Arial" w:hAnsi="Arial" w:cs="Arial"/>
                <w:bCs/>
                <w:sz w:val="24"/>
                <w:szCs w:val="24"/>
              </w:rPr>
              <w:t>86</w:t>
            </w:r>
          </w:p>
        </w:tc>
        <w:tc>
          <w:tcPr>
            <w:tcW w:w="1146" w:type="dxa"/>
          </w:tcPr>
          <w:p w:rsidR="00A074A4" w:rsidRPr="0042001C" w:rsidRDefault="00A074A4" w:rsidP="00A074A4">
            <w:pPr>
              <w:spacing w:line="360" w:lineRule="auto"/>
              <w:jc w:val="both"/>
              <w:rPr>
                <w:rFonts w:ascii="Arial" w:hAnsi="Arial" w:cs="Arial"/>
                <w:bCs/>
                <w:sz w:val="24"/>
                <w:szCs w:val="24"/>
              </w:rPr>
            </w:pPr>
            <w:r w:rsidRPr="0042001C">
              <w:rPr>
                <w:rFonts w:ascii="Arial" w:hAnsi="Arial" w:cs="Arial"/>
                <w:bCs/>
                <w:color w:val="000000"/>
                <w:sz w:val="24"/>
                <w:szCs w:val="24"/>
              </w:rPr>
              <w:t>842,4</w:t>
            </w:r>
            <w:r>
              <w:rPr>
                <w:rFonts w:ascii="Arial" w:hAnsi="Arial" w:cs="Arial"/>
                <w:bCs/>
                <w:sz w:val="24"/>
                <w:szCs w:val="24"/>
              </w:rPr>
              <w:t>3</w:t>
            </w:r>
          </w:p>
        </w:tc>
      </w:tr>
    </w:tbl>
    <w:p w:rsidR="00E43B1B" w:rsidRPr="0042001C" w:rsidRDefault="00A074A4" w:rsidP="002A215D">
      <w:pPr>
        <w:spacing w:after="0" w:line="360" w:lineRule="auto"/>
        <w:jc w:val="both"/>
        <w:rPr>
          <w:rFonts w:ascii="Arial" w:hAnsi="Arial" w:cs="Arial"/>
          <w:sz w:val="24"/>
          <w:szCs w:val="24"/>
        </w:rPr>
      </w:pPr>
      <w:r>
        <w:rPr>
          <w:noProof/>
          <w:lang w:eastAsia="es-ES"/>
        </w:rPr>
        <w:drawing>
          <wp:anchor distT="0" distB="0" distL="114300" distR="114300" simplePos="0" relativeHeight="251662336" behindDoc="0" locked="0" layoutInCell="1" allowOverlap="1" wp14:anchorId="7B53DEBF" wp14:editId="5B953ACD">
            <wp:simplePos x="0" y="0"/>
            <wp:positionH relativeFrom="column">
              <wp:posOffset>-22860</wp:posOffset>
            </wp:positionH>
            <wp:positionV relativeFrom="paragraph">
              <wp:posOffset>-90170</wp:posOffset>
            </wp:positionV>
            <wp:extent cx="3124200" cy="2238375"/>
            <wp:effectExtent l="0" t="0" r="0" b="0"/>
            <wp:wrapSquare wrapText="bothSides"/>
            <wp:docPr id="6" name="Gráfico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rsidR="00E43B1B" w:rsidRPr="0042001C" w:rsidRDefault="00E43B1B" w:rsidP="00E43B1B">
      <w:pPr>
        <w:spacing w:after="0" w:line="360" w:lineRule="auto"/>
        <w:jc w:val="both"/>
        <w:rPr>
          <w:rFonts w:ascii="Arial" w:hAnsi="Arial" w:cs="Arial"/>
          <w:b/>
          <w:sz w:val="24"/>
          <w:szCs w:val="24"/>
        </w:rPr>
      </w:pPr>
      <w:r w:rsidRPr="0042001C">
        <w:rPr>
          <w:rFonts w:ascii="Arial" w:hAnsi="Arial" w:cs="Arial"/>
          <w:b/>
          <w:sz w:val="24"/>
          <w:szCs w:val="24"/>
        </w:rPr>
        <w:t>Figura 2. Comportamiento de la materia seca por órganos en ca</w:t>
      </w:r>
      <w:r>
        <w:rPr>
          <w:rFonts w:ascii="Arial" w:hAnsi="Arial" w:cs="Arial"/>
          <w:b/>
          <w:sz w:val="24"/>
          <w:szCs w:val="24"/>
        </w:rPr>
        <w:t>da una de las fechas de siembra</w:t>
      </w:r>
    </w:p>
    <w:p w:rsidR="00E43B1B" w:rsidRPr="0042001C" w:rsidRDefault="00E43B1B" w:rsidP="00E43B1B">
      <w:pPr>
        <w:autoSpaceDE w:val="0"/>
        <w:autoSpaceDN w:val="0"/>
        <w:adjustRightInd w:val="0"/>
        <w:spacing w:after="0" w:line="360" w:lineRule="auto"/>
        <w:jc w:val="both"/>
        <w:rPr>
          <w:rFonts w:ascii="Arial" w:hAnsi="Arial" w:cs="Arial"/>
          <w:b/>
          <w:sz w:val="24"/>
          <w:szCs w:val="24"/>
        </w:rPr>
      </w:pPr>
      <w:r>
        <w:rPr>
          <w:rFonts w:ascii="Arial" w:hAnsi="Arial" w:cs="Arial"/>
          <w:sz w:val="24"/>
          <w:szCs w:val="24"/>
        </w:rPr>
        <w:t>L</w:t>
      </w:r>
      <w:r w:rsidRPr="0042001C">
        <w:rPr>
          <w:rFonts w:ascii="Arial" w:hAnsi="Arial" w:cs="Arial"/>
          <w:sz w:val="24"/>
          <w:szCs w:val="24"/>
        </w:rPr>
        <w:t xml:space="preserve">as curvas de acumulado de masa seca de los tallos </w:t>
      </w:r>
      <w:r>
        <w:rPr>
          <w:rFonts w:ascii="Arial" w:hAnsi="Arial" w:cs="Arial"/>
          <w:sz w:val="24"/>
          <w:szCs w:val="24"/>
        </w:rPr>
        <w:t>muestran</w:t>
      </w:r>
      <w:r w:rsidRPr="0042001C">
        <w:rPr>
          <w:rFonts w:ascii="Arial" w:hAnsi="Arial" w:cs="Arial"/>
          <w:sz w:val="24"/>
          <w:szCs w:val="24"/>
        </w:rPr>
        <w:t xml:space="preserve"> que los mayores acumulado</w:t>
      </w:r>
      <w:r>
        <w:rPr>
          <w:rFonts w:ascii="Arial" w:hAnsi="Arial" w:cs="Arial"/>
          <w:sz w:val="24"/>
          <w:szCs w:val="24"/>
        </w:rPr>
        <w:t>s se presentan</w:t>
      </w:r>
      <w:r w:rsidRPr="0042001C">
        <w:rPr>
          <w:rFonts w:ascii="Arial" w:hAnsi="Arial" w:cs="Arial"/>
          <w:sz w:val="24"/>
          <w:szCs w:val="24"/>
        </w:rPr>
        <w:t xml:space="preserve"> en las fechas de siembra de junio y julio</w:t>
      </w:r>
      <w:r>
        <w:rPr>
          <w:rFonts w:ascii="Arial" w:hAnsi="Arial" w:cs="Arial"/>
          <w:sz w:val="24"/>
          <w:szCs w:val="24"/>
        </w:rPr>
        <w:t xml:space="preserve"> de 2009 con 809, 1 g </w:t>
      </w:r>
      <w:r w:rsidRPr="0042001C">
        <w:rPr>
          <w:rFonts w:ascii="Arial" w:hAnsi="Arial" w:cs="Arial"/>
          <w:sz w:val="24"/>
          <w:szCs w:val="24"/>
        </w:rPr>
        <w:t>m</w:t>
      </w:r>
      <w:r w:rsidRPr="0042001C">
        <w:rPr>
          <w:rFonts w:ascii="Arial" w:hAnsi="Arial" w:cs="Arial"/>
          <w:sz w:val="24"/>
          <w:szCs w:val="24"/>
          <w:vertAlign w:val="superscript"/>
        </w:rPr>
        <w:t xml:space="preserve">2 </w:t>
      </w:r>
      <w:r>
        <w:rPr>
          <w:rFonts w:ascii="Arial" w:hAnsi="Arial" w:cs="Arial"/>
          <w:sz w:val="24"/>
          <w:szCs w:val="24"/>
        </w:rPr>
        <w:t xml:space="preserve">y 734, 9 g </w:t>
      </w:r>
      <w:r w:rsidRPr="0042001C">
        <w:rPr>
          <w:rFonts w:ascii="Arial" w:hAnsi="Arial" w:cs="Arial"/>
          <w:sz w:val="24"/>
          <w:szCs w:val="24"/>
        </w:rPr>
        <w:t>m</w:t>
      </w:r>
      <w:r w:rsidRPr="0042001C">
        <w:rPr>
          <w:rFonts w:ascii="Arial" w:hAnsi="Arial" w:cs="Arial"/>
          <w:sz w:val="24"/>
          <w:szCs w:val="24"/>
          <w:vertAlign w:val="superscript"/>
        </w:rPr>
        <w:t>2</w:t>
      </w:r>
      <w:r w:rsidRPr="0042001C">
        <w:rPr>
          <w:rFonts w:ascii="Arial" w:hAnsi="Arial" w:cs="Arial"/>
          <w:sz w:val="24"/>
          <w:szCs w:val="24"/>
        </w:rPr>
        <w:t xml:space="preserve"> respectivamente y estos máximos valores se obtuvieron en estadios más próximos a la cosecha respecto a la siembra de noviembre de 2008 según se muestra en la tabla de valores máximos. Se plantea que los procesos biofísicos que controlan la producción de biomasa aérea y el rendimiento de los cultivos a una tasa potencial, son la cantidad de radiación solar absorbida por la vegetación y la utilización de esta energía en el crecimiento vegetal (8).</w:t>
      </w:r>
    </w:p>
    <w:p w:rsidR="00E43B1B" w:rsidRPr="0042001C" w:rsidRDefault="00E43B1B" w:rsidP="008916CC">
      <w:pPr>
        <w:autoSpaceDE w:val="0"/>
        <w:autoSpaceDN w:val="0"/>
        <w:adjustRightInd w:val="0"/>
        <w:spacing w:before="120" w:after="120" w:line="360" w:lineRule="auto"/>
        <w:jc w:val="both"/>
        <w:rPr>
          <w:rFonts w:ascii="Arial" w:hAnsi="Arial" w:cs="Arial"/>
          <w:sz w:val="24"/>
          <w:szCs w:val="24"/>
        </w:rPr>
      </w:pPr>
      <w:r>
        <w:rPr>
          <w:rFonts w:ascii="Arial" w:hAnsi="Arial" w:cs="Arial"/>
          <w:sz w:val="24"/>
          <w:szCs w:val="24"/>
        </w:rPr>
        <w:t>Por su parte, l</w:t>
      </w:r>
      <w:r w:rsidRPr="0042001C">
        <w:rPr>
          <w:rFonts w:ascii="Arial" w:hAnsi="Arial" w:cs="Arial"/>
          <w:sz w:val="24"/>
          <w:szCs w:val="24"/>
        </w:rPr>
        <w:t xml:space="preserve">as curvas de acumulado de masa seca de las espigas muestran que a los 83 y 96 días los valores máximos alcanzados correspondieron a las </w:t>
      </w:r>
      <w:r w:rsidRPr="0042001C">
        <w:rPr>
          <w:rFonts w:ascii="Arial" w:hAnsi="Arial" w:cs="Arial"/>
          <w:sz w:val="24"/>
          <w:szCs w:val="24"/>
        </w:rPr>
        <w:lastRenderedPageBreak/>
        <w:t>fechas de siembra de julio y junio de 2009 con 842,4</w:t>
      </w:r>
      <w:r>
        <w:rPr>
          <w:rFonts w:ascii="Arial" w:hAnsi="Arial" w:cs="Arial"/>
          <w:sz w:val="24"/>
          <w:szCs w:val="24"/>
        </w:rPr>
        <w:t xml:space="preserve"> g </w:t>
      </w:r>
      <w:r w:rsidRPr="0042001C">
        <w:rPr>
          <w:rFonts w:ascii="Arial" w:hAnsi="Arial" w:cs="Arial"/>
          <w:sz w:val="24"/>
          <w:szCs w:val="24"/>
        </w:rPr>
        <w:t>m</w:t>
      </w:r>
      <w:r w:rsidRPr="0042001C">
        <w:rPr>
          <w:rFonts w:ascii="Arial" w:hAnsi="Arial" w:cs="Arial"/>
          <w:sz w:val="24"/>
          <w:szCs w:val="24"/>
          <w:vertAlign w:val="superscript"/>
        </w:rPr>
        <w:t>-2</w:t>
      </w:r>
      <w:r>
        <w:rPr>
          <w:rFonts w:ascii="Arial" w:hAnsi="Arial" w:cs="Arial"/>
          <w:sz w:val="24"/>
          <w:szCs w:val="24"/>
        </w:rPr>
        <w:t xml:space="preserve"> y 813,1 g </w:t>
      </w:r>
      <w:r w:rsidRPr="0042001C">
        <w:rPr>
          <w:rFonts w:ascii="Arial" w:hAnsi="Arial" w:cs="Arial"/>
          <w:sz w:val="24"/>
          <w:szCs w:val="24"/>
        </w:rPr>
        <w:t>m</w:t>
      </w:r>
      <w:r w:rsidRPr="0042001C">
        <w:rPr>
          <w:rFonts w:ascii="Arial" w:hAnsi="Arial" w:cs="Arial"/>
          <w:sz w:val="24"/>
          <w:szCs w:val="24"/>
          <w:vertAlign w:val="superscript"/>
        </w:rPr>
        <w:t>-2</w:t>
      </w:r>
      <w:r w:rsidRPr="0042001C">
        <w:rPr>
          <w:rFonts w:ascii="Arial" w:hAnsi="Arial" w:cs="Arial"/>
          <w:sz w:val="24"/>
          <w:szCs w:val="24"/>
        </w:rPr>
        <w:t xml:space="preserve"> respectivamente, seguidas de la fecha de siembra de noviembre de 2008.</w:t>
      </w:r>
    </w:p>
    <w:p w:rsidR="00E43B1B" w:rsidRPr="00D50F2F" w:rsidRDefault="00E43B1B" w:rsidP="008916CC">
      <w:pPr>
        <w:autoSpaceDE w:val="0"/>
        <w:autoSpaceDN w:val="0"/>
        <w:adjustRightInd w:val="0"/>
        <w:spacing w:before="120" w:after="120" w:line="360" w:lineRule="auto"/>
        <w:jc w:val="both"/>
        <w:rPr>
          <w:rFonts w:ascii="Arial" w:hAnsi="Arial" w:cs="Arial"/>
          <w:sz w:val="24"/>
          <w:szCs w:val="24"/>
        </w:rPr>
      </w:pPr>
      <w:r>
        <w:rPr>
          <w:rFonts w:ascii="Arial" w:hAnsi="Arial" w:cs="Arial"/>
          <w:sz w:val="24"/>
          <w:szCs w:val="24"/>
        </w:rPr>
        <w:t>Los resultados obtenidos pudieran estar dados por el comportamiento de las temperaturas durante el período en el cual se llevaron a cabo los experimentos. Pues durante las fechas de siembra de junio y julio de 2009, fechas en las cuales se obtuvieron valores máximos de acumulados de masa seca</w:t>
      </w:r>
      <w:r w:rsidR="00D50F2F" w:rsidRPr="00D50F2F">
        <w:rPr>
          <w:rFonts w:ascii="Arial" w:hAnsi="Arial" w:cs="Arial"/>
          <w:sz w:val="24"/>
          <w:szCs w:val="24"/>
        </w:rPr>
        <w:t xml:space="preserve"> </w:t>
      </w:r>
      <w:r w:rsidR="00D50F2F">
        <w:rPr>
          <w:rFonts w:ascii="Arial" w:hAnsi="Arial" w:cs="Arial"/>
          <w:sz w:val="24"/>
          <w:szCs w:val="24"/>
        </w:rPr>
        <w:t>mayores</w:t>
      </w:r>
      <w:r>
        <w:rPr>
          <w:rFonts w:ascii="Arial" w:hAnsi="Arial" w:cs="Arial"/>
          <w:sz w:val="24"/>
          <w:szCs w:val="24"/>
        </w:rPr>
        <w:t xml:space="preserve">, los </w:t>
      </w:r>
      <w:r w:rsidR="00D50F2F">
        <w:rPr>
          <w:rFonts w:ascii="Arial" w:hAnsi="Arial" w:cs="Arial"/>
          <w:sz w:val="24"/>
          <w:szCs w:val="24"/>
        </w:rPr>
        <w:t>datos</w:t>
      </w:r>
      <w:r>
        <w:rPr>
          <w:rFonts w:ascii="Arial" w:hAnsi="Arial" w:cs="Arial"/>
          <w:sz w:val="24"/>
          <w:szCs w:val="24"/>
        </w:rPr>
        <w:t xml:space="preserve"> de temperatura reportados fueron superiores a los de alcanzados dura</w:t>
      </w:r>
      <w:r w:rsidR="008916CC">
        <w:rPr>
          <w:rFonts w:ascii="Arial" w:hAnsi="Arial" w:cs="Arial"/>
          <w:sz w:val="24"/>
          <w:szCs w:val="24"/>
        </w:rPr>
        <w:t>nte todo el ciclo del cultivo respecto a</w:t>
      </w:r>
      <w:r>
        <w:rPr>
          <w:rFonts w:ascii="Arial" w:hAnsi="Arial" w:cs="Arial"/>
          <w:sz w:val="24"/>
          <w:szCs w:val="24"/>
        </w:rPr>
        <w:t xml:space="preserve"> la fecha de siembra de noviembre de 2008 </w:t>
      </w:r>
      <w:r w:rsidRPr="0042001C">
        <w:rPr>
          <w:rFonts w:ascii="Arial" w:hAnsi="Arial" w:cs="Arial"/>
          <w:sz w:val="24"/>
          <w:szCs w:val="24"/>
        </w:rPr>
        <w:t>(Figura 1).</w:t>
      </w:r>
      <w:r w:rsidR="00D50F2F">
        <w:rPr>
          <w:rFonts w:ascii="Arial" w:hAnsi="Arial" w:cs="Arial"/>
          <w:sz w:val="24"/>
          <w:szCs w:val="24"/>
        </w:rPr>
        <w:t xml:space="preserve"> Si se tiene en cuenta que </w:t>
      </w:r>
      <w:r w:rsidR="00D50F2F" w:rsidRPr="00D50F2F">
        <w:rPr>
          <w:rFonts w:ascii="Arial" w:hAnsi="Arial" w:cs="Arial"/>
          <w:sz w:val="24"/>
          <w:szCs w:val="24"/>
        </w:rPr>
        <w:t>e</w:t>
      </w:r>
      <w:r w:rsidR="00D50F2F" w:rsidRPr="00D50F2F">
        <w:rPr>
          <w:rFonts w:ascii="Arial" w:eastAsiaTheme="minorHAnsi" w:hAnsi="Arial" w:cs="Arial"/>
          <w:sz w:val="24"/>
          <w:szCs w:val="24"/>
        </w:rPr>
        <w:t xml:space="preserve">l sorgo se considera una planta de clima cálido que responde a temperaturas altas y la óptima para su desarrollo está entre 29 y </w:t>
      </w:r>
      <w:smartTag w:uri="urn:schemas-microsoft-com:office:smarttags" w:element="metricconverter">
        <w:smartTagPr>
          <w:attr w:name="ProductID" w:val="30 ºC"/>
        </w:smartTagPr>
        <w:r w:rsidR="00D50F2F" w:rsidRPr="00D50F2F">
          <w:rPr>
            <w:rFonts w:ascii="Arial" w:eastAsiaTheme="minorHAnsi" w:hAnsi="Arial" w:cs="Arial"/>
            <w:sz w:val="24"/>
            <w:szCs w:val="24"/>
          </w:rPr>
          <w:t xml:space="preserve">30 </w:t>
        </w:r>
        <w:proofErr w:type="spellStart"/>
        <w:r w:rsidR="00D50F2F" w:rsidRPr="00D50F2F">
          <w:rPr>
            <w:rFonts w:ascii="Arial" w:eastAsiaTheme="minorHAnsi" w:hAnsi="Arial" w:cs="Arial"/>
            <w:sz w:val="24"/>
            <w:szCs w:val="24"/>
          </w:rPr>
          <w:t>ºC</w:t>
        </w:r>
      </w:smartTag>
      <w:proofErr w:type="spellEnd"/>
      <w:r w:rsidR="00D50F2F" w:rsidRPr="00D50F2F">
        <w:rPr>
          <w:rFonts w:ascii="Arial" w:eastAsiaTheme="minorHAnsi" w:hAnsi="Arial" w:cs="Arial"/>
          <w:sz w:val="24"/>
          <w:szCs w:val="24"/>
        </w:rPr>
        <w:t xml:space="preserve">; </w:t>
      </w:r>
      <w:r w:rsidR="00D50F2F">
        <w:rPr>
          <w:rFonts w:ascii="Arial" w:eastAsiaTheme="minorHAnsi" w:hAnsi="Arial" w:cs="Arial"/>
          <w:sz w:val="24"/>
          <w:szCs w:val="24"/>
        </w:rPr>
        <w:t>todo esto</w:t>
      </w:r>
      <w:r w:rsidR="00D50F2F" w:rsidRPr="00D50F2F">
        <w:rPr>
          <w:rFonts w:ascii="Arial" w:eastAsiaTheme="minorHAnsi" w:hAnsi="Arial" w:cs="Arial"/>
          <w:sz w:val="24"/>
          <w:szCs w:val="24"/>
        </w:rPr>
        <w:t xml:space="preserve"> debido a sus características morfológicas ya que presenta un buen crecimiento del sistema radical, con un bajo nivel</w:t>
      </w:r>
      <w:r w:rsidR="00D50F2F">
        <w:rPr>
          <w:rFonts w:ascii="Arial" w:eastAsiaTheme="minorHAnsi" w:hAnsi="Arial" w:cs="Arial"/>
          <w:sz w:val="24"/>
          <w:szCs w:val="24"/>
        </w:rPr>
        <w:t xml:space="preserve"> </w:t>
      </w:r>
      <w:r w:rsidR="00D50F2F" w:rsidRPr="00D50F2F">
        <w:rPr>
          <w:rFonts w:ascii="Arial" w:eastAsiaTheme="minorHAnsi" w:hAnsi="Arial" w:cs="Arial"/>
          <w:sz w:val="24"/>
          <w:szCs w:val="24"/>
        </w:rPr>
        <w:t>de transpiración en relación con la alta capacidad de absorción radicular y una cubierta cerosa en los tallos y hojas que lo hacen un cultivo muy eficiente ante tales condiciones (</w:t>
      </w:r>
      <w:r w:rsidR="002A215D">
        <w:rPr>
          <w:rFonts w:ascii="Arial" w:eastAsiaTheme="minorHAnsi" w:hAnsi="Arial" w:cs="Arial"/>
          <w:sz w:val="24"/>
          <w:szCs w:val="24"/>
        </w:rPr>
        <w:t>9,</w:t>
      </w:r>
      <w:r w:rsidR="00A07EE2">
        <w:rPr>
          <w:rFonts w:ascii="Arial" w:eastAsiaTheme="minorHAnsi" w:hAnsi="Arial" w:cs="Arial"/>
          <w:sz w:val="24"/>
          <w:szCs w:val="24"/>
        </w:rPr>
        <w:t xml:space="preserve"> </w:t>
      </w:r>
      <w:r w:rsidR="002A215D">
        <w:rPr>
          <w:rFonts w:ascii="Arial" w:eastAsiaTheme="minorHAnsi" w:hAnsi="Arial" w:cs="Arial"/>
          <w:sz w:val="24"/>
          <w:szCs w:val="24"/>
        </w:rPr>
        <w:t>10,</w:t>
      </w:r>
      <w:r w:rsidR="00A07EE2">
        <w:rPr>
          <w:rFonts w:ascii="Arial" w:eastAsiaTheme="minorHAnsi" w:hAnsi="Arial" w:cs="Arial"/>
          <w:sz w:val="24"/>
          <w:szCs w:val="24"/>
        </w:rPr>
        <w:t xml:space="preserve"> </w:t>
      </w:r>
      <w:r w:rsidR="002A215D">
        <w:rPr>
          <w:rFonts w:ascii="Arial" w:eastAsiaTheme="minorHAnsi" w:hAnsi="Arial" w:cs="Arial"/>
          <w:sz w:val="24"/>
          <w:szCs w:val="24"/>
        </w:rPr>
        <w:t>11</w:t>
      </w:r>
      <w:r w:rsidR="00D50F2F" w:rsidRPr="00D50F2F">
        <w:rPr>
          <w:rFonts w:ascii="Arial" w:eastAsiaTheme="minorHAnsi" w:hAnsi="Arial" w:cs="Arial"/>
          <w:sz w:val="24"/>
          <w:szCs w:val="24"/>
        </w:rPr>
        <w:t>).</w:t>
      </w:r>
    </w:p>
    <w:p w:rsidR="00E43B1B" w:rsidRPr="0042001C" w:rsidRDefault="00E43B1B" w:rsidP="00E43B1B">
      <w:pPr>
        <w:spacing w:after="0" w:line="360" w:lineRule="auto"/>
        <w:jc w:val="both"/>
        <w:rPr>
          <w:rFonts w:ascii="Arial" w:hAnsi="Arial" w:cs="Arial"/>
          <w:sz w:val="24"/>
          <w:szCs w:val="24"/>
        </w:rPr>
      </w:pPr>
      <w:r w:rsidRPr="0042001C">
        <w:rPr>
          <w:rFonts w:ascii="Arial" w:hAnsi="Arial" w:cs="Arial"/>
          <w:sz w:val="24"/>
          <w:szCs w:val="24"/>
        </w:rPr>
        <w:t>La acumulación de materia seca en un vegetal es un proceso que además de los factores internos de la planta, gobernado en este caso específico por el comportamiento de la fotosíntesis y la respiración, depende en gran medida también, de los externos del ambiente (</w:t>
      </w:r>
      <w:r w:rsidR="002A215D">
        <w:rPr>
          <w:rFonts w:ascii="Arial" w:hAnsi="Arial" w:cs="Arial"/>
          <w:sz w:val="24"/>
          <w:szCs w:val="24"/>
        </w:rPr>
        <w:t>12</w:t>
      </w:r>
      <w:r w:rsidRPr="0042001C">
        <w:rPr>
          <w:rFonts w:ascii="Arial" w:hAnsi="Arial" w:cs="Arial"/>
          <w:sz w:val="24"/>
          <w:szCs w:val="24"/>
        </w:rPr>
        <w:t>).</w:t>
      </w:r>
    </w:p>
    <w:p w:rsidR="00E43B1B" w:rsidRPr="0042001C" w:rsidRDefault="00E43B1B" w:rsidP="00E43B1B">
      <w:pPr>
        <w:spacing w:after="0" w:line="360" w:lineRule="auto"/>
        <w:jc w:val="both"/>
        <w:rPr>
          <w:rFonts w:ascii="Arial" w:hAnsi="Arial" w:cs="Arial"/>
          <w:sz w:val="24"/>
          <w:szCs w:val="24"/>
        </w:rPr>
      </w:pPr>
      <w:r w:rsidRPr="0042001C">
        <w:rPr>
          <w:rFonts w:ascii="Arial" w:hAnsi="Arial" w:cs="Arial"/>
          <w:sz w:val="24"/>
          <w:szCs w:val="24"/>
        </w:rPr>
        <w:t xml:space="preserve">La producción de materia seca total es el resultado de la eficiencia del follaje del cultivo en la intercepción y utilización de la radiación solar disponible durante el ciclo de crecimiento. Sin embargo, esta eficiencia puede estar influenciada por la cantidad de radiación solar, la habilidad de las hojas para </w:t>
      </w:r>
      <w:proofErr w:type="spellStart"/>
      <w:r w:rsidRPr="0042001C">
        <w:rPr>
          <w:rFonts w:ascii="Arial" w:hAnsi="Arial" w:cs="Arial"/>
          <w:sz w:val="24"/>
          <w:szCs w:val="24"/>
        </w:rPr>
        <w:t>fotosintetizar</w:t>
      </w:r>
      <w:proofErr w:type="spellEnd"/>
      <w:r w:rsidRPr="0042001C">
        <w:rPr>
          <w:rFonts w:ascii="Arial" w:hAnsi="Arial" w:cs="Arial"/>
          <w:sz w:val="24"/>
          <w:szCs w:val="24"/>
        </w:rPr>
        <w:t>, el índice de área foliar, la arquitectura de la planta, la respiración, entre otros, lo que se resume en factores internos de crecimiento relacionados con el genotipo y factores externos relacionados con el ambiente y las prácticas de manejo</w:t>
      </w:r>
      <w:r w:rsidR="00011B06">
        <w:rPr>
          <w:rFonts w:ascii="Arial" w:hAnsi="Arial" w:cs="Arial"/>
          <w:sz w:val="24"/>
          <w:szCs w:val="24"/>
        </w:rPr>
        <w:t xml:space="preserve"> utilizadas durante el ciclo (13</w:t>
      </w:r>
      <w:r w:rsidRPr="0042001C">
        <w:rPr>
          <w:rFonts w:ascii="Arial" w:hAnsi="Arial" w:cs="Arial"/>
          <w:sz w:val="24"/>
          <w:szCs w:val="24"/>
        </w:rPr>
        <w:t>, 1</w:t>
      </w:r>
      <w:r w:rsidR="00011B06">
        <w:rPr>
          <w:rFonts w:ascii="Arial" w:hAnsi="Arial" w:cs="Arial"/>
          <w:sz w:val="24"/>
          <w:szCs w:val="24"/>
        </w:rPr>
        <w:t>4</w:t>
      </w:r>
      <w:r w:rsidRPr="0042001C">
        <w:rPr>
          <w:rFonts w:ascii="Arial" w:hAnsi="Arial" w:cs="Arial"/>
          <w:sz w:val="24"/>
          <w:szCs w:val="24"/>
        </w:rPr>
        <w:t>, 1</w:t>
      </w:r>
      <w:r w:rsidR="00011B06">
        <w:rPr>
          <w:rFonts w:ascii="Arial" w:hAnsi="Arial" w:cs="Arial"/>
          <w:sz w:val="24"/>
          <w:szCs w:val="24"/>
        </w:rPr>
        <w:t>5</w:t>
      </w:r>
      <w:r w:rsidRPr="0042001C">
        <w:rPr>
          <w:rFonts w:ascii="Arial" w:hAnsi="Arial" w:cs="Arial"/>
          <w:sz w:val="24"/>
          <w:szCs w:val="24"/>
        </w:rPr>
        <w:t>).</w:t>
      </w:r>
    </w:p>
    <w:p w:rsidR="00E43B1B" w:rsidRPr="00F2376C" w:rsidRDefault="00E43B1B" w:rsidP="00147374">
      <w:pPr>
        <w:spacing w:before="120" w:after="120" w:line="360" w:lineRule="auto"/>
        <w:jc w:val="both"/>
        <w:rPr>
          <w:rFonts w:ascii="Arial" w:hAnsi="Arial" w:cs="Arial"/>
          <w:sz w:val="24"/>
          <w:szCs w:val="24"/>
        </w:rPr>
      </w:pPr>
      <w:r w:rsidRPr="0042001C">
        <w:rPr>
          <w:rFonts w:ascii="Arial" w:hAnsi="Arial" w:cs="Arial"/>
          <w:sz w:val="24"/>
          <w:szCs w:val="24"/>
        </w:rPr>
        <w:t>Según se plantea (</w:t>
      </w:r>
      <w:r w:rsidR="002A215D">
        <w:rPr>
          <w:rFonts w:ascii="Arial" w:hAnsi="Arial" w:cs="Arial"/>
          <w:sz w:val="24"/>
          <w:szCs w:val="24"/>
        </w:rPr>
        <w:t>12</w:t>
      </w:r>
      <w:r w:rsidRPr="0042001C">
        <w:rPr>
          <w:rFonts w:ascii="Arial" w:hAnsi="Arial" w:cs="Arial"/>
          <w:sz w:val="24"/>
          <w:szCs w:val="24"/>
        </w:rPr>
        <w:t xml:space="preserve">), en una planta el número de hojas está determinado genéticamente y se ha asumido que la velocidad del incremento foliar dado por el número de hojas presentes en algún momento y el desarrollo que estas alcancen, estará en dependencia directa del incremento de las temperaturas. </w:t>
      </w:r>
    </w:p>
    <w:p w:rsidR="00E43B1B" w:rsidRDefault="00E43B1B" w:rsidP="00147374">
      <w:pPr>
        <w:autoSpaceDE w:val="0"/>
        <w:autoSpaceDN w:val="0"/>
        <w:adjustRightInd w:val="0"/>
        <w:spacing w:before="120" w:after="120" w:line="360" w:lineRule="auto"/>
        <w:jc w:val="both"/>
        <w:rPr>
          <w:rFonts w:ascii="Arial" w:hAnsi="Arial" w:cs="Arial"/>
          <w:sz w:val="24"/>
          <w:szCs w:val="24"/>
        </w:rPr>
      </w:pPr>
      <w:r w:rsidRPr="0042001C">
        <w:rPr>
          <w:rFonts w:ascii="Arial" w:hAnsi="Arial" w:cs="Arial"/>
          <w:sz w:val="24"/>
          <w:szCs w:val="24"/>
        </w:rPr>
        <w:t xml:space="preserve">La tasa de asimilación neta (TAN) es una medida de la eficiencia del follaje, que es la principal fuente de </w:t>
      </w:r>
      <w:proofErr w:type="spellStart"/>
      <w:r w:rsidRPr="0042001C">
        <w:rPr>
          <w:rFonts w:ascii="Arial" w:hAnsi="Arial" w:cs="Arial"/>
          <w:sz w:val="24"/>
          <w:szCs w:val="24"/>
        </w:rPr>
        <w:t>fotoasimilados</w:t>
      </w:r>
      <w:proofErr w:type="spellEnd"/>
      <w:r w:rsidRPr="0042001C">
        <w:rPr>
          <w:rFonts w:ascii="Arial" w:hAnsi="Arial" w:cs="Arial"/>
          <w:sz w:val="24"/>
          <w:szCs w:val="24"/>
        </w:rPr>
        <w:t xml:space="preserve"> para la producción de materia seca. Este </w:t>
      </w:r>
      <w:r w:rsidRPr="0042001C">
        <w:rPr>
          <w:rFonts w:ascii="Arial" w:hAnsi="Arial" w:cs="Arial"/>
          <w:sz w:val="24"/>
          <w:szCs w:val="24"/>
        </w:rPr>
        <w:lastRenderedPageBreak/>
        <w:t xml:space="preserve">índice registra la velocidad de la fotosíntesis neta en un lapso de tiempo, y se debe conocer el cambio de los valores del área foliar y </w:t>
      </w:r>
      <w:r>
        <w:rPr>
          <w:rFonts w:ascii="Arial" w:hAnsi="Arial" w:cs="Arial"/>
          <w:sz w:val="24"/>
          <w:szCs w:val="24"/>
        </w:rPr>
        <w:t>d</w:t>
      </w:r>
      <w:r w:rsidR="00011B06">
        <w:rPr>
          <w:rFonts w:ascii="Arial" w:hAnsi="Arial" w:cs="Arial"/>
          <w:sz w:val="24"/>
          <w:szCs w:val="24"/>
        </w:rPr>
        <w:t>el peso seco de la planta (16</w:t>
      </w:r>
      <w:r w:rsidRPr="0042001C">
        <w:rPr>
          <w:rFonts w:ascii="Arial" w:hAnsi="Arial" w:cs="Arial"/>
          <w:sz w:val="24"/>
          <w:szCs w:val="24"/>
        </w:rPr>
        <w:t>)</w:t>
      </w:r>
      <w:r>
        <w:rPr>
          <w:rFonts w:ascii="Arial" w:hAnsi="Arial" w:cs="Arial"/>
          <w:sz w:val="24"/>
          <w:szCs w:val="24"/>
        </w:rPr>
        <w:t>. L</w:t>
      </w:r>
      <w:r w:rsidRPr="0042001C">
        <w:rPr>
          <w:rFonts w:ascii="Arial" w:hAnsi="Arial" w:cs="Arial"/>
          <w:sz w:val="24"/>
          <w:szCs w:val="24"/>
        </w:rPr>
        <w:t xml:space="preserve">a </w:t>
      </w:r>
      <w:hyperlink r:id="rId12" w:history="1">
        <w:r>
          <w:rPr>
            <w:rFonts w:ascii="Arial" w:hAnsi="Arial" w:cs="Arial"/>
            <w:sz w:val="24"/>
            <w:szCs w:val="24"/>
          </w:rPr>
          <w:t>F</w:t>
        </w:r>
        <w:r w:rsidRPr="0042001C">
          <w:rPr>
            <w:rFonts w:ascii="Arial" w:hAnsi="Arial" w:cs="Arial"/>
            <w:sz w:val="24"/>
            <w:szCs w:val="24"/>
          </w:rPr>
          <w:t>igura 3</w:t>
        </w:r>
      </w:hyperlink>
      <w:r w:rsidRPr="0042001C">
        <w:rPr>
          <w:rFonts w:ascii="Arial" w:hAnsi="Arial" w:cs="Arial"/>
          <w:sz w:val="24"/>
          <w:szCs w:val="24"/>
        </w:rPr>
        <w:t xml:space="preserve"> </w:t>
      </w:r>
      <w:r>
        <w:rPr>
          <w:rFonts w:ascii="Arial" w:hAnsi="Arial" w:cs="Arial"/>
          <w:sz w:val="24"/>
          <w:szCs w:val="24"/>
        </w:rPr>
        <w:t>muestra comportamiento de la TAN ,</w:t>
      </w:r>
      <w:r w:rsidRPr="0042001C">
        <w:rPr>
          <w:rFonts w:ascii="Arial" w:hAnsi="Arial" w:cs="Arial"/>
          <w:sz w:val="24"/>
          <w:szCs w:val="24"/>
        </w:rPr>
        <w:t xml:space="preserve"> </w:t>
      </w:r>
      <w:r>
        <w:rPr>
          <w:rFonts w:ascii="Arial" w:hAnsi="Arial" w:cs="Arial"/>
          <w:sz w:val="24"/>
          <w:szCs w:val="24"/>
        </w:rPr>
        <w:t>la</w:t>
      </w:r>
      <w:r w:rsidRPr="0042001C">
        <w:rPr>
          <w:rFonts w:ascii="Arial" w:hAnsi="Arial" w:cs="Arial"/>
          <w:sz w:val="24"/>
          <w:szCs w:val="24"/>
        </w:rPr>
        <w:t xml:space="preserve"> cual presentó los mayores valores hasta 45 días después de la emergencia en las tres fechas de siembra, debido a que las plantas se encontraban en el inicio de la etapa vegetativa. Diferentes autores (</w:t>
      </w:r>
      <w:r w:rsidR="00011B06">
        <w:rPr>
          <w:rFonts w:ascii="Arial" w:hAnsi="Arial" w:cs="Arial"/>
          <w:sz w:val="24"/>
          <w:szCs w:val="24"/>
        </w:rPr>
        <w:t>17, 18</w:t>
      </w:r>
      <w:r w:rsidRPr="0042001C">
        <w:rPr>
          <w:rFonts w:ascii="Arial" w:hAnsi="Arial" w:cs="Arial"/>
          <w:sz w:val="24"/>
          <w:szCs w:val="24"/>
        </w:rPr>
        <w:t>)</w:t>
      </w:r>
      <w:r>
        <w:rPr>
          <w:rFonts w:ascii="Arial" w:hAnsi="Arial" w:cs="Arial"/>
          <w:sz w:val="24"/>
          <w:szCs w:val="24"/>
        </w:rPr>
        <w:t>,</w:t>
      </w:r>
      <w:r w:rsidRPr="0042001C">
        <w:rPr>
          <w:rFonts w:ascii="Arial" w:hAnsi="Arial" w:cs="Arial"/>
          <w:sz w:val="24"/>
          <w:szCs w:val="24"/>
        </w:rPr>
        <w:t xml:space="preserve"> expresaron que la TAN muestra mayores valores en los primeros estadios de desarrollo de la planta, etapa en la que existe mayor exposición a la radiación total, condición que se hace contraria en los estados más avanzados de crecimiento de las plantas.</w:t>
      </w:r>
    </w:p>
    <w:p w:rsidR="00DF1144" w:rsidRPr="0042001C" w:rsidRDefault="00DF1144" w:rsidP="00E43B1B">
      <w:pPr>
        <w:autoSpaceDE w:val="0"/>
        <w:autoSpaceDN w:val="0"/>
        <w:adjustRightInd w:val="0"/>
        <w:spacing w:after="0" w:line="360" w:lineRule="auto"/>
        <w:jc w:val="both"/>
        <w:rPr>
          <w:rFonts w:ascii="Arial" w:hAnsi="Arial" w:cs="Arial"/>
          <w:sz w:val="24"/>
          <w:szCs w:val="24"/>
        </w:rPr>
      </w:pPr>
      <w:r>
        <w:rPr>
          <w:rFonts w:ascii="Arial" w:hAnsi="Arial" w:cs="Arial"/>
          <w:noProof/>
          <w:sz w:val="24"/>
          <w:szCs w:val="24"/>
          <w:lang w:eastAsia="es-ES"/>
        </w:rPr>
        <w:drawing>
          <wp:inline distT="0" distB="0" distL="0" distR="0" wp14:anchorId="38015FEA" wp14:editId="27C965E8">
            <wp:extent cx="4048125" cy="2514600"/>
            <wp:effectExtent l="0" t="0" r="0" b="0"/>
            <wp:docPr id="9" name="Gráfico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DF1144" w:rsidRPr="0042001C" w:rsidRDefault="00DF1144" w:rsidP="00DF1144">
      <w:pPr>
        <w:spacing w:after="0" w:line="360" w:lineRule="auto"/>
        <w:jc w:val="both"/>
        <w:rPr>
          <w:rFonts w:ascii="Arial" w:hAnsi="Arial" w:cs="Arial"/>
          <w:b/>
          <w:sz w:val="24"/>
          <w:szCs w:val="24"/>
        </w:rPr>
      </w:pPr>
      <w:r w:rsidRPr="0042001C">
        <w:rPr>
          <w:rFonts w:ascii="Arial" w:hAnsi="Arial" w:cs="Arial"/>
          <w:b/>
          <w:sz w:val="24"/>
          <w:szCs w:val="24"/>
        </w:rPr>
        <w:t>Figura 3. Comportamiento de la tasa de asimilación</w:t>
      </w:r>
      <w:r>
        <w:rPr>
          <w:rFonts w:ascii="Arial" w:hAnsi="Arial" w:cs="Arial"/>
          <w:b/>
          <w:sz w:val="24"/>
          <w:szCs w:val="24"/>
        </w:rPr>
        <w:t xml:space="preserve"> neta en tres fechas de siembra</w:t>
      </w:r>
    </w:p>
    <w:p w:rsidR="00E43B1B" w:rsidRDefault="005B7557" w:rsidP="00147374">
      <w:pPr>
        <w:spacing w:before="120" w:after="120" w:line="360" w:lineRule="auto"/>
        <w:jc w:val="both"/>
        <w:rPr>
          <w:rFonts w:ascii="Arial" w:eastAsia="Times New Roman" w:hAnsi="Arial" w:cs="Arial"/>
          <w:sz w:val="24"/>
          <w:szCs w:val="24"/>
          <w:lang w:eastAsia="es-ES"/>
        </w:rPr>
      </w:pPr>
      <w:r>
        <w:rPr>
          <w:rFonts w:ascii="Arial" w:hAnsi="Arial" w:cs="Arial"/>
          <w:sz w:val="24"/>
          <w:szCs w:val="24"/>
        </w:rPr>
        <w:t xml:space="preserve">Luego de alcanzar </w:t>
      </w:r>
      <w:r w:rsidR="00FA04FF">
        <w:rPr>
          <w:rFonts w:ascii="Arial" w:hAnsi="Arial" w:cs="Arial"/>
          <w:sz w:val="24"/>
          <w:szCs w:val="24"/>
        </w:rPr>
        <w:t>los</w:t>
      </w:r>
      <w:r>
        <w:rPr>
          <w:rFonts w:ascii="Arial" w:hAnsi="Arial" w:cs="Arial"/>
          <w:sz w:val="24"/>
          <w:szCs w:val="24"/>
        </w:rPr>
        <w:t xml:space="preserve"> valores máximos </w:t>
      </w:r>
      <w:r w:rsidRPr="0042001C">
        <w:rPr>
          <w:rFonts w:ascii="Arial" w:hAnsi="Arial" w:cs="Arial"/>
          <w:sz w:val="24"/>
          <w:szCs w:val="24"/>
        </w:rPr>
        <w:t xml:space="preserve">la TAN disminuyó </w:t>
      </w:r>
      <w:r>
        <w:rPr>
          <w:rFonts w:ascii="Arial" w:hAnsi="Arial" w:cs="Arial"/>
          <w:sz w:val="24"/>
          <w:szCs w:val="24"/>
        </w:rPr>
        <w:t>(después de los 45 días) en las tres fechas de siembras;</w:t>
      </w:r>
      <w:r w:rsidRPr="0042001C">
        <w:rPr>
          <w:rFonts w:ascii="Arial" w:hAnsi="Arial" w:cs="Arial"/>
          <w:sz w:val="24"/>
          <w:szCs w:val="24"/>
        </w:rPr>
        <w:t xml:space="preserve"> sin embargo</w:t>
      </w:r>
      <w:r>
        <w:rPr>
          <w:rFonts w:ascii="Arial" w:hAnsi="Arial" w:cs="Arial"/>
          <w:sz w:val="24"/>
          <w:szCs w:val="24"/>
        </w:rPr>
        <w:t>,</w:t>
      </w:r>
      <w:r w:rsidRPr="0042001C">
        <w:rPr>
          <w:rFonts w:ascii="Arial" w:hAnsi="Arial" w:cs="Arial"/>
          <w:sz w:val="24"/>
          <w:szCs w:val="24"/>
        </w:rPr>
        <w:t xml:space="preserve"> los valores mínimos se obtuvieron primeramente en las fechas de noviembre de 2008 y junio de 2009 a los 90 días después de la emergencia y a los 105 días se alcanzaron estos valores para la siembra de julio de 2009.</w:t>
      </w:r>
      <w:r w:rsidR="00E43B1B" w:rsidRPr="0042001C">
        <w:rPr>
          <w:rFonts w:ascii="Arial" w:hAnsi="Arial" w:cs="Arial"/>
          <w:sz w:val="24"/>
          <w:szCs w:val="24"/>
        </w:rPr>
        <w:t xml:space="preserve"> </w:t>
      </w:r>
      <w:r w:rsidR="001A0237">
        <w:rPr>
          <w:rFonts w:ascii="Arial" w:hAnsi="Arial" w:cs="Arial"/>
          <w:sz w:val="24"/>
          <w:szCs w:val="24"/>
        </w:rPr>
        <w:t xml:space="preserve">Lo anteriormente expuesto indica </w:t>
      </w:r>
      <w:r>
        <w:rPr>
          <w:rFonts w:ascii="Arial" w:hAnsi="Arial" w:cs="Arial"/>
          <w:sz w:val="24"/>
          <w:szCs w:val="24"/>
        </w:rPr>
        <w:t>que para esta fecha</w:t>
      </w:r>
      <w:r w:rsidR="001A0237">
        <w:rPr>
          <w:rFonts w:ascii="Arial" w:hAnsi="Arial" w:cs="Arial"/>
          <w:sz w:val="24"/>
          <w:szCs w:val="24"/>
        </w:rPr>
        <w:t xml:space="preserve"> de siembra,</w:t>
      </w:r>
      <w:r>
        <w:rPr>
          <w:rFonts w:ascii="Arial" w:hAnsi="Arial" w:cs="Arial"/>
          <w:sz w:val="24"/>
          <w:szCs w:val="24"/>
        </w:rPr>
        <w:t xml:space="preserve"> </w:t>
      </w:r>
      <w:r w:rsidR="001A0237">
        <w:rPr>
          <w:rFonts w:ascii="Arial" w:hAnsi="Arial" w:cs="Arial"/>
          <w:sz w:val="24"/>
          <w:szCs w:val="24"/>
        </w:rPr>
        <w:t xml:space="preserve">las plantas mostraron </w:t>
      </w:r>
      <w:r w:rsidR="000273BE">
        <w:rPr>
          <w:rFonts w:ascii="Arial" w:hAnsi="Arial" w:cs="Arial"/>
          <w:sz w:val="24"/>
          <w:szCs w:val="24"/>
        </w:rPr>
        <w:t xml:space="preserve">que la </w:t>
      </w:r>
      <w:r w:rsidR="001A0237">
        <w:rPr>
          <w:rFonts w:ascii="Arial" w:hAnsi="Arial" w:cs="Arial"/>
          <w:sz w:val="24"/>
          <w:szCs w:val="24"/>
        </w:rPr>
        <w:t xml:space="preserve">eficiencia fotosintética </w:t>
      </w:r>
      <w:r w:rsidR="000273BE">
        <w:rPr>
          <w:rFonts w:ascii="Arial" w:hAnsi="Arial" w:cs="Arial"/>
          <w:sz w:val="24"/>
          <w:szCs w:val="24"/>
        </w:rPr>
        <w:t>se mantuvo por un período de tiempo mayor</w:t>
      </w:r>
      <w:r w:rsidR="00FA04FF">
        <w:rPr>
          <w:rFonts w:ascii="Arial" w:hAnsi="Arial" w:cs="Arial"/>
          <w:sz w:val="24"/>
          <w:szCs w:val="24"/>
        </w:rPr>
        <w:t xml:space="preserve">; </w:t>
      </w:r>
      <w:r w:rsidR="00E43B1B" w:rsidRPr="0042001C">
        <w:rPr>
          <w:rFonts w:ascii="Arial" w:hAnsi="Arial" w:cs="Arial"/>
          <w:sz w:val="24"/>
          <w:szCs w:val="24"/>
        </w:rPr>
        <w:t>s</w:t>
      </w:r>
      <w:r w:rsidR="00E43B1B" w:rsidRPr="0042001C">
        <w:rPr>
          <w:rFonts w:ascii="Arial" w:eastAsia="Times New Roman" w:hAnsi="Arial" w:cs="Arial"/>
          <w:sz w:val="24"/>
          <w:szCs w:val="24"/>
          <w:lang w:eastAsia="es-ES"/>
        </w:rPr>
        <w:t>egún es</w:t>
      </w:r>
      <w:r w:rsidR="00011B06">
        <w:rPr>
          <w:rFonts w:ascii="Arial" w:eastAsia="Times New Roman" w:hAnsi="Arial" w:cs="Arial"/>
          <w:sz w:val="24"/>
          <w:szCs w:val="24"/>
          <w:lang w:eastAsia="es-ES"/>
        </w:rPr>
        <w:t>tudios realizados se plantea (19</w:t>
      </w:r>
      <w:r w:rsidR="00E43B1B" w:rsidRPr="0042001C">
        <w:rPr>
          <w:rFonts w:ascii="Arial" w:eastAsia="Times New Roman" w:hAnsi="Arial" w:cs="Arial"/>
          <w:sz w:val="24"/>
          <w:szCs w:val="24"/>
          <w:lang w:eastAsia="es-ES"/>
        </w:rPr>
        <w:t xml:space="preserve">) que cada especie responde de manera particular a los estímulos de radiación que recibe del ambiente, siendo diferentes estas respuestas incluso dentro de una misma especie en diversas etapas fisiológicas del desarrollo. Resultados </w:t>
      </w:r>
      <w:r w:rsidR="00E43B1B">
        <w:rPr>
          <w:rFonts w:ascii="Arial" w:eastAsia="Times New Roman" w:hAnsi="Arial" w:cs="Arial"/>
          <w:sz w:val="24"/>
          <w:szCs w:val="24"/>
          <w:lang w:eastAsia="es-ES"/>
        </w:rPr>
        <w:t>similares a este estudio</w:t>
      </w:r>
      <w:r w:rsidR="00E43B1B" w:rsidRPr="0042001C">
        <w:rPr>
          <w:rFonts w:ascii="Arial" w:eastAsia="Times New Roman" w:hAnsi="Arial" w:cs="Arial"/>
          <w:sz w:val="24"/>
          <w:szCs w:val="24"/>
          <w:lang w:eastAsia="es-ES"/>
        </w:rPr>
        <w:t xml:space="preserve"> fueron reportados</w:t>
      </w:r>
      <w:r w:rsidR="008874C4">
        <w:rPr>
          <w:rFonts w:ascii="Arial" w:eastAsia="Times New Roman" w:hAnsi="Arial" w:cs="Arial"/>
          <w:sz w:val="24"/>
          <w:szCs w:val="24"/>
          <w:lang w:eastAsia="es-ES"/>
        </w:rPr>
        <w:t xml:space="preserve"> (20</w:t>
      </w:r>
      <w:r w:rsidR="00E43B1B">
        <w:rPr>
          <w:rFonts w:ascii="Arial" w:eastAsia="Times New Roman" w:hAnsi="Arial" w:cs="Arial"/>
          <w:sz w:val="24"/>
          <w:szCs w:val="24"/>
          <w:lang w:eastAsia="es-ES"/>
        </w:rPr>
        <w:t>)</w:t>
      </w:r>
      <w:r w:rsidR="00E43B1B" w:rsidRPr="0042001C">
        <w:rPr>
          <w:rFonts w:ascii="Arial" w:eastAsia="Times New Roman" w:hAnsi="Arial" w:cs="Arial"/>
          <w:sz w:val="24"/>
          <w:szCs w:val="24"/>
          <w:lang w:eastAsia="es-ES"/>
        </w:rPr>
        <w:t xml:space="preserve">, encontrando en la variedad ‘Río Grande’ de tomate una TAN mayor en los primeros estados de </w:t>
      </w:r>
      <w:r w:rsidR="00E43B1B" w:rsidRPr="0042001C">
        <w:rPr>
          <w:rFonts w:ascii="Arial" w:eastAsia="Times New Roman" w:hAnsi="Arial" w:cs="Arial"/>
          <w:sz w:val="24"/>
          <w:szCs w:val="24"/>
          <w:lang w:eastAsia="es-ES"/>
        </w:rPr>
        <w:lastRenderedPageBreak/>
        <w:t>desarrollo de plantas expuestas a radiación total, condición que se hizo contraria en los estado</w:t>
      </w:r>
      <w:r w:rsidR="00E43B1B">
        <w:rPr>
          <w:rFonts w:ascii="Arial" w:eastAsia="Times New Roman" w:hAnsi="Arial" w:cs="Arial"/>
          <w:sz w:val="24"/>
          <w:szCs w:val="24"/>
          <w:lang w:eastAsia="es-ES"/>
        </w:rPr>
        <w:t>s más avanzados de crecimiento</w:t>
      </w:r>
      <w:r w:rsidR="00E43B1B" w:rsidRPr="0042001C">
        <w:rPr>
          <w:rFonts w:ascii="Arial" w:eastAsia="Times New Roman" w:hAnsi="Arial" w:cs="Arial"/>
          <w:sz w:val="24"/>
          <w:szCs w:val="24"/>
          <w:lang w:eastAsia="es-ES"/>
        </w:rPr>
        <w:t>.</w:t>
      </w:r>
    </w:p>
    <w:p w:rsidR="00A32765" w:rsidRPr="0042001C" w:rsidRDefault="00A32765" w:rsidP="00A32765">
      <w:pPr>
        <w:autoSpaceDE w:val="0"/>
        <w:autoSpaceDN w:val="0"/>
        <w:adjustRightInd w:val="0"/>
        <w:spacing w:before="120" w:after="120" w:line="360" w:lineRule="auto"/>
        <w:jc w:val="both"/>
        <w:rPr>
          <w:rFonts w:ascii="Arial" w:eastAsia="Times New Roman" w:hAnsi="Arial" w:cs="Arial"/>
          <w:sz w:val="24"/>
          <w:szCs w:val="24"/>
          <w:lang w:eastAsia="es-ES"/>
        </w:rPr>
      </w:pPr>
      <w:r w:rsidRPr="0042001C">
        <w:rPr>
          <w:rFonts w:ascii="Arial" w:eastAsia="Times New Roman" w:hAnsi="Arial" w:cs="Arial"/>
          <w:sz w:val="24"/>
          <w:szCs w:val="24"/>
          <w:lang w:eastAsia="es-ES"/>
        </w:rPr>
        <w:t>Así, estudios realizados (</w:t>
      </w:r>
      <w:r w:rsidR="001602EE" w:rsidRPr="001602EE">
        <w:rPr>
          <w:rFonts w:ascii="Arial" w:eastAsia="Times New Roman" w:hAnsi="Arial" w:cs="Arial"/>
          <w:sz w:val="24"/>
          <w:szCs w:val="24"/>
          <w:lang w:eastAsia="es-ES"/>
        </w:rPr>
        <w:t>21</w:t>
      </w:r>
      <w:r w:rsidRPr="0042001C">
        <w:rPr>
          <w:rFonts w:ascii="Arial" w:eastAsia="Times New Roman" w:hAnsi="Arial" w:cs="Arial"/>
          <w:sz w:val="24"/>
          <w:szCs w:val="24"/>
          <w:lang w:eastAsia="es-ES"/>
        </w:rPr>
        <w:t>) mostraron que tubérculos de papa (</w:t>
      </w:r>
      <w:proofErr w:type="spellStart"/>
      <w:r w:rsidRPr="00AE22FA">
        <w:rPr>
          <w:rFonts w:ascii="Arial" w:eastAsia="Times New Roman" w:hAnsi="Arial" w:cs="Arial"/>
          <w:i/>
          <w:sz w:val="24"/>
          <w:szCs w:val="24"/>
          <w:lang w:eastAsia="es-ES"/>
        </w:rPr>
        <w:t>Solanum</w:t>
      </w:r>
      <w:proofErr w:type="spellEnd"/>
      <w:r w:rsidRPr="00AE22FA">
        <w:rPr>
          <w:rFonts w:ascii="Arial" w:eastAsia="Times New Roman" w:hAnsi="Arial" w:cs="Arial"/>
          <w:i/>
          <w:sz w:val="24"/>
          <w:szCs w:val="24"/>
          <w:lang w:eastAsia="es-ES"/>
        </w:rPr>
        <w:t xml:space="preserve"> </w:t>
      </w:r>
      <w:proofErr w:type="spellStart"/>
      <w:r w:rsidRPr="00AE22FA">
        <w:rPr>
          <w:rFonts w:ascii="Arial" w:eastAsia="Times New Roman" w:hAnsi="Arial" w:cs="Arial"/>
          <w:i/>
          <w:sz w:val="24"/>
          <w:szCs w:val="24"/>
          <w:lang w:eastAsia="es-ES"/>
        </w:rPr>
        <w:t>tuberosum</w:t>
      </w:r>
      <w:proofErr w:type="spellEnd"/>
      <w:r w:rsidRPr="0042001C">
        <w:rPr>
          <w:rFonts w:ascii="Arial" w:eastAsia="Times New Roman" w:hAnsi="Arial" w:cs="Arial"/>
          <w:sz w:val="24"/>
          <w:szCs w:val="24"/>
          <w:lang w:eastAsia="es-ES"/>
        </w:rPr>
        <w:t xml:space="preserve"> L.) para semilla alcanzaron un valor máximo de TAN (10 g m</w:t>
      </w:r>
      <w:r w:rsidRPr="0042001C">
        <w:rPr>
          <w:rFonts w:ascii="Arial" w:eastAsia="Times New Roman" w:hAnsi="Arial" w:cs="Arial"/>
          <w:sz w:val="24"/>
          <w:szCs w:val="24"/>
          <w:vertAlign w:val="superscript"/>
          <w:lang w:eastAsia="es-ES"/>
        </w:rPr>
        <w:t>–2</w:t>
      </w:r>
      <w:r w:rsidRPr="0042001C">
        <w:rPr>
          <w:rFonts w:ascii="Arial" w:eastAsia="Times New Roman" w:hAnsi="Arial" w:cs="Arial"/>
          <w:sz w:val="24"/>
          <w:szCs w:val="24"/>
          <w:lang w:eastAsia="es-ES"/>
        </w:rPr>
        <w:t xml:space="preserve"> d</w:t>
      </w:r>
      <w:r w:rsidRPr="0042001C">
        <w:rPr>
          <w:rFonts w:ascii="Arial" w:eastAsia="Times New Roman" w:hAnsi="Arial" w:cs="Arial"/>
          <w:sz w:val="24"/>
          <w:szCs w:val="24"/>
          <w:vertAlign w:val="superscript"/>
          <w:lang w:eastAsia="es-ES"/>
        </w:rPr>
        <w:t>–1</w:t>
      </w:r>
      <w:r w:rsidRPr="0042001C">
        <w:rPr>
          <w:rFonts w:ascii="Arial" w:eastAsia="Times New Roman" w:hAnsi="Arial" w:cs="Arial"/>
          <w:sz w:val="24"/>
          <w:szCs w:val="24"/>
          <w:lang w:eastAsia="es-ES"/>
        </w:rPr>
        <w:t>), a pesar de ser una especie con metabolismo C</w:t>
      </w:r>
      <w:r>
        <w:rPr>
          <w:rFonts w:ascii="Arial" w:eastAsia="Times New Roman" w:hAnsi="Arial" w:cs="Arial"/>
          <w:sz w:val="24"/>
          <w:szCs w:val="24"/>
          <w:vertAlign w:val="subscript"/>
          <w:lang w:eastAsia="es-ES"/>
        </w:rPr>
        <w:t>3</w:t>
      </w:r>
      <w:r w:rsidRPr="0042001C">
        <w:rPr>
          <w:rFonts w:ascii="Arial" w:eastAsia="Times New Roman" w:hAnsi="Arial" w:cs="Arial"/>
          <w:sz w:val="24"/>
          <w:szCs w:val="24"/>
          <w:lang w:eastAsia="es-ES"/>
        </w:rPr>
        <w:t xml:space="preserve">, cuando crecieron con 100 % de la radiación durante todo el ciclo de cultivo, y disminuyó en las plantas que crecieron con 40 y 70 % de radiación incidente. </w:t>
      </w:r>
    </w:p>
    <w:p w:rsidR="00962198" w:rsidRPr="0042001C" w:rsidRDefault="00962198" w:rsidP="00962198">
      <w:pPr>
        <w:autoSpaceDE w:val="0"/>
        <w:autoSpaceDN w:val="0"/>
        <w:adjustRightInd w:val="0"/>
        <w:spacing w:after="0" w:line="36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Una disminución en la TAN  luego de alcanzar el punto máximo pudiera estar dado, debido al </w:t>
      </w:r>
      <w:r w:rsidRPr="00962198">
        <w:rPr>
          <w:rFonts w:ascii="Arial" w:eastAsia="Times New Roman" w:hAnsi="Arial" w:cs="Arial"/>
          <w:sz w:val="24"/>
          <w:szCs w:val="24"/>
          <w:lang w:eastAsia="es-ES"/>
        </w:rPr>
        <w:t>aumento de la edad de las hojas unido al</w:t>
      </w:r>
      <w:r>
        <w:rPr>
          <w:rFonts w:ascii="Arial" w:eastAsia="Times New Roman" w:hAnsi="Arial" w:cs="Arial"/>
          <w:sz w:val="24"/>
          <w:szCs w:val="24"/>
          <w:lang w:eastAsia="es-ES"/>
        </w:rPr>
        <w:t xml:space="preserve"> auto</w:t>
      </w:r>
      <w:r w:rsidR="00A32765">
        <w:rPr>
          <w:rFonts w:ascii="Arial" w:eastAsia="Times New Roman" w:hAnsi="Arial" w:cs="Arial"/>
          <w:sz w:val="24"/>
          <w:szCs w:val="24"/>
          <w:lang w:eastAsia="es-ES"/>
        </w:rPr>
        <w:t>-</w:t>
      </w:r>
      <w:r>
        <w:rPr>
          <w:rFonts w:ascii="Arial" w:eastAsia="Times New Roman" w:hAnsi="Arial" w:cs="Arial"/>
          <w:sz w:val="24"/>
          <w:szCs w:val="24"/>
          <w:lang w:eastAsia="es-ES"/>
        </w:rPr>
        <w:t xml:space="preserve">sombreo </w:t>
      </w:r>
      <w:r w:rsidRPr="00962198">
        <w:rPr>
          <w:rFonts w:ascii="Arial" w:eastAsia="Times New Roman" w:hAnsi="Arial" w:cs="Arial"/>
          <w:sz w:val="24"/>
          <w:szCs w:val="24"/>
          <w:lang w:eastAsia="es-ES"/>
        </w:rPr>
        <w:t>de las hojas inferiores de la planta</w:t>
      </w:r>
      <w:r>
        <w:rPr>
          <w:rFonts w:ascii="Arial" w:eastAsia="Times New Roman" w:hAnsi="Arial" w:cs="Arial"/>
          <w:sz w:val="24"/>
          <w:szCs w:val="24"/>
          <w:lang w:eastAsia="es-ES"/>
        </w:rPr>
        <w:t xml:space="preserve"> reduciéndose así</w:t>
      </w:r>
      <w:r w:rsidRPr="00962198">
        <w:rPr>
          <w:rFonts w:ascii="Arial" w:eastAsia="Times New Roman" w:hAnsi="Arial" w:cs="Arial"/>
          <w:sz w:val="24"/>
          <w:szCs w:val="24"/>
          <w:lang w:eastAsia="es-ES"/>
        </w:rPr>
        <w:t xml:space="preserve"> la eficiencia fotosintética</w:t>
      </w:r>
      <w:r>
        <w:rPr>
          <w:rFonts w:ascii="Arial" w:eastAsia="Times New Roman" w:hAnsi="Arial" w:cs="Arial"/>
          <w:sz w:val="24"/>
          <w:szCs w:val="24"/>
          <w:lang w:eastAsia="es-ES"/>
        </w:rPr>
        <w:t xml:space="preserve">. En este sentido, se plantea </w:t>
      </w:r>
      <w:r w:rsidRPr="007C7B79">
        <w:rPr>
          <w:rFonts w:ascii="Arial" w:eastAsia="Times New Roman" w:hAnsi="Arial" w:cs="Arial"/>
          <w:sz w:val="24"/>
          <w:szCs w:val="24"/>
          <w:lang w:eastAsia="es-ES"/>
        </w:rPr>
        <w:t>(</w:t>
      </w:r>
      <w:r w:rsidR="001602EE" w:rsidRPr="007C7B79">
        <w:rPr>
          <w:rFonts w:ascii="Arial" w:eastAsia="Times New Roman" w:hAnsi="Arial" w:cs="Arial"/>
          <w:sz w:val="24"/>
          <w:szCs w:val="24"/>
          <w:lang w:eastAsia="es-ES"/>
        </w:rPr>
        <w:t>22</w:t>
      </w:r>
      <w:r w:rsidRPr="007C7B79">
        <w:rPr>
          <w:rFonts w:ascii="Arial" w:eastAsia="Times New Roman" w:hAnsi="Arial" w:cs="Arial"/>
          <w:sz w:val="24"/>
          <w:szCs w:val="24"/>
          <w:lang w:eastAsia="es-ES"/>
        </w:rPr>
        <w:t>)</w:t>
      </w:r>
      <w:r>
        <w:rPr>
          <w:rFonts w:ascii="Arial" w:eastAsia="Times New Roman" w:hAnsi="Arial" w:cs="Arial"/>
          <w:sz w:val="24"/>
          <w:szCs w:val="24"/>
          <w:lang w:eastAsia="es-ES"/>
        </w:rPr>
        <w:t xml:space="preserve"> </w:t>
      </w:r>
      <w:r w:rsidRPr="00962198">
        <w:rPr>
          <w:rFonts w:ascii="Arial" w:eastAsia="Times New Roman" w:hAnsi="Arial" w:cs="Arial"/>
          <w:sz w:val="24"/>
          <w:szCs w:val="24"/>
          <w:lang w:eastAsia="es-ES"/>
        </w:rPr>
        <w:t>que la reducción de la</w:t>
      </w:r>
      <w:r>
        <w:rPr>
          <w:rFonts w:ascii="Arial" w:eastAsia="Times New Roman" w:hAnsi="Arial" w:cs="Arial"/>
          <w:sz w:val="24"/>
          <w:szCs w:val="24"/>
          <w:lang w:eastAsia="es-ES"/>
        </w:rPr>
        <w:t xml:space="preserve"> </w:t>
      </w:r>
      <w:r w:rsidRPr="00962198">
        <w:rPr>
          <w:rFonts w:ascii="Arial" w:eastAsia="Times New Roman" w:hAnsi="Arial" w:cs="Arial"/>
          <w:sz w:val="24"/>
          <w:szCs w:val="24"/>
          <w:lang w:eastAsia="es-ES"/>
        </w:rPr>
        <w:t>TAN con el desarrollo se debe a disminuciones en las</w:t>
      </w:r>
      <w:r>
        <w:rPr>
          <w:rFonts w:ascii="Arial" w:eastAsia="Times New Roman" w:hAnsi="Arial" w:cs="Arial"/>
          <w:sz w:val="24"/>
          <w:szCs w:val="24"/>
          <w:lang w:eastAsia="es-ES"/>
        </w:rPr>
        <w:t xml:space="preserve"> </w:t>
      </w:r>
      <w:r w:rsidRPr="00962198">
        <w:rPr>
          <w:rFonts w:ascii="Arial" w:eastAsia="Times New Roman" w:hAnsi="Arial" w:cs="Arial"/>
          <w:sz w:val="24"/>
          <w:szCs w:val="24"/>
          <w:lang w:eastAsia="es-ES"/>
        </w:rPr>
        <w:t>tasas fotosintéticas más que al aumento de las pérdidas</w:t>
      </w:r>
      <w:r>
        <w:rPr>
          <w:rFonts w:ascii="Arial" w:eastAsia="Times New Roman" w:hAnsi="Arial" w:cs="Arial"/>
          <w:sz w:val="24"/>
          <w:szCs w:val="24"/>
          <w:lang w:eastAsia="es-ES"/>
        </w:rPr>
        <w:t xml:space="preserve"> </w:t>
      </w:r>
      <w:r w:rsidRPr="00962198">
        <w:rPr>
          <w:rFonts w:ascii="Arial" w:eastAsia="Times New Roman" w:hAnsi="Arial" w:cs="Arial"/>
          <w:sz w:val="24"/>
          <w:szCs w:val="24"/>
          <w:lang w:eastAsia="es-ES"/>
        </w:rPr>
        <w:t>respiratorias de la planta.</w:t>
      </w:r>
    </w:p>
    <w:p w:rsidR="00DF1144" w:rsidRPr="00D976EF" w:rsidRDefault="00A4768E" w:rsidP="00147374">
      <w:pPr>
        <w:pStyle w:val="Textocomentario"/>
        <w:spacing w:before="120" w:after="120" w:line="360" w:lineRule="auto"/>
        <w:jc w:val="both"/>
        <w:rPr>
          <w:rFonts w:ascii="Arial" w:eastAsia="Times New Roman" w:hAnsi="Arial" w:cs="Arial"/>
          <w:sz w:val="24"/>
          <w:szCs w:val="24"/>
          <w:lang w:eastAsia="es-ES"/>
        </w:rPr>
      </w:pPr>
      <w:r w:rsidRPr="00D976EF">
        <w:rPr>
          <w:rFonts w:ascii="Arial" w:eastAsia="Times New Roman" w:hAnsi="Arial" w:cs="Arial"/>
          <w:sz w:val="24"/>
          <w:szCs w:val="24"/>
          <w:lang w:eastAsia="es-ES"/>
        </w:rPr>
        <w:t>Al observar los resultados obtenidos se puede apreciar la que fecha qu</w:t>
      </w:r>
      <w:r w:rsidR="00E43B1B" w:rsidRPr="00D976EF">
        <w:rPr>
          <w:rFonts w:ascii="Arial" w:eastAsia="Times New Roman" w:hAnsi="Arial" w:cs="Arial"/>
          <w:sz w:val="24"/>
          <w:szCs w:val="24"/>
          <w:lang w:eastAsia="es-ES"/>
        </w:rPr>
        <w:t xml:space="preserve">e la fecha de siembra de junio de 2009 presentó </w:t>
      </w:r>
      <w:r w:rsidRPr="00D976EF">
        <w:rPr>
          <w:rFonts w:ascii="Arial" w:eastAsia="Times New Roman" w:hAnsi="Arial" w:cs="Arial"/>
          <w:sz w:val="24"/>
          <w:szCs w:val="24"/>
          <w:lang w:eastAsia="es-ES"/>
        </w:rPr>
        <w:t xml:space="preserve">valores más elevados en la TAN, los cuales se alcanzaron en la fase fenológica de formación del buche,  con valores intermedios se ubicó la siembra de julio de 2009, los cuales se obtuvieron en la fase de formación de la espiga </w:t>
      </w:r>
      <w:r w:rsidR="00E43B1B" w:rsidRPr="00D976EF">
        <w:rPr>
          <w:rFonts w:ascii="Arial" w:eastAsia="Times New Roman" w:hAnsi="Arial" w:cs="Arial"/>
          <w:sz w:val="24"/>
          <w:szCs w:val="24"/>
          <w:lang w:eastAsia="es-ES"/>
        </w:rPr>
        <w:t xml:space="preserve">y en el último extremo, con una TAN menor, la fecha de noviembre de 2008, en la que su máxima eficiencia fotosintética correspondió a la fase fenológica de formación de la oncena hoja. </w:t>
      </w:r>
      <w:r w:rsidR="00933407" w:rsidRPr="00D976EF">
        <w:rPr>
          <w:rFonts w:ascii="Arial" w:eastAsia="Times New Roman" w:hAnsi="Arial" w:cs="Arial"/>
          <w:sz w:val="24"/>
          <w:szCs w:val="24"/>
          <w:lang w:eastAsia="es-ES"/>
        </w:rPr>
        <w:t>Estas vari</w:t>
      </w:r>
      <w:r w:rsidR="00D976EF">
        <w:rPr>
          <w:rFonts w:ascii="Arial" w:eastAsia="Times New Roman" w:hAnsi="Arial" w:cs="Arial"/>
          <w:sz w:val="24"/>
          <w:szCs w:val="24"/>
          <w:lang w:eastAsia="es-ES"/>
        </w:rPr>
        <w:t xml:space="preserve">aciones en la eficiencia fotosintética </w:t>
      </w:r>
      <w:r w:rsidR="00933407" w:rsidRPr="00D976EF">
        <w:rPr>
          <w:rFonts w:ascii="Arial" w:hAnsi="Arial" w:cs="Arial"/>
          <w:sz w:val="24"/>
          <w:szCs w:val="24"/>
        </w:rPr>
        <w:t xml:space="preserve">entre fechas podrían deberse al ambiente, lo cual se puede comprobar a partir del comportamiento de las temperaturas presentadas </w:t>
      </w:r>
      <w:r w:rsidR="00D976EF">
        <w:rPr>
          <w:rFonts w:ascii="Arial" w:hAnsi="Arial" w:cs="Arial"/>
          <w:sz w:val="24"/>
          <w:szCs w:val="24"/>
        </w:rPr>
        <w:t>durante los experimentos</w:t>
      </w:r>
      <w:r w:rsidR="00933407" w:rsidRPr="00D976EF">
        <w:rPr>
          <w:rFonts w:ascii="Arial" w:hAnsi="Arial" w:cs="Arial"/>
          <w:sz w:val="24"/>
          <w:szCs w:val="24"/>
        </w:rPr>
        <w:t>.</w:t>
      </w:r>
      <w:r w:rsidR="00933407" w:rsidRPr="00D976EF">
        <w:rPr>
          <w:rFonts w:ascii="Arial" w:eastAsia="Times New Roman" w:hAnsi="Arial" w:cs="Arial"/>
          <w:sz w:val="24"/>
          <w:szCs w:val="24"/>
          <w:lang w:eastAsia="es-ES"/>
        </w:rPr>
        <w:t xml:space="preserve"> Por otra parte, según se plantea, la temperatura y</w:t>
      </w:r>
      <w:r w:rsidR="00E43B1B" w:rsidRPr="00D976EF">
        <w:rPr>
          <w:rFonts w:ascii="Arial" w:eastAsia="Times New Roman" w:hAnsi="Arial" w:cs="Arial"/>
          <w:sz w:val="24"/>
          <w:szCs w:val="24"/>
          <w:lang w:eastAsia="es-ES"/>
        </w:rPr>
        <w:t xml:space="preserve"> la radiación interceptada para las condiciones de Cuba, </w:t>
      </w:r>
      <w:r w:rsidR="00933407" w:rsidRPr="00D976EF">
        <w:rPr>
          <w:rFonts w:ascii="Arial" w:eastAsia="Times New Roman" w:hAnsi="Arial" w:cs="Arial"/>
          <w:sz w:val="24"/>
          <w:szCs w:val="24"/>
          <w:lang w:eastAsia="es-ES"/>
        </w:rPr>
        <w:t xml:space="preserve">durante </w:t>
      </w:r>
      <w:r w:rsidR="00E43B1B" w:rsidRPr="00D976EF">
        <w:rPr>
          <w:rFonts w:ascii="Arial" w:eastAsia="Times New Roman" w:hAnsi="Arial" w:cs="Arial"/>
          <w:sz w:val="24"/>
          <w:szCs w:val="24"/>
          <w:lang w:eastAsia="es-ES"/>
        </w:rPr>
        <w:t>los meses de junio y julio coinciden con los máximos valores (2</w:t>
      </w:r>
      <w:r w:rsidR="007C7B79">
        <w:rPr>
          <w:rFonts w:ascii="Arial" w:eastAsia="Times New Roman" w:hAnsi="Arial" w:cs="Arial"/>
          <w:sz w:val="24"/>
          <w:szCs w:val="24"/>
          <w:lang w:eastAsia="es-ES"/>
        </w:rPr>
        <w:t>3</w:t>
      </w:r>
      <w:r w:rsidR="00E43B1B" w:rsidRPr="00D976EF">
        <w:rPr>
          <w:rFonts w:ascii="Arial" w:eastAsia="Times New Roman" w:hAnsi="Arial" w:cs="Arial"/>
          <w:sz w:val="24"/>
          <w:szCs w:val="24"/>
          <w:lang w:eastAsia="es-ES"/>
        </w:rPr>
        <w:t>).</w:t>
      </w:r>
    </w:p>
    <w:p w:rsidR="00E43B1B" w:rsidRPr="00E72E7A" w:rsidRDefault="00D976EF" w:rsidP="00DF1144">
      <w:pPr>
        <w:pStyle w:val="Textocomentario"/>
        <w:spacing w:line="360" w:lineRule="auto"/>
        <w:jc w:val="both"/>
        <w:rPr>
          <w:rFonts w:ascii="Arial" w:eastAsia="Times New Roman" w:hAnsi="Arial" w:cs="Arial"/>
          <w:sz w:val="24"/>
          <w:szCs w:val="24"/>
          <w:lang w:eastAsia="es-ES"/>
        </w:rPr>
      </w:pPr>
      <w:r w:rsidRPr="00B7769A">
        <w:rPr>
          <w:rFonts w:ascii="Arial" w:eastAsia="Times New Roman" w:hAnsi="Arial" w:cs="Arial"/>
          <w:sz w:val="24"/>
          <w:szCs w:val="24"/>
          <w:lang w:eastAsia="es-ES"/>
        </w:rPr>
        <w:t xml:space="preserve">De lo anteriormente expuesto se </w:t>
      </w:r>
      <w:r w:rsidR="00B7769A" w:rsidRPr="00B7769A">
        <w:rPr>
          <w:rFonts w:ascii="Arial" w:eastAsia="Times New Roman" w:hAnsi="Arial" w:cs="Arial"/>
          <w:sz w:val="24"/>
          <w:szCs w:val="24"/>
          <w:lang w:eastAsia="es-ES"/>
        </w:rPr>
        <w:t>deriva,</w:t>
      </w:r>
      <w:r w:rsidRPr="00B7769A">
        <w:rPr>
          <w:rFonts w:ascii="Arial" w:eastAsia="Times New Roman" w:hAnsi="Arial" w:cs="Arial"/>
          <w:sz w:val="24"/>
          <w:szCs w:val="24"/>
          <w:lang w:eastAsia="es-ES"/>
        </w:rPr>
        <w:t xml:space="preserve"> que las fechas que mostraron </w:t>
      </w:r>
      <w:r w:rsidR="00E43B1B" w:rsidRPr="00B7769A">
        <w:rPr>
          <w:rFonts w:ascii="Arial" w:eastAsia="Times New Roman" w:hAnsi="Arial" w:cs="Arial"/>
          <w:sz w:val="24"/>
          <w:szCs w:val="24"/>
          <w:lang w:eastAsia="es-ES"/>
        </w:rPr>
        <w:t>valores máximos de TAN</w:t>
      </w:r>
      <w:r w:rsidRPr="00B7769A">
        <w:rPr>
          <w:rFonts w:ascii="Arial" w:eastAsia="Times New Roman" w:hAnsi="Arial" w:cs="Arial"/>
          <w:sz w:val="24"/>
          <w:szCs w:val="24"/>
          <w:lang w:eastAsia="es-ES"/>
        </w:rPr>
        <w:t xml:space="preserve">, lograron </w:t>
      </w:r>
      <w:r w:rsidR="00E43B1B" w:rsidRPr="00B7769A">
        <w:rPr>
          <w:rFonts w:ascii="Arial" w:eastAsia="Times New Roman" w:hAnsi="Arial" w:cs="Arial"/>
          <w:sz w:val="24"/>
          <w:szCs w:val="24"/>
          <w:lang w:eastAsia="es-ES"/>
        </w:rPr>
        <w:t>mayo</w:t>
      </w:r>
      <w:r w:rsidRPr="00B7769A">
        <w:rPr>
          <w:rFonts w:ascii="Arial" w:eastAsia="Times New Roman" w:hAnsi="Arial" w:cs="Arial"/>
          <w:sz w:val="24"/>
          <w:szCs w:val="24"/>
          <w:lang w:eastAsia="es-ES"/>
        </w:rPr>
        <w:t>r producción de materia seca a</w:t>
      </w:r>
      <w:r w:rsidR="00B7769A" w:rsidRPr="00B7769A">
        <w:rPr>
          <w:rFonts w:ascii="Arial" w:eastAsia="Times New Roman" w:hAnsi="Arial" w:cs="Arial"/>
          <w:sz w:val="24"/>
          <w:szCs w:val="24"/>
          <w:lang w:eastAsia="es-ES"/>
        </w:rPr>
        <w:t>érea en momentos más próximos a la cosecha y que esta se mantuvo de igual manera por un periodo de tiempo más prolongado</w:t>
      </w:r>
      <w:r w:rsidR="00E43B1B" w:rsidRPr="00B7769A">
        <w:rPr>
          <w:rFonts w:ascii="Arial" w:eastAsia="Times New Roman" w:hAnsi="Arial" w:cs="Arial"/>
          <w:sz w:val="24"/>
          <w:szCs w:val="24"/>
          <w:lang w:eastAsia="es-ES"/>
        </w:rPr>
        <w:t>, lo que se traduce en una mayor eficiencia fotosintética. En estudios realizados al cultivo del maíz afirman</w:t>
      </w:r>
      <w:r w:rsidR="00E72E7A">
        <w:rPr>
          <w:rStyle w:val="A7"/>
        </w:rPr>
        <w:t xml:space="preserve"> </w:t>
      </w:r>
      <w:r w:rsidR="00E72E7A" w:rsidRPr="00E72E7A">
        <w:rPr>
          <w:rStyle w:val="A7"/>
          <w:rFonts w:ascii="Arial" w:hAnsi="Arial" w:cs="Arial"/>
          <w:sz w:val="24"/>
          <w:szCs w:val="24"/>
        </w:rPr>
        <w:t xml:space="preserve">que la producción de materia seca total es el resultado de la eficiencia del follaje en la intercepción y utilización de la radiación solar disponible durante el ciclo de </w:t>
      </w:r>
      <w:r w:rsidR="00E72E7A" w:rsidRPr="005A7BA1">
        <w:rPr>
          <w:rStyle w:val="A7"/>
          <w:rFonts w:ascii="Arial" w:hAnsi="Arial" w:cs="Arial"/>
          <w:color w:val="auto"/>
          <w:sz w:val="24"/>
          <w:szCs w:val="24"/>
        </w:rPr>
        <w:t>crecimiento</w:t>
      </w:r>
      <w:r w:rsidR="00AB382E" w:rsidRPr="005A7BA1">
        <w:rPr>
          <w:rStyle w:val="A7"/>
          <w:rFonts w:ascii="Arial" w:hAnsi="Arial" w:cs="Arial"/>
          <w:color w:val="auto"/>
          <w:sz w:val="24"/>
          <w:szCs w:val="24"/>
        </w:rPr>
        <w:t xml:space="preserve"> (24).</w:t>
      </w:r>
      <w:r w:rsidR="005A7BA1" w:rsidRPr="005A7BA1">
        <w:rPr>
          <w:rStyle w:val="A7"/>
          <w:rFonts w:ascii="Arial" w:hAnsi="Arial" w:cs="Arial"/>
          <w:color w:val="auto"/>
          <w:sz w:val="24"/>
          <w:szCs w:val="24"/>
        </w:rPr>
        <w:t xml:space="preserve"> </w:t>
      </w:r>
    </w:p>
    <w:p w:rsidR="00E43B1B" w:rsidRDefault="00E43B1B" w:rsidP="00E43B1B">
      <w:pPr>
        <w:pStyle w:val="Textocomentario"/>
        <w:spacing w:line="360" w:lineRule="auto"/>
        <w:jc w:val="both"/>
      </w:pPr>
      <w:r w:rsidRPr="0042001C">
        <w:rPr>
          <w:rFonts w:ascii="Arial" w:eastAsia="Times New Roman" w:hAnsi="Arial" w:cs="Arial"/>
          <w:sz w:val="24"/>
          <w:szCs w:val="24"/>
          <w:lang w:eastAsia="es-ES"/>
        </w:rPr>
        <w:lastRenderedPageBreak/>
        <w:t xml:space="preserve">En la </w:t>
      </w:r>
      <w:hyperlink r:id="rId14" w:history="1">
        <w:r>
          <w:rPr>
            <w:rFonts w:ascii="Arial" w:eastAsia="Times New Roman" w:hAnsi="Arial" w:cs="Arial"/>
            <w:sz w:val="24"/>
            <w:szCs w:val="24"/>
            <w:lang w:eastAsia="es-ES"/>
          </w:rPr>
          <w:t>F</w:t>
        </w:r>
        <w:r w:rsidRPr="0042001C">
          <w:rPr>
            <w:rFonts w:ascii="Arial" w:eastAsia="Times New Roman" w:hAnsi="Arial" w:cs="Arial"/>
            <w:sz w:val="24"/>
            <w:szCs w:val="24"/>
            <w:lang w:eastAsia="es-ES"/>
          </w:rPr>
          <w:t>igura 4</w:t>
        </w:r>
      </w:hyperlink>
      <w:r w:rsidRPr="0042001C">
        <w:rPr>
          <w:rFonts w:ascii="Arial" w:eastAsia="Times New Roman" w:hAnsi="Arial" w:cs="Arial"/>
          <w:sz w:val="24"/>
          <w:szCs w:val="24"/>
          <w:lang w:eastAsia="es-ES"/>
        </w:rPr>
        <w:t xml:space="preserve"> se reafirma el criterio planteado anteriormente, pues se presenta la relación de área foliar (RAF) en las tres fechas de siembras, la cual es una medida del balance entre la capacidad fotosintética potencial y el costo respiratorio potencial</w:t>
      </w:r>
      <w:r>
        <w:rPr>
          <w:rFonts w:ascii="Arial" w:eastAsia="Times New Roman" w:hAnsi="Arial" w:cs="Arial"/>
          <w:sz w:val="24"/>
          <w:szCs w:val="24"/>
          <w:lang w:eastAsia="es-ES"/>
        </w:rPr>
        <w:t xml:space="preserve">. </w:t>
      </w:r>
      <w:r w:rsidRPr="002D39C6">
        <w:rPr>
          <w:rFonts w:ascii="Arial" w:eastAsia="Times New Roman" w:hAnsi="Arial" w:cs="Arial"/>
          <w:sz w:val="24"/>
          <w:szCs w:val="24"/>
          <w:lang w:eastAsia="es-ES"/>
        </w:rPr>
        <w:t>En la misma se puede observar además que durante los primeros estadios de crecimiento, las plantas alcanzaron los máximos valores en dicho indicador para todas las fechas de siembra, lo cual pudiera indicar una máxima ca</w:t>
      </w:r>
      <w:r w:rsidR="00F97131">
        <w:rPr>
          <w:rFonts w:ascii="Arial" w:eastAsia="Times New Roman" w:hAnsi="Arial" w:cs="Arial"/>
          <w:sz w:val="24"/>
          <w:szCs w:val="24"/>
          <w:lang w:eastAsia="es-ES"/>
        </w:rPr>
        <w:t xml:space="preserve">pacidad fotosintética potencial </w:t>
      </w:r>
      <w:r w:rsidR="005A7BA1">
        <w:rPr>
          <w:rFonts w:ascii="Arial" w:eastAsia="Times New Roman" w:hAnsi="Arial" w:cs="Arial"/>
          <w:sz w:val="24"/>
          <w:szCs w:val="24"/>
          <w:lang w:eastAsia="es-ES"/>
        </w:rPr>
        <w:t>(25</w:t>
      </w:r>
      <w:r w:rsidRPr="002D39C6">
        <w:rPr>
          <w:rFonts w:ascii="Arial" w:eastAsia="Times New Roman" w:hAnsi="Arial" w:cs="Arial"/>
          <w:sz w:val="24"/>
          <w:szCs w:val="24"/>
          <w:lang w:eastAsia="es-ES"/>
        </w:rPr>
        <w:t xml:space="preserve">), los cuales gradualmente disminuyeron a medida que avanzó la edad del cultivo. La disminución en los valores de RAF a medida que el sorgo avanza en edad es normal, ya que en las primeras etapas de crecimiento, las plantas invierten una gran cantidad de sus </w:t>
      </w:r>
      <w:proofErr w:type="spellStart"/>
      <w:r w:rsidRPr="002D39C6">
        <w:rPr>
          <w:rFonts w:ascii="Arial" w:eastAsia="Times New Roman" w:hAnsi="Arial" w:cs="Arial"/>
          <w:sz w:val="24"/>
          <w:szCs w:val="24"/>
          <w:lang w:eastAsia="es-ES"/>
        </w:rPr>
        <w:t>fotoasimilados</w:t>
      </w:r>
      <w:proofErr w:type="spellEnd"/>
      <w:r w:rsidRPr="002D39C6">
        <w:rPr>
          <w:rFonts w:ascii="Arial" w:eastAsia="Times New Roman" w:hAnsi="Arial" w:cs="Arial"/>
          <w:sz w:val="24"/>
          <w:szCs w:val="24"/>
          <w:lang w:eastAsia="es-ES"/>
        </w:rPr>
        <w:t xml:space="preserve"> en la conformación de su estructura vegetativa, invirtiéndose esta relación cuando se es</w:t>
      </w:r>
      <w:r w:rsidR="00EB73DC">
        <w:rPr>
          <w:rFonts w:ascii="Arial" w:eastAsia="Times New Roman" w:hAnsi="Arial" w:cs="Arial"/>
          <w:sz w:val="24"/>
          <w:szCs w:val="24"/>
          <w:lang w:eastAsia="es-ES"/>
        </w:rPr>
        <w:t>tablece la fase reproductiva (26</w:t>
      </w:r>
      <w:r w:rsidRPr="002D39C6">
        <w:rPr>
          <w:rFonts w:ascii="Arial" w:eastAsia="Times New Roman" w:hAnsi="Arial" w:cs="Arial"/>
          <w:sz w:val="24"/>
          <w:szCs w:val="24"/>
          <w:lang w:eastAsia="es-ES"/>
        </w:rPr>
        <w:t>).</w:t>
      </w:r>
    </w:p>
    <w:p w:rsidR="001549A2" w:rsidRDefault="001549A2" w:rsidP="001549A2">
      <w:pPr>
        <w:autoSpaceDE w:val="0"/>
        <w:autoSpaceDN w:val="0"/>
        <w:adjustRightInd w:val="0"/>
        <w:spacing w:after="0" w:line="360" w:lineRule="auto"/>
        <w:jc w:val="center"/>
        <w:rPr>
          <w:rFonts w:ascii="Arial" w:eastAsia="Times New Roman" w:hAnsi="Arial" w:cs="Arial"/>
          <w:sz w:val="24"/>
          <w:szCs w:val="24"/>
          <w:lang w:eastAsia="es-ES"/>
        </w:rPr>
      </w:pPr>
      <w:r>
        <w:rPr>
          <w:rFonts w:ascii="Arial" w:hAnsi="Arial" w:cs="Arial"/>
          <w:noProof/>
          <w:sz w:val="24"/>
          <w:szCs w:val="24"/>
          <w:lang w:eastAsia="es-ES"/>
        </w:rPr>
        <w:drawing>
          <wp:inline distT="0" distB="0" distL="0" distR="0" wp14:anchorId="3BF54AD8" wp14:editId="4C4507BA">
            <wp:extent cx="3571875" cy="2019300"/>
            <wp:effectExtent l="0" t="0" r="0" b="0"/>
            <wp:docPr id="5" name="Gráfico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549A2" w:rsidRPr="0042001C" w:rsidRDefault="001549A2" w:rsidP="001549A2">
      <w:pPr>
        <w:spacing w:after="0" w:line="360" w:lineRule="auto"/>
        <w:jc w:val="both"/>
        <w:rPr>
          <w:rFonts w:ascii="Arial" w:hAnsi="Arial" w:cs="Arial"/>
          <w:b/>
          <w:sz w:val="24"/>
          <w:szCs w:val="24"/>
        </w:rPr>
      </w:pPr>
      <w:r w:rsidRPr="0042001C">
        <w:rPr>
          <w:rFonts w:ascii="Arial" w:hAnsi="Arial" w:cs="Arial"/>
          <w:b/>
          <w:sz w:val="24"/>
          <w:szCs w:val="24"/>
        </w:rPr>
        <w:t>Figura 4. Comportamiento de la relación de área f</w:t>
      </w:r>
      <w:r>
        <w:rPr>
          <w:rFonts w:ascii="Arial" w:hAnsi="Arial" w:cs="Arial"/>
          <w:b/>
          <w:sz w:val="24"/>
          <w:szCs w:val="24"/>
        </w:rPr>
        <w:t>oliar en tres fechas de siembra</w:t>
      </w:r>
    </w:p>
    <w:p w:rsidR="0037393D" w:rsidRPr="003048F7" w:rsidRDefault="001F0983" w:rsidP="0037393D">
      <w:pPr>
        <w:autoSpaceDE w:val="0"/>
        <w:autoSpaceDN w:val="0"/>
        <w:adjustRightInd w:val="0"/>
        <w:spacing w:before="120" w:after="120" w:line="360" w:lineRule="auto"/>
        <w:jc w:val="both"/>
        <w:rPr>
          <w:rFonts w:ascii="Arial" w:eastAsia="Times New Roman" w:hAnsi="Arial" w:cs="Arial"/>
          <w:color w:val="000000" w:themeColor="text1"/>
          <w:sz w:val="24"/>
          <w:szCs w:val="24"/>
          <w:lang w:eastAsia="es-ES"/>
        </w:rPr>
      </w:pPr>
      <w:r w:rsidRPr="003048F7">
        <w:rPr>
          <w:rFonts w:ascii="Arial" w:eastAsia="Times New Roman" w:hAnsi="Arial" w:cs="Arial"/>
          <w:color w:val="000000" w:themeColor="text1"/>
          <w:sz w:val="24"/>
          <w:szCs w:val="24"/>
          <w:lang w:eastAsia="es-ES"/>
        </w:rPr>
        <w:t xml:space="preserve">La siembra de noviembre de 2008 presentó los valores de RAF más altos durante </w:t>
      </w:r>
      <w:r w:rsidR="00C2232D" w:rsidRPr="003048F7">
        <w:rPr>
          <w:rFonts w:ascii="Arial" w:eastAsia="Times New Roman" w:hAnsi="Arial" w:cs="Arial"/>
          <w:color w:val="000000" w:themeColor="text1"/>
          <w:sz w:val="24"/>
          <w:szCs w:val="24"/>
          <w:lang w:eastAsia="es-ES"/>
        </w:rPr>
        <w:t>gran parte d</w:t>
      </w:r>
      <w:r w:rsidRPr="003048F7">
        <w:rPr>
          <w:rFonts w:ascii="Arial" w:eastAsia="Times New Roman" w:hAnsi="Arial" w:cs="Arial"/>
          <w:color w:val="000000" w:themeColor="text1"/>
          <w:sz w:val="24"/>
          <w:szCs w:val="24"/>
          <w:lang w:eastAsia="es-ES"/>
        </w:rPr>
        <w:t>el ciclo del cultivo</w:t>
      </w:r>
      <w:r w:rsidR="00C2232D" w:rsidRPr="003048F7">
        <w:rPr>
          <w:rFonts w:ascii="Arial" w:eastAsia="Times New Roman" w:hAnsi="Arial" w:cs="Arial"/>
          <w:color w:val="000000" w:themeColor="text1"/>
          <w:sz w:val="24"/>
          <w:szCs w:val="24"/>
          <w:lang w:eastAsia="es-ES"/>
        </w:rPr>
        <w:t xml:space="preserve">, sin embargo las </w:t>
      </w:r>
      <w:r w:rsidR="00986EA8" w:rsidRPr="003048F7">
        <w:rPr>
          <w:rFonts w:ascii="Arial" w:eastAsia="Times New Roman" w:hAnsi="Arial" w:cs="Arial"/>
          <w:color w:val="000000" w:themeColor="text1"/>
          <w:sz w:val="24"/>
          <w:szCs w:val="24"/>
          <w:lang w:eastAsia="es-ES"/>
        </w:rPr>
        <w:t xml:space="preserve">fechas de junio y julio de 2009, alcanzaron valores más bajos. Estos resultados están dados debido al comportamiento de las temperaturas las cuales durante </w:t>
      </w:r>
      <w:r w:rsidR="002D424D" w:rsidRPr="003048F7">
        <w:rPr>
          <w:rFonts w:ascii="Arial" w:eastAsia="Times New Roman" w:hAnsi="Arial" w:cs="Arial"/>
          <w:color w:val="000000" w:themeColor="text1"/>
          <w:sz w:val="24"/>
          <w:szCs w:val="24"/>
          <w:lang w:eastAsia="es-ES"/>
        </w:rPr>
        <w:t>estas dos últimas fechas de siembra las plantas estuvieron expuestas</w:t>
      </w:r>
      <w:r w:rsidR="00E43B1B" w:rsidRPr="003048F7">
        <w:rPr>
          <w:rFonts w:ascii="Arial" w:eastAsia="Times New Roman" w:hAnsi="Arial" w:cs="Arial"/>
          <w:color w:val="000000" w:themeColor="text1"/>
          <w:sz w:val="24"/>
          <w:szCs w:val="24"/>
          <w:lang w:eastAsia="es-ES"/>
        </w:rPr>
        <w:t xml:space="preserve"> a temperaturas más elevadas y por tanto</w:t>
      </w:r>
      <w:r w:rsidR="00563979" w:rsidRPr="003048F7">
        <w:rPr>
          <w:rFonts w:ascii="Arial" w:eastAsia="Times New Roman" w:hAnsi="Arial" w:cs="Arial"/>
          <w:color w:val="000000" w:themeColor="text1"/>
          <w:sz w:val="24"/>
          <w:szCs w:val="24"/>
          <w:lang w:eastAsia="es-ES"/>
        </w:rPr>
        <w:t xml:space="preserve"> mayores radiaciones incidentes, sucediendo lo contrario en la fecha de noviembre de 2008.</w:t>
      </w:r>
      <w:r w:rsidR="00E43B1B" w:rsidRPr="003048F7">
        <w:rPr>
          <w:rFonts w:ascii="Arial" w:eastAsia="Times New Roman" w:hAnsi="Arial" w:cs="Arial"/>
          <w:color w:val="000000" w:themeColor="text1"/>
          <w:sz w:val="24"/>
          <w:szCs w:val="24"/>
          <w:lang w:eastAsia="es-ES"/>
        </w:rPr>
        <w:t xml:space="preserve"> </w:t>
      </w:r>
      <w:r w:rsidR="00563979" w:rsidRPr="003048F7">
        <w:rPr>
          <w:rFonts w:ascii="Arial" w:eastAsia="Times New Roman" w:hAnsi="Arial" w:cs="Arial"/>
          <w:color w:val="000000" w:themeColor="text1"/>
          <w:sz w:val="24"/>
          <w:szCs w:val="24"/>
          <w:lang w:eastAsia="es-ES"/>
        </w:rPr>
        <w:t>Lo cual indica</w:t>
      </w:r>
      <w:r w:rsidR="00E43B1B" w:rsidRPr="003048F7">
        <w:rPr>
          <w:rFonts w:ascii="Arial" w:eastAsia="Times New Roman" w:hAnsi="Arial" w:cs="Arial"/>
          <w:color w:val="000000" w:themeColor="text1"/>
          <w:sz w:val="24"/>
          <w:szCs w:val="24"/>
          <w:lang w:eastAsia="es-ES"/>
        </w:rPr>
        <w:t xml:space="preserve"> que las bajas radiaciones estimularon un incremento de la relación de área foliar en las plantas. </w:t>
      </w:r>
    </w:p>
    <w:p w:rsidR="005626C4" w:rsidRPr="00EB73DC" w:rsidRDefault="00E72E7A" w:rsidP="0037393D">
      <w:pPr>
        <w:autoSpaceDE w:val="0"/>
        <w:autoSpaceDN w:val="0"/>
        <w:adjustRightInd w:val="0"/>
        <w:spacing w:before="120" w:after="120" w:line="360" w:lineRule="auto"/>
        <w:jc w:val="both"/>
        <w:rPr>
          <w:rFonts w:ascii="Arial" w:eastAsia="Times New Roman" w:hAnsi="Arial" w:cs="Arial"/>
          <w:sz w:val="24"/>
          <w:szCs w:val="24"/>
          <w:lang w:eastAsia="es-ES"/>
        </w:rPr>
      </w:pPr>
      <w:r w:rsidRPr="00EB73DC">
        <w:rPr>
          <w:rFonts w:ascii="Arial" w:eastAsia="Times New Roman" w:hAnsi="Arial" w:cs="Arial"/>
          <w:sz w:val="24"/>
          <w:szCs w:val="24"/>
          <w:lang w:eastAsia="es-ES"/>
        </w:rPr>
        <w:t>De igual forma, e</w:t>
      </w:r>
      <w:r w:rsidR="0037393D" w:rsidRPr="00EB73DC">
        <w:rPr>
          <w:rFonts w:ascii="Arial" w:eastAsia="Times New Roman" w:hAnsi="Arial" w:cs="Arial"/>
          <w:sz w:val="24"/>
          <w:szCs w:val="24"/>
          <w:lang w:eastAsia="es-ES"/>
        </w:rPr>
        <w:t>n las tres fechas de siembra se observa una disminución progresiva de este</w:t>
      </w:r>
      <w:r w:rsidRPr="00EB73DC">
        <w:rPr>
          <w:rFonts w:ascii="Arial" w:eastAsia="Times New Roman" w:hAnsi="Arial" w:cs="Arial"/>
          <w:sz w:val="24"/>
          <w:szCs w:val="24"/>
          <w:lang w:eastAsia="es-ES"/>
        </w:rPr>
        <w:t xml:space="preserve"> indicador, puesto que según se plantea (</w:t>
      </w:r>
      <w:r w:rsidR="00EB73DC" w:rsidRPr="001B5284">
        <w:rPr>
          <w:rFonts w:ascii="Arial" w:eastAsia="Times New Roman" w:hAnsi="Arial" w:cs="Arial"/>
          <w:sz w:val="24"/>
          <w:szCs w:val="24"/>
          <w:lang w:eastAsia="es-ES"/>
        </w:rPr>
        <w:t>27</w:t>
      </w:r>
      <w:r w:rsidRPr="00EB73DC">
        <w:rPr>
          <w:rFonts w:ascii="Arial" w:eastAsia="Times New Roman" w:hAnsi="Arial" w:cs="Arial"/>
          <w:sz w:val="24"/>
          <w:szCs w:val="24"/>
          <w:lang w:eastAsia="es-ES"/>
        </w:rPr>
        <w:t xml:space="preserve">), la  </w:t>
      </w:r>
      <w:r w:rsidR="005626C4" w:rsidRPr="00EB73DC">
        <w:rPr>
          <w:rFonts w:ascii="Arial" w:eastAsia="Times New Roman" w:hAnsi="Arial" w:cs="Arial"/>
          <w:sz w:val="24"/>
          <w:szCs w:val="24"/>
          <w:lang w:eastAsia="es-ES"/>
        </w:rPr>
        <w:t xml:space="preserve">disminución en los valores de RAF conforme avanza la edad del cultivo es normal, ya que en </w:t>
      </w:r>
      <w:r w:rsidR="005626C4" w:rsidRPr="00EB73DC">
        <w:rPr>
          <w:rFonts w:ascii="Arial" w:eastAsia="Times New Roman" w:hAnsi="Arial" w:cs="Arial"/>
          <w:sz w:val="24"/>
          <w:szCs w:val="24"/>
          <w:lang w:eastAsia="es-ES"/>
        </w:rPr>
        <w:lastRenderedPageBreak/>
        <w:t xml:space="preserve">las primeras etapas de crecimiento las plantas invierten la mayor parte de </w:t>
      </w:r>
      <w:proofErr w:type="spellStart"/>
      <w:r w:rsidR="005626C4" w:rsidRPr="00EB73DC">
        <w:rPr>
          <w:rFonts w:ascii="Arial" w:eastAsia="Times New Roman" w:hAnsi="Arial" w:cs="Arial"/>
          <w:sz w:val="24"/>
          <w:szCs w:val="24"/>
          <w:lang w:eastAsia="es-ES"/>
        </w:rPr>
        <w:t>fotoasimilados</w:t>
      </w:r>
      <w:proofErr w:type="spellEnd"/>
      <w:r w:rsidR="005626C4" w:rsidRPr="00EB73DC">
        <w:rPr>
          <w:rFonts w:ascii="Arial" w:eastAsia="Times New Roman" w:hAnsi="Arial" w:cs="Arial"/>
          <w:sz w:val="24"/>
          <w:szCs w:val="24"/>
          <w:lang w:eastAsia="es-ES"/>
        </w:rPr>
        <w:t xml:space="preserve"> en el establecimiento de su aparato foliar, cantidad que va disminuyendo gradualmente a medida que la planta acumula  una mayor cantidad de carbohidratos en otros órganos de la planta.</w:t>
      </w:r>
    </w:p>
    <w:p w:rsidR="00E43B1B" w:rsidRDefault="00E43B1B" w:rsidP="0037393D">
      <w:pPr>
        <w:autoSpaceDE w:val="0"/>
        <w:autoSpaceDN w:val="0"/>
        <w:adjustRightInd w:val="0"/>
        <w:spacing w:before="120" w:after="120" w:line="360" w:lineRule="auto"/>
        <w:jc w:val="both"/>
        <w:rPr>
          <w:rFonts w:ascii="Arial" w:eastAsia="Times New Roman" w:hAnsi="Arial" w:cs="Arial"/>
          <w:sz w:val="24"/>
          <w:szCs w:val="24"/>
          <w:lang w:eastAsia="es-ES"/>
        </w:rPr>
      </w:pPr>
      <w:r w:rsidRPr="0042001C">
        <w:rPr>
          <w:rFonts w:ascii="Arial" w:eastAsia="Times New Roman" w:hAnsi="Arial" w:cs="Arial"/>
          <w:sz w:val="24"/>
          <w:szCs w:val="24"/>
          <w:lang w:eastAsia="es-ES"/>
        </w:rPr>
        <w:t>La cantidad de radiación solar absorbida por la vegetación y la utilización de esta energía en el crecimiento vegetal constituyen los procesos biofísicos que controlan la producción de biomasa y el rendimiento de los cultivos a una tasa potencial (7).</w:t>
      </w:r>
    </w:p>
    <w:p w:rsidR="003048F7" w:rsidRPr="0042001C" w:rsidRDefault="003048F7" w:rsidP="0037393D">
      <w:pPr>
        <w:autoSpaceDE w:val="0"/>
        <w:autoSpaceDN w:val="0"/>
        <w:adjustRightInd w:val="0"/>
        <w:spacing w:before="120" w:after="120" w:line="36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Los resultados obtenidos de la determinación de los potenciales de fuente y demanda se observan en la figura 5. </w:t>
      </w:r>
      <w:r w:rsidR="00077D05">
        <w:rPr>
          <w:rFonts w:ascii="Arial" w:eastAsia="Times New Roman" w:hAnsi="Arial" w:cs="Arial"/>
          <w:sz w:val="24"/>
          <w:szCs w:val="24"/>
          <w:lang w:eastAsia="es-ES"/>
        </w:rPr>
        <w:t xml:space="preserve">La misma muestra que las fechas de siembra de junio y julio de 2009 alcanzaron una potencia de la fuente superior y en un estado fenológico más avanzado que la siembra de noviembre de 2008. </w:t>
      </w:r>
      <w:r w:rsidR="00B635A1">
        <w:rPr>
          <w:rFonts w:ascii="Arial" w:eastAsia="Times New Roman" w:hAnsi="Arial" w:cs="Arial"/>
          <w:sz w:val="24"/>
          <w:szCs w:val="24"/>
          <w:lang w:eastAsia="es-ES"/>
        </w:rPr>
        <w:t>Lo cual puede que evidencie que estas fechas de siembra presentaron una eficiencia mayor de su aparato fotosintético en un estadio más próximo a la formación del rendimiento.</w:t>
      </w:r>
    </w:p>
    <w:p w:rsidR="00F97131" w:rsidRDefault="00F97131" w:rsidP="00E43B1B">
      <w:pPr>
        <w:pStyle w:val="NormalWeb"/>
        <w:spacing w:before="0" w:beforeAutospacing="0" w:after="0" w:afterAutospacing="0" w:line="360" w:lineRule="auto"/>
        <w:jc w:val="both"/>
        <w:rPr>
          <w:rFonts w:ascii="Arial" w:hAnsi="Arial" w:cs="Arial"/>
          <w:highlight w:val="yellow"/>
        </w:rPr>
      </w:pPr>
      <w:r>
        <w:rPr>
          <w:rFonts w:ascii="Arial" w:hAnsi="Arial" w:cs="Arial"/>
          <w:noProof/>
        </w:rPr>
        <w:drawing>
          <wp:inline distT="0" distB="0" distL="0" distR="0" wp14:anchorId="1FE63328" wp14:editId="5D454D89">
            <wp:extent cx="3438525" cy="2066925"/>
            <wp:effectExtent l="0" t="0" r="0" b="9525"/>
            <wp:docPr id="4" name="Gráfico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F97131" w:rsidRDefault="00F97131" w:rsidP="00E43B1B">
      <w:pPr>
        <w:pStyle w:val="NormalWeb"/>
        <w:spacing w:before="0" w:beforeAutospacing="0" w:after="0" w:afterAutospacing="0" w:line="360" w:lineRule="auto"/>
        <w:jc w:val="both"/>
        <w:rPr>
          <w:rFonts w:ascii="Arial" w:hAnsi="Arial" w:cs="Arial"/>
          <w:highlight w:val="yellow"/>
        </w:rPr>
      </w:pPr>
      <w:r>
        <w:rPr>
          <w:rFonts w:ascii="Arial" w:hAnsi="Arial" w:cs="Arial"/>
          <w:noProof/>
        </w:rPr>
        <w:drawing>
          <wp:inline distT="0" distB="0" distL="0" distR="0" wp14:anchorId="3EE2221E" wp14:editId="04439DC3">
            <wp:extent cx="3438525" cy="2133600"/>
            <wp:effectExtent l="0" t="0" r="0" b="0"/>
            <wp:docPr id="3" name="Gráfico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F97131" w:rsidRDefault="00F97131" w:rsidP="00E43B1B">
      <w:pPr>
        <w:pStyle w:val="NormalWeb"/>
        <w:spacing w:before="0" w:beforeAutospacing="0" w:after="0" w:afterAutospacing="0" w:line="360" w:lineRule="auto"/>
        <w:jc w:val="both"/>
        <w:rPr>
          <w:rFonts w:ascii="Arial" w:hAnsi="Arial" w:cs="Arial"/>
          <w:highlight w:val="yellow"/>
        </w:rPr>
      </w:pPr>
      <w:r>
        <w:rPr>
          <w:rFonts w:ascii="Arial" w:hAnsi="Arial" w:cs="Arial"/>
          <w:noProof/>
        </w:rPr>
        <w:lastRenderedPageBreak/>
        <w:drawing>
          <wp:inline distT="0" distB="0" distL="0" distR="0" wp14:anchorId="1C874DE6" wp14:editId="0DC42DD9">
            <wp:extent cx="3514725" cy="2152650"/>
            <wp:effectExtent l="0" t="0" r="0" b="0"/>
            <wp:docPr id="2" name="Gráfico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F97131" w:rsidRDefault="00F97131" w:rsidP="00F97131">
      <w:pPr>
        <w:spacing w:after="0" w:line="360" w:lineRule="auto"/>
        <w:jc w:val="both"/>
        <w:rPr>
          <w:rFonts w:ascii="Arial" w:hAnsi="Arial" w:cs="Arial"/>
          <w:b/>
          <w:sz w:val="24"/>
          <w:szCs w:val="24"/>
        </w:rPr>
      </w:pPr>
      <w:r w:rsidRPr="0042001C">
        <w:rPr>
          <w:rFonts w:ascii="Arial" w:hAnsi="Arial" w:cs="Arial"/>
          <w:b/>
          <w:sz w:val="24"/>
          <w:szCs w:val="24"/>
        </w:rPr>
        <w:t xml:space="preserve">Figura 5. Comportamiento de la relación fuente demanda en las tres fechas de </w:t>
      </w:r>
      <w:r>
        <w:rPr>
          <w:rFonts w:ascii="Arial" w:hAnsi="Arial" w:cs="Arial"/>
          <w:b/>
          <w:sz w:val="24"/>
          <w:szCs w:val="24"/>
        </w:rPr>
        <w:t xml:space="preserve">siembra. </w:t>
      </w:r>
    </w:p>
    <w:p w:rsidR="00E43B1B" w:rsidRPr="0042001C" w:rsidRDefault="00E43B1B" w:rsidP="00E43B1B">
      <w:pPr>
        <w:pStyle w:val="NormalWeb"/>
        <w:spacing w:before="0" w:beforeAutospacing="0" w:after="0" w:afterAutospacing="0" w:line="360" w:lineRule="auto"/>
        <w:jc w:val="both"/>
        <w:rPr>
          <w:rFonts w:ascii="Arial" w:eastAsia="Calibri" w:hAnsi="Arial" w:cs="Arial"/>
          <w:color w:val="000000"/>
          <w:lang w:eastAsia="en-US"/>
        </w:rPr>
      </w:pPr>
      <w:r>
        <w:rPr>
          <w:rFonts w:ascii="Arial" w:hAnsi="Arial" w:cs="Arial"/>
        </w:rPr>
        <w:t>De igual forma</w:t>
      </w:r>
      <w:r w:rsidRPr="0042001C">
        <w:rPr>
          <w:rFonts w:ascii="Arial" w:hAnsi="Arial" w:cs="Arial"/>
        </w:rPr>
        <w:t>, la potencia de la demanda muestra un comportamiento s</w:t>
      </w:r>
      <w:r>
        <w:rPr>
          <w:rFonts w:ascii="Arial" w:hAnsi="Arial" w:cs="Arial"/>
        </w:rPr>
        <w:t xml:space="preserve">imilar al de la </w:t>
      </w:r>
      <w:r w:rsidRPr="0042001C">
        <w:rPr>
          <w:rFonts w:ascii="Arial" w:hAnsi="Arial" w:cs="Arial"/>
        </w:rPr>
        <w:t xml:space="preserve">potencia de la fuente para las fechas de siembra, como se muestra en dicha figura, la fecha de siembra de junio y julio de 2009 alcanzaron los valores máximos a los 75 días después </w:t>
      </w:r>
      <w:r>
        <w:rPr>
          <w:rFonts w:ascii="Arial" w:hAnsi="Arial" w:cs="Arial"/>
        </w:rPr>
        <w:t xml:space="preserve">de emergidas las plantas con 32,9 g </w:t>
      </w:r>
      <w:r w:rsidRPr="0042001C">
        <w:rPr>
          <w:rFonts w:ascii="Arial" w:hAnsi="Arial" w:cs="Arial"/>
        </w:rPr>
        <w:t>día</w:t>
      </w:r>
      <w:r w:rsidRPr="0042001C">
        <w:rPr>
          <w:rFonts w:ascii="Arial" w:hAnsi="Arial" w:cs="Arial"/>
          <w:vertAlign w:val="superscript"/>
        </w:rPr>
        <w:t>-1</w:t>
      </w:r>
      <w:r>
        <w:rPr>
          <w:rFonts w:ascii="Arial" w:hAnsi="Arial" w:cs="Arial"/>
        </w:rPr>
        <w:t xml:space="preserve"> y 44,9 g </w:t>
      </w:r>
      <w:r w:rsidRPr="0042001C">
        <w:rPr>
          <w:rFonts w:ascii="Arial" w:hAnsi="Arial" w:cs="Arial"/>
        </w:rPr>
        <w:t>día</w:t>
      </w:r>
      <w:r w:rsidRPr="0042001C">
        <w:rPr>
          <w:rFonts w:ascii="Arial" w:hAnsi="Arial" w:cs="Arial"/>
          <w:vertAlign w:val="superscript"/>
        </w:rPr>
        <w:t>-1</w:t>
      </w:r>
      <w:r w:rsidRPr="0042001C">
        <w:rPr>
          <w:rFonts w:ascii="Arial" w:hAnsi="Arial" w:cs="Arial"/>
        </w:rPr>
        <w:t>, alcanzando esta última un valor superior con respecto a la anterior. La siembra de n</w:t>
      </w:r>
      <w:r>
        <w:rPr>
          <w:rFonts w:ascii="Arial" w:hAnsi="Arial" w:cs="Arial"/>
        </w:rPr>
        <w:t xml:space="preserve">oviembre </w:t>
      </w:r>
      <w:r w:rsidRPr="0042001C">
        <w:rPr>
          <w:rFonts w:ascii="Arial" w:hAnsi="Arial" w:cs="Arial"/>
        </w:rPr>
        <w:t>2008 presentó la máxima potencia de la demanda a</w:t>
      </w:r>
      <w:r>
        <w:rPr>
          <w:rFonts w:ascii="Arial" w:hAnsi="Arial" w:cs="Arial"/>
        </w:rPr>
        <w:t xml:space="preserve"> los 90 días con un valor de 15,46 g </w:t>
      </w:r>
      <w:r w:rsidRPr="0042001C">
        <w:rPr>
          <w:rFonts w:ascii="Arial" w:hAnsi="Arial" w:cs="Arial"/>
        </w:rPr>
        <w:t>día</w:t>
      </w:r>
      <w:r w:rsidRPr="0042001C">
        <w:rPr>
          <w:rFonts w:ascii="Arial" w:hAnsi="Arial" w:cs="Arial"/>
          <w:vertAlign w:val="superscript"/>
        </w:rPr>
        <w:t>-1</w:t>
      </w:r>
      <w:r w:rsidRPr="0042001C">
        <w:rPr>
          <w:rFonts w:ascii="Arial" w:hAnsi="Arial" w:cs="Arial"/>
        </w:rPr>
        <w:t xml:space="preserve">. La producción de </w:t>
      </w:r>
      <w:proofErr w:type="spellStart"/>
      <w:r w:rsidRPr="0042001C">
        <w:rPr>
          <w:rFonts w:ascii="Arial" w:hAnsi="Arial" w:cs="Arial"/>
        </w:rPr>
        <w:t>asimilatos</w:t>
      </w:r>
      <w:proofErr w:type="spellEnd"/>
      <w:r w:rsidRPr="0042001C">
        <w:rPr>
          <w:rFonts w:ascii="Arial" w:hAnsi="Arial" w:cs="Arial"/>
        </w:rPr>
        <w:t xml:space="preserve"> por las hojas y el punto en el cual ocurre la acumulación, que en este caso se representa por los órganos que son cosechados, tiene una influencia significativa en el rendimiento del cultivo (2</w:t>
      </w:r>
      <w:r w:rsidR="001B5284">
        <w:rPr>
          <w:rFonts w:ascii="Arial" w:hAnsi="Arial" w:cs="Arial"/>
        </w:rPr>
        <w:t>8</w:t>
      </w:r>
      <w:r w:rsidRPr="0042001C">
        <w:rPr>
          <w:rFonts w:ascii="Arial" w:hAnsi="Arial" w:cs="Arial"/>
        </w:rPr>
        <w:t>)</w:t>
      </w:r>
      <w:r w:rsidRPr="0042001C">
        <w:rPr>
          <w:rFonts w:ascii="Arial" w:eastAsia="Calibri" w:hAnsi="Arial" w:cs="Arial"/>
          <w:color w:val="000000"/>
          <w:lang w:eastAsia="en-US"/>
        </w:rPr>
        <w:t>.</w:t>
      </w:r>
    </w:p>
    <w:p w:rsidR="00E43B1B" w:rsidRPr="0042001C" w:rsidRDefault="00E43B1B" w:rsidP="00E43B1B">
      <w:pPr>
        <w:pStyle w:val="NormalWeb"/>
        <w:spacing w:before="0" w:beforeAutospacing="0" w:after="0" w:afterAutospacing="0" w:line="360" w:lineRule="auto"/>
        <w:jc w:val="both"/>
        <w:rPr>
          <w:rFonts w:ascii="Arial" w:hAnsi="Arial" w:cs="Arial"/>
        </w:rPr>
      </w:pPr>
      <w:r w:rsidRPr="0042001C">
        <w:rPr>
          <w:rFonts w:ascii="Arial" w:hAnsi="Arial" w:cs="Arial"/>
        </w:rPr>
        <w:t xml:space="preserve">Como se evidencia en los resultados obtenidos, entre las fechas de siembra existe un comportamiento diferente en cuanto a la potencia de los órganos demanda, coincidiendo para las fechas de junio y julio de 2009 este momento, con la máxima potencia de la fuente,  mostrando estas fechas una mayor habilidad de los órganos demanda para obtener asimilados, lo cual puede estar relacionado con la rápida división y expansión celular, que se refleja en una fase lineal de acumulación de materia seca de los órganos fuentes de la planta. Este proceso implica una mayor descarga </w:t>
      </w:r>
      <w:proofErr w:type="spellStart"/>
      <w:r w:rsidRPr="0042001C">
        <w:rPr>
          <w:rFonts w:ascii="Arial" w:hAnsi="Arial" w:cs="Arial"/>
        </w:rPr>
        <w:t>floemática</w:t>
      </w:r>
      <w:proofErr w:type="spellEnd"/>
      <w:r w:rsidRPr="0042001C">
        <w:rPr>
          <w:rFonts w:ascii="Arial" w:hAnsi="Arial" w:cs="Arial"/>
        </w:rPr>
        <w:t xml:space="preserve"> de </w:t>
      </w:r>
      <w:proofErr w:type="spellStart"/>
      <w:r w:rsidRPr="0042001C">
        <w:rPr>
          <w:rFonts w:ascii="Arial" w:hAnsi="Arial" w:cs="Arial"/>
        </w:rPr>
        <w:t>fotoasimilados</w:t>
      </w:r>
      <w:proofErr w:type="spellEnd"/>
      <w:r w:rsidRPr="0042001C">
        <w:rPr>
          <w:rFonts w:ascii="Arial" w:hAnsi="Arial" w:cs="Arial"/>
        </w:rPr>
        <w:t xml:space="preserve"> en este tejido vertedero y por ende una mayor fuerza como tejidos “demandantes” de carbohidratos y otras sustancias orgánicas (7).</w:t>
      </w:r>
    </w:p>
    <w:p w:rsidR="00E43B1B" w:rsidRPr="0042001C" w:rsidRDefault="00E43B1B" w:rsidP="00E43B1B">
      <w:pPr>
        <w:pStyle w:val="NormalWeb"/>
        <w:spacing w:before="0" w:beforeAutospacing="0" w:after="0" w:afterAutospacing="0" w:line="360" w:lineRule="auto"/>
        <w:jc w:val="both"/>
        <w:rPr>
          <w:rFonts w:ascii="Arial" w:hAnsi="Arial" w:cs="Arial"/>
        </w:rPr>
      </w:pPr>
      <w:r w:rsidRPr="0042001C">
        <w:rPr>
          <w:rFonts w:ascii="Arial" w:hAnsi="Arial" w:cs="Arial"/>
        </w:rPr>
        <w:t xml:space="preserve">Por lo anterior, es de esperar que las fechas de siembra evaluadas presenten periodos en los cuales los valores de potencia de fuente y potencia de demanda sean muy similares, indicando habilidades equivalentes para producir asimilados </w:t>
      </w:r>
      <w:r w:rsidRPr="0042001C">
        <w:rPr>
          <w:rFonts w:ascii="Arial" w:hAnsi="Arial" w:cs="Arial"/>
        </w:rPr>
        <w:lastRenderedPageBreak/>
        <w:t>en las hojas y para obtenerlos en las espigas. En el caso de las fechas de siembras de junio y julio de 2009 estos se presentaron a los 75 días donde se obtuvieron los mayores potenciales de fuente y demanda, mientras que en la fecha de nov-2008 ocurrió en el periodo correspondiente a los 75-90 días después de la emergencia, según se plantea este fenómeno tiene implicaciones a nivel agronómico si se tiene en cuenta que una disminución en el área foliar ocasionada por problemas fitosanitarios, puede resultar en baja potencia de fuente lo que puede conducir a bajos rendimientos (7).</w:t>
      </w:r>
    </w:p>
    <w:p w:rsidR="00E43B1B" w:rsidRDefault="00E43B1B" w:rsidP="00E43B1B">
      <w:pPr>
        <w:pStyle w:val="NormalWeb"/>
        <w:spacing w:before="0" w:beforeAutospacing="0" w:after="0" w:afterAutospacing="0" w:line="360" w:lineRule="auto"/>
        <w:jc w:val="both"/>
        <w:rPr>
          <w:rFonts w:ascii="Arial" w:hAnsi="Arial" w:cs="Arial"/>
        </w:rPr>
      </w:pPr>
      <w:r w:rsidRPr="0042001C">
        <w:rPr>
          <w:rFonts w:ascii="Arial" w:hAnsi="Arial" w:cs="Arial"/>
        </w:rPr>
        <w:t xml:space="preserve">Como </w:t>
      </w:r>
      <w:r>
        <w:rPr>
          <w:rFonts w:ascii="Arial" w:hAnsi="Arial" w:cs="Arial"/>
        </w:rPr>
        <w:t>también se puede observar</w:t>
      </w:r>
      <w:r w:rsidRPr="0042001C">
        <w:rPr>
          <w:rFonts w:ascii="Arial" w:hAnsi="Arial" w:cs="Arial"/>
        </w:rPr>
        <w:t xml:space="preserve"> en </w:t>
      </w:r>
      <w:r>
        <w:rPr>
          <w:rFonts w:ascii="Arial" w:hAnsi="Arial" w:cs="Arial"/>
        </w:rPr>
        <w:t>la F</w:t>
      </w:r>
      <w:r w:rsidRPr="0042001C">
        <w:rPr>
          <w:rFonts w:ascii="Arial" w:hAnsi="Arial" w:cs="Arial"/>
        </w:rPr>
        <w:t>igura</w:t>
      </w:r>
      <w:r>
        <w:rPr>
          <w:rFonts w:ascii="Arial" w:hAnsi="Arial" w:cs="Arial"/>
        </w:rPr>
        <w:t xml:space="preserve"> anteriormente mencionada</w:t>
      </w:r>
      <w:r w:rsidRPr="0042001C">
        <w:rPr>
          <w:rFonts w:ascii="Arial" w:hAnsi="Arial" w:cs="Arial"/>
        </w:rPr>
        <w:t>, en la fecha de siembra de jun-2009, después de los 75 días, se observó que la potencia de la fuente en este intervalo de tiempo es más baja en comparación con la potencia de la demanda, incluso el follaje se encuentra en etapa de senescencia en este periodo del ciclo de</w:t>
      </w:r>
      <w:r>
        <w:rPr>
          <w:rFonts w:ascii="Arial" w:hAnsi="Arial" w:cs="Arial"/>
        </w:rPr>
        <w:t>l</w:t>
      </w:r>
      <w:r w:rsidRPr="0042001C">
        <w:rPr>
          <w:rFonts w:ascii="Arial" w:hAnsi="Arial" w:cs="Arial"/>
        </w:rPr>
        <w:t xml:space="preserve"> cultivo, por lo que se presume la posibilidad de un almacenamiento temporal en los tallos antes de la acumulación final de asimilados por las espigas, en la etapa final. Además una característica de varias plantas que se ha planteado con anterioridad (2</w:t>
      </w:r>
      <w:r w:rsidR="001B5284">
        <w:rPr>
          <w:rFonts w:ascii="Arial" w:hAnsi="Arial" w:cs="Arial"/>
        </w:rPr>
        <w:t>9</w:t>
      </w:r>
      <w:r w:rsidRPr="0042001C">
        <w:rPr>
          <w:rFonts w:ascii="Arial" w:hAnsi="Arial" w:cs="Arial"/>
        </w:rPr>
        <w:t xml:space="preserve">), es la habilidad para almacenar temporalmente metabolitos fotosintéticos y nutrientes en tejidos a lo largo de la vía de transporte entre la fuente y la demanda, quedando disponible para un uso posterior en la planta ya sea porque la demanda se incrementa o porque la disponibilidad de </w:t>
      </w:r>
      <w:proofErr w:type="spellStart"/>
      <w:r w:rsidRPr="0042001C">
        <w:rPr>
          <w:rFonts w:ascii="Arial" w:hAnsi="Arial" w:cs="Arial"/>
        </w:rPr>
        <w:t>fotoasimilados</w:t>
      </w:r>
      <w:proofErr w:type="spellEnd"/>
      <w:r w:rsidRPr="0042001C">
        <w:rPr>
          <w:rFonts w:ascii="Arial" w:hAnsi="Arial" w:cs="Arial"/>
        </w:rPr>
        <w:t xml:space="preserve"> se reduce en un momento dado. </w:t>
      </w:r>
    </w:p>
    <w:p w:rsidR="00AE119B" w:rsidRDefault="00821C73" w:rsidP="00BE51F6">
      <w:pPr>
        <w:pStyle w:val="NormalWeb"/>
        <w:spacing w:before="0" w:beforeAutospacing="0" w:after="0" w:afterAutospacing="0" w:line="360" w:lineRule="auto"/>
        <w:jc w:val="both"/>
        <w:rPr>
          <w:rFonts w:ascii="Arial" w:hAnsi="Arial" w:cs="Arial"/>
        </w:rPr>
      </w:pPr>
      <w:r>
        <w:rPr>
          <w:rFonts w:ascii="Arial" w:hAnsi="Arial" w:cs="Arial"/>
        </w:rPr>
        <w:t>En cuanto al comportamiento del rendimiento</w:t>
      </w:r>
      <w:r w:rsidR="00E541B9">
        <w:rPr>
          <w:rFonts w:ascii="Arial" w:hAnsi="Arial" w:cs="Arial"/>
        </w:rPr>
        <w:t xml:space="preserve"> (</w:t>
      </w:r>
      <w:r>
        <w:rPr>
          <w:rFonts w:ascii="Arial" w:hAnsi="Arial" w:cs="Arial"/>
        </w:rPr>
        <w:t>Figura 6</w:t>
      </w:r>
      <w:r w:rsidR="00E541B9">
        <w:rPr>
          <w:rFonts w:ascii="Arial" w:hAnsi="Arial" w:cs="Arial"/>
        </w:rPr>
        <w:t>)</w:t>
      </w:r>
      <w:r>
        <w:rPr>
          <w:rFonts w:ascii="Arial" w:hAnsi="Arial" w:cs="Arial"/>
        </w:rPr>
        <w:t xml:space="preserve"> es importante mencionar que se evidencia</w:t>
      </w:r>
      <w:r w:rsidR="00530FCB">
        <w:rPr>
          <w:rFonts w:ascii="Arial" w:hAnsi="Arial" w:cs="Arial"/>
        </w:rPr>
        <w:t>n</w:t>
      </w:r>
      <w:r>
        <w:rPr>
          <w:rFonts w:ascii="Arial" w:hAnsi="Arial" w:cs="Arial"/>
        </w:rPr>
        <w:t xml:space="preserve"> diferencias en cuanto a las fechas de siembra,  </w:t>
      </w:r>
      <w:r w:rsidR="00E541B9">
        <w:rPr>
          <w:rFonts w:ascii="Arial" w:hAnsi="Arial" w:cs="Arial"/>
        </w:rPr>
        <w:t xml:space="preserve">aquellas </w:t>
      </w:r>
      <w:r w:rsidR="003A7551">
        <w:rPr>
          <w:rFonts w:ascii="Arial" w:hAnsi="Arial" w:cs="Arial"/>
        </w:rPr>
        <w:t>fechas</w:t>
      </w:r>
      <w:r w:rsidR="00E541B9">
        <w:rPr>
          <w:rFonts w:ascii="Arial" w:hAnsi="Arial" w:cs="Arial"/>
        </w:rPr>
        <w:t xml:space="preserve"> </w:t>
      </w:r>
      <w:r w:rsidR="00AE119B">
        <w:rPr>
          <w:rFonts w:ascii="Arial" w:hAnsi="Arial" w:cs="Arial"/>
        </w:rPr>
        <w:t xml:space="preserve">que </w:t>
      </w:r>
      <w:r w:rsidR="00E541B9">
        <w:rPr>
          <w:rFonts w:ascii="Arial" w:hAnsi="Arial" w:cs="Arial"/>
        </w:rPr>
        <w:t xml:space="preserve">mostraron un comportamiento más eficiente del aparato </w:t>
      </w:r>
      <w:proofErr w:type="spellStart"/>
      <w:r w:rsidR="00E541B9">
        <w:rPr>
          <w:rFonts w:ascii="Arial" w:hAnsi="Arial" w:cs="Arial"/>
        </w:rPr>
        <w:t>fotosintetico</w:t>
      </w:r>
      <w:proofErr w:type="spellEnd"/>
      <w:r w:rsidR="00950A2A">
        <w:rPr>
          <w:rFonts w:ascii="Arial" w:hAnsi="Arial" w:cs="Arial"/>
        </w:rPr>
        <w:t xml:space="preserve">, así como </w:t>
      </w:r>
      <w:r w:rsidR="00554ADE">
        <w:rPr>
          <w:rFonts w:ascii="Arial" w:hAnsi="Arial" w:cs="Arial"/>
        </w:rPr>
        <w:t xml:space="preserve">mayor acumulado de masa seca </w:t>
      </w:r>
      <w:r w:rsidR="00AE119B">
        <w:rPr>
          <w:rFonts w:ascii="Arial" w:hAnsi="Arial" w:cs="Arial"/>
        </w:rPr>
        <w:t xml:space="preserve">presentaron </w:t>
      </w:r>
      <w:r w:rsidR="00554ADE">
        <w:rPr>
          <w:rFonts w:ascii="Arial" w:hAnsi="Arial" w:cs="Arial"/>
        </w:rPr>
        <w:t>rendimientos más altos</w:t>
      </w:r>
      <w:r w:rsidR="00AE119B">
        <w:rPr>
          <w:rFonts w:ascii="Arial" w:hAnsi="Arial" w:cs="Arial"/>
        </w:rPr>
        <w:t xml:space="preserve">, lo cual puede </w:t>
      </w:r>
      <w:r w:rsidR="00157D7F">
        <w:rPr>
          <w:rFonts w:ascii="Arial" w:hAnsi="Arial" w:cs="Arial"/>
        </w:rPr>
        <w:t>ser debido  a que durante estas fe</w:t>
      </w:r>
      <w:r w:rsidR="00B77604">
        <w:rPr>
          <w:rFonts w:ascii="Arial" w:hAnsi="Arial" w:cs="Arial"/>
        </w:rPr>
        <w:t>chas existieron condiciones</w:t>
      </w:r>
      <w:r w:rsidR="00BE51F6">
        <w:rPr>
          <w:rFonts w:ascii="Arial" w:hAnsi="Arial" w:cs="Arial"/>
        </w:rPr>
        <w:t xml:space="preserve"> más favorables para </w:t>
      </w:r>
      <w:r w:rsidR="00004C8C">
        <w:rPr>
          <w:rFonts w:ascii="Arial" w:hAnsi="Arial" w:cs="Arial"/>
        </w:rPr>
        <w:t xml:space="preserve">el crecimiento y desarrollo de las plantas </w:t>
      </w:r>
      <w:r w:rsidR="00FC7A1F">
        <w:rPr>
          <w:rFonts w:ascii="Arial" w:hAnsi="Arial" w:cs="Arial"/>
        </w:rPr>
        <w:t>y por tanto una mayor</w:t>
      </w:r>
      <w:r w:rsidR="00AE119B" w:rsidRPr="00BE51F6">
        <w:rPr>
          <w:rFonts w:ascii="Arial" w:hAnsi="Arial" w:cs="Arial"/>
        </w:rPr>
        <w:t xml:space="preserve"> productividad</w:t>
      </w:r>
      <w:r w:rsidR="00BE51F6" w:rsidRPr="00BE51F6">
        <w:rPr>
          <w:rFonts w:ascii="Arial" w:hAnsi="Arial" w:cs="Arial"/>
        </w:rPr>
        <w:t xml:space="preserve"> </w:t>
      </w:r>
      <w:r w:rsidR="00AE119B" w:rsidRPr="00BE51F6">
        <w:rPr>
          <w:rFonts w:ascii="Arial" w:hAnsi="Arial" w:cs="Arial"/>
        </w:rPr>
        <w:t xml:space="preserve">del mismo; sobre todo </w:t>
      </w:r>
      <w:r w:rsidR="00FC7A1F">
        <w:rPr>
          <w:rFonts w:ascii="Arial" w:hAnsi="Arial" w:cs="Arial"/>
        </w:rPr>
        <w:t xml:space="preserve">debido </w:t>
      </w:r>
      <w:r w:rsidR="00AE119B" w:rsidRPr="00BE51F6">
        <w:rPr>
          <w:rFonts w:ascii="Arial" w:hAnsi="Arial" w:cs="Arial"/>
        </w:rPr>
        <w:t>el comportamiento de las</w:t>
      </w:r>
      <w:r w:rsidR="00BE51F6" w:rsidRPr="00BE51F6">
        <w:rPr>
          <w:rFonts w:ascii="Arial" w:hAnsi="Arial" w:cs="Arial"/>
        </w:rPr>
        <w:t xml:space="preserve"> </w:t>
      </w:r>
      <w:r w:rsidR="00AE119B" w:rsidRPr="00BE51F6">
        <w:rPr>
          <w:rFonts w:ascii="Arial" w:hAnsi="Arial" w:cs="Arial"/>
        </w:rPr>
        <w:t>temperaturas durante todo el ciclo del cultivo</w:t>
      </w:r>
      <w:r w:rsidR="00530FCB">
        <w:rPr>
          <w:rFonts w:ascii="Arial" w:hAnsi="Arial" w:cs="Arial"/>
        </w:rPr>
        <w:t>,</w:t>
      </w:r>
      <w:r w:rsidR="00AE119B" w:rsidRPr="00BE51F6">
        <w:rPr>
          <w:rFonts w:ascii="Arial" w:hAnsi="Arial" w:cs="Arial"/>
        </w:rPr>
        <w:t xml:space="preserve"> las</w:t>
      </w:r>
      <w:r w:rsidR="00BE51F6" w:rsidRPr="00BE51F6">
        <w:rPr>
          <w:rFonts w:ascii="Arial" w:hAnsi="Arial" w:cs="Arial"/>
        </w:rPr>
        <w:t xml:space="preserve"> </w:t>
      </w:r>
      <w:r w:rsidR="00AE119B" w:rsidRPr="00BE51F6">
        <w:rPr>
          <w:rFonts w:ascii="Arial" w:hAnsi="Arial" w:cs="Arial"/>
        </w:rPr>
        <w:t>cuales fueron más favorables</w:t>
      </w:r>
      <w:r w:rsidR="00530FCB">
        <w:rPr>
          <w:rFonts w:ascii="Arial" w:hAnsi="Arial" w:cs="Arial"/>
        </w:rPr>
        <w:t xml:space="preserve"> durante las siembras de junio y julio de 2009, en este sentido </w:t>
      </w:r>
      <w:r w:rsidR="00A634A1">
        <w:rPr>
          <w:rFonts w:ascii="Arial" w:hAnsi="Arial" w:cs="Arial"/>
        </w:rPr>
        <w:t xml:space="preserve">según </w:t>
      </w:r>
      <w:r w:rsidR="00530FCB">
        <w:rPr>
          <w:rFonts w:ascii="Arial" w:hAnsi="Arial" w:cs="Arial"/>
        </w:rPr>
        <w:t xml:space="preserve">se </w:t>
      </w:r>
      <w:r w:rsidR="00A634A1">
        <w:rPr>
          <w:rFonts w:ascii="Arial" w:hAnsi="Arial" w:cs="Arial"/>
        </w:rPr>
        <w:t>plantea (11)</w:t>
      </w:r>
      <w:r w:rsidR="00530FCB">
        <w:rPr>
          <w:rFonts w:ascii="Arial" w:hAnsi="Arial" w:cs="Arial"/>
        </w:rPr>
        <w:t xml:space="preserve"> que el sorgo es un cultivo considerado como muy eficiente en cuanto a las condiciones medioambientales.</w:t>
      </w:r>
    </w:p>
    <w:p w:rsidR="00820811" w:rsidRDefault="00004C8C" w:rsidP="00BE51F6">
      <w:pPr>
        <w:pStyle w:val="NormalWeb"/>
        <w:spacing w:before="0" w:beforeAutospacing="0" w:after="0" w:afterAutospacing="0" w:line="360" w:lineRule="auto"/>
        <w:jc w:val="both"/>
        <w:rPr>
          <w:rFonts w:ascii="Arial" w:hAnsi="Arial" w:cs="Arial"/>
        </w:rPr>
      </w:pPr>
      <w:r>
        <w:rPr>
          <w:rFonts w:ascii="Arial" w:hAnsi="Arial" w:cs="Arial"/>
        </w:rPr>
        <w:t xml:space="preserve">Es importante destacar que durante estas fechas se mostraron valores máximos más elevados de TAN, así como </w:t>
      </w:r>
      <w:r w:rsidRPr="0042001C">
        <w:rPr>
          <w:rFonts w:ascii="Arial" w:hAnsi="Arial" w:cs="Arial"/>
        </w:rPr>
        <w:t>en los potenciales entre los órganos fuente y sumidero</w:t>
      </w:r>
      <w:r>
        <w:rPr>
          <w:rFonts w:ascii="Arial" w:hAnsi="Arial" w:cs="Arial"/>
        </w:rPr>
        <w:t xml:space="preserve">, </w:t>
      </w:r>
      <w:r w:rsidR="00A634A1">
        <w:rPr>
          <w:rFonts w:ascii="Arial" w:hAnsi="Arial" w:cs="Arial"/>
        </w:rPr>
        <w:t xml:space="preserve">por lo que las condiciones que se presenten durante el ciclo del cultivo </w:t>
      </w:r>
      <w:r w:rsidR="00A634A1">
        <w:rPr>
          <w:rFonts w:ascii="Arial" w:hAnsi="Arial" w:cs="Arial"/>
        </w:rPr>
        <w:lastRenderedPageBreak/>
        <w:t>y el estado que se alcance durante su establecimiento y sobre todo en una fase más próxima a la madurez fisiológica implicará mayores rendimientos.</w:t>
      </w:r>
    </w:p>
    <w:p w:rsidR="00F97131" w:rsidRDefault="00F97131" w:rsidP="00A634A1">
      <w:pPr>
        <w:pStyle w:val="NormalWeb"/>
        <w:spacing w:before="0" w:beforeAutospacing="0" w:after="0" w:afterAutospacing="0" w:line="360" w:lineRule="auto"/>
        <w:jc w:val="center"/>
        <w:rPr>
          <w:rFonts w:ascii="Arial" w:hAnsi="Arial" w:cs="Arial"/>
        </w:rPr>
      </w:pPr>
      <w:r>
        <w:rPr>
          <w:rFonts w:ascii="Arial" w:hAnsi="Arial" w:cs="Arial"/>
          <w:noProof/>
        </w:rPr>
        <w:drawing>
          <wp:inline distT="0" distB="0" distL="0" distR="0" wp14:anchorId="57659529" wp14:editId="6F1818D6">
            <wp:extent cx="3305175" cy="1819275"/>
            <wp:effectExtent l="0" t="0" r="0" b="0"/>
            <wp:docPr id="1" name="Gráfico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F97131" w:rsidRPr="0042001C" w:rsidRDefault="00F97131" w:rsidP="00F97131">
      <w:pPr>
        <w:spacing w:after="0" w:line="360" w:lineRule="auto"/>
        <w:jc w:val="both"/>
        <w:rPr>
          <w:rFonts w:ascii="Arial" w:hAnsi="Arial" w:cs="Arial"/>
          <w:b/>
          <w:sz w:val="24"/>
          <w:szCs w:val="24"/>
        </w:rPr>
      </w:pPr>
      <w:r w:rsidRPr="0042001C">
        <w:rPr>
          <w:rFonts w:ascii="Arial" w:hAnsi="Arial" w:cs="Arial"/>
          <w:b/>
          <w:sz w:val="24"/>
          <w:szCs w:val="24"/>
        </w:rPr>
        <w:t>Figura 6. Comportamiento del rendimient</w:t>
      </w:r>
      <w:r>
        <w:rPr>
          <w:rFonts w:ascii="Arial" w:hAnsi="Arial" w:cs="Arial"/>
          <w:b/>
          <w:sz w:val="24"/>
          <w:szCs w:val="24"/>
        </w:rPr>
        <w:t>o en las tres fechas de siembra</w:t>
      </w:r>
    </w:p>
    <w:p w:rsidR="00E40F3B" w:rsidRPr="0042001C" w:rsidRDefault="00E40F3B" w:rsidP="00E40F3B">
      <w:pPr>
        <w:spacing w:after="0" w:line="360" w:lineRule="auto"/>
        <w:jc w:val="both"/>
        <w:rPr>
          <w:rFonts w:ascii="Arial" w:hAnsi="Arial" w:cs="Arial"/>
          <w:sz w:val="24"/>
          <w:szCs w:val="24"/>
        </w:rPr>
      </w:pPr>
      <w:r w:rsidRPr="0042001C">
        <w:rPr>
          <w:rFonts w:ascii="Arial" w:hAnsi="Arial" w:cs="Arial"/>
          <w:sz w:val="24"/>
          <w:szCs w:val="24"/>
        </w:rPr>
        <w:t>Se ha estudiado en los diferentes cultivos agrícolas la relación entre la biomasa total y el rendimiento económico, además de forma general, se resalta que a mayor producción de materia seca total, mayor rendimiento, por lo que se destaca que la distribución de materia seca dentro de la planta juega un papel importante en la determinación del rendimiento (</w:t>
      </w:r>
      <w:r>
        <w:rPr>
          <w:rFonts w:ascii="Arial" w:hAnsi="Arial" w:cs="Arial"/>
          <w:sz w:val="24"/>
          <w:szCs w:val="24"/>
        </w:rPr>
        <w:t>15</w:t>
      </w:r>
      <w:r w:rsidRPr="0042001C">
        <w:rPr>
          <w:rFonts w:ascii="Arial" w:hAnsi="Arial" w:cs="Arial"/>
          <w:sz w:val="24"/>
          <w:szCs w:val="24"/>
        </w:rPr>
        <w:t xml:space="preserve">). </w:t>
      </w:r>
    </w:p>
    <w:p w:rsidR="00E43B1B" w:rsidRPr="0042001C" w:rsidRDefault="00E43B1B" w:rsidP="00E43B1B">
      <w:pPr>
        <w:pStyle w:val="NormalWeb"/>
        <w:spacing w:before="0" w:beforeAutospacing="0" w:after="0" w:afterAutospacing="0" w:line="360" w:lineRule="auto"/>
        <w:jc w:val="both"/>
        <w:rPr>
          <w:rFonts w:ascii="Arial" w:hAnsi="Arial" w:cs="Arial"/>
        </w:rPr>
      </w:pPr>
      <w:r w:rsidRPr="0042001C">
        <w:rPr>
          <w:rFonts w:ascii="Arial" w:hAnsi="Arial" w:cs="Arial"/>
        </w:rPr>
        <w:t xml:space="preserve">De los dos componentes del rendimiento principales, el número de granos es el más sensible a las variaciones ambientales y a la disponibilidad de componentes como la radiación, </w:t>
      </w:r>
      <w:r>
        <w:rPr>
          <w:rFonts w:ascii="Arial" w:hAnsi="Arial" w:cs="Arial"/>
        </w:rPr>
        <w:t xml:space="preserve">la </w:t>
      </w:r>
      <w:r w:rsidRPr="0042001C">
        <w:rPr>
          <w:rFonts w:ascii="Arial" w:hAnsi="Arial" w:cs="Arial"/>
        </w:rPr>
        <w:t>temperatura,</w:t>
      </w:r>
      <w:r>
        <w:rPr>
          <w:rFonts w:ascii="Arial" w:hAnsi="Arial" w:cs="Arial"/>
        </w:rPr>
        <w:t xml:space="preserve"> el </w:t>
      </w:r>
      <w:r w:rsidRPr="0042001C">
        <w:rPr>
          <w:rFonts w:ascii="Arial" w:hAnsi="Arial" w:cs="Arial"/>
        </w:rPr>
        <w:t>agua y</w:t>
      </w:r>
      <w:r>
        <w:rPr>
          <w:rFonts w:ascii="Arial" w:hAnsi="Arial" w:cs="Arial"/>
        </w:rPr>
        <w:t xml:space="preserve"> los</w:t>
      </w:r>
      <w:r w:rsidRPr="0042001C">
        <w:rPr>
          <w:rFonts w:ascii="Arial" w:hAnsi="Arial" w:cs="Arial"/>
        </w:rPr>
        <w:t xml:space="preserve"> nutrimentos en el suelo; mientras que el peso de grano es más estable y depende principalmente de la relación fuente/demanda durante el</w:t>
      </w:r>
      <w:r w:rsidR="001B5284">
        <w:rPr>
          <w:rFonts w:ascii="Arial" w:hAnsi="Arial" w:cs="Arial"/>
        </w:rPr>
        <w:t xml:space="preserve"> periodo de llenado de grano (30</w:t>
      </w:r>
      <w:r w:rsidRPr="0042001C">
        <w:rPr>
          <w:rFonts w:ascii="Arial" w:hAnsi="Arial" w:cs="Arial"/>
        </w:rPr>
        <w:t>).</w:t>
      </w:r>
    </w:p>
    <w:p w:rsidR="00E43B1B" w:rsidRPr="0042001C" w:rsidRDefault="00E43B1B" w:rsidP="00D90923">
      <w:pPr>
        <w:autoSpaceDE w:val="0"/>
        <w:autoSpaceDN w:val="0"/>
        <w:adjustRightInd w:val="0"/>
        <w:spacing w:before="120" w:after="120" w:line="360" w:lineRule="auto"/>
        <w:jc w:val="both"/>
        <w:rPr>
          <w:rFonts w:ascii="Arial" w:hAnsi="Arial" w:cs="Arial"/>
          <w:sz w:val="24"/>
          <w:szCs w:val="24"/>
        </w:rPr>
      </w:pPr>
      <w:r w:rsidRPr="0042001C">
        <w:rPr>
          <w:rFonts w:ascii="Arial" w:hAnsi="Arial" w:cs="Arial"/>
          <w:sz w:val="24"/>
          <w:szCs w:val="24"/>
        </w:rPr>
        <w:t>Las prácticas de manejo agronómico tienen un papel importante en la determinación del rendimiento final en el cultivo de maíz, como lo es la fecha de siembra, porque puede modificar sensiblemente la duración del ciclo ontogénico y la capacidad de captura de radiación solar; esto impacta la producción de masa sec</w:t>
      </w:r>
      <w:r w:rsidR="001B5284">
        <w:rPr>
          <w:rFonts w:ascii="Arial" w:hAnsi="Arial" w:cs="Arial"/>
          <w:sz w:val="24"/>
          <w:szCs w:val="24"/>
        </w:rPr>
        <w:t>a y el rendimiento del grano (31</w:t>
      </w:r>
      <w:r w:rsidRPr="0042001C">
        <w:rPr>
          <w:rFonts w:ascii="Arial" w:hAnsi="Arial" w:cs="Arial"/>
          <w:sz w:val="24"/>
          <w:szCs w:val="24"/>
        </w:rPr>
        <w:t xml:space="preserve">). </w:t>
      </w:r>
    </w:p>
    <w:p w:rsidR="001A7A97" w:rsidRPr="0042001C" w:rsidRDefault="001A7A97" w:rsidP="00D90923">
      <w:pPr>
        <w:autoSpaceDE w:val="0"/>
        <w:autoSpaceDN w:val="0"/>
        <w:adjustRightInd w:val="0"/>
        <w:spacing w:before="120" w:after="120" w:line="360" w:lineRule="auto"/>
        <w:jc w:val="both"/>
        <w:rPr>
          <w:rFonts w:ascii="Arial" w:hAnsi="Arial" w:cs="Arial"/>
          <w:sz w:val="24"/>
          <w:szCs w:val="24"/>
        </w:rPr>
      </w:pPr>
      <w:r w:rsidRPr="0042001C">
        <w:rPr>
          <w:rFonts w:ascii="Arial" w:hAnsi="Arial" w:cs="Arial"/>
          <w:b/>
          <w:sz w:val="24"/>
          <w:szCs w:val="24"/>
        </w:rPr>
        <w:t>CONCLUSIONES</w:t>
      </w:r>
      <w:r w:rsidRPr="0042001C">
        <w:rPr>
          <w:rFonts w:ascii="Arial" w:hAnsi="Arial" w:cs="Arial"/>
          <w:sz w:val="24"/>
          <w:szCs w:val="24"/>
        </w:rPr>
        <w:t>.</w:t>
      </w:r>
    </w:p>
    <w:p w:rsidR="001A7A97" w:rsidRDefault="001A7A97" w:rsidP="00D90923">
      <w:pPr>
        <w:autoSpaceDE w:val="0"/>
        <w:autoSpaceDN w:val="0"/>
        <w:adjustRightInd w:val="0"/>
        <w:spacing w:before="120" w:after="120" w:line="360" w:lineRule="auto"/>
        <w:jc w:val="both"/>
        <w:rPr>
          <w:rFonts w:ascii="Arial" w:hAnsi="Arial" w:cs="Arial"/>
          <w:sz w:val="24"/>
          <w:szCs w:val="24"/>
        </w:rPr>
      </w:pPr>
      <w:r w:rsidRPr="0042001C">
        <w:rPr>
          <w:rFonts w:ascii="Arial" w:hAnsi="Arial" w:cs="Arial"/>
          <w:sz w:val="24"/>
          <w:szCs w:val="24"/>
        </w:rPr>
        <w:t>De acuerdo a los resultados obtenidos cabe destacar que los rendimientos en el cultivo del sorgo estuvieron influenciados por la fecha de siembra y los valores máximos del mismo estuvieron en correspondencia con una mayor eficiencia en el uso de la radiación</w:t>
      </w:r>
      <w:r w:rsidR="00802357">
        <w:rPr>
          <w:rFonts w:ascii="Arial" w:hAnsi="Arial" w:cs="Arial"/>
          <w:sz w:val="24"/>
          <w:szCs w:val="24"/>
        </w:rPr>
        <w:t xml:space="preserve"> solar incidente</w:t>
      </w:r>
      <w:r w:rsidRPr="0042001C">
        <w:rPr>
          <w:rFonts w:ascii="Arial" w:hAnsi="Arial" w:cs="Arial"/>
          <w:sz w:val="24"/>
          <w:szCs w:val="24"/>
        </w:rPr>
        <w:t xml:space="preserve"> lo cual conllevó a valores superiores en la tasa de asimilación neta (TAN) y en los potenciales entre los órganos fuente y sumidero y por tanto a una mayor acumulación de biomasa en momentos próximos a la madurez fisiológica.</w:t>
      </w:r>
    </w:p>
    <w:p w:rsidR="001A7A97" w:rsidRPr="0042001C" w:rsidRDefault="001A7A97" w:rsidP="00D90923">
      <w:pPr>
        <w:widowControl w:val="0"/>
        <w:autoSpaceDE w:val="0"/>
        <w:autoSpaceDN w:val="0"/>
        <w:adjustRightInd w:val="0"/>
        <w:spacing w:before="120" w:after="120" w:line="360" w:lineRule="auto"/>
        <w:jc w:val="both"/>
        <w:rPr>
          <w:rFonts w:ascii="Arial" w:hAnsi="Arial" w:cs="Arial"/>
          <w:b/>
          <w:sz w:val="24"/>
          <w:szCs w:val="24"/>
        </w:rPr>
      </w:pPr>
      <w:r w:rsidRPr="0042001C">
        <w:rPr>
          <w:rFonts w:ascii="Arial" w:hAnsi="Arial" w:cs="Arial"/>
          <w:b/>
          <w:sz w:val="24"/>
          <w:szCs w:val="24"/>
        </w:rPr>
        <w:t>REFERENCIAS</w:t>
      </w:r>
    </w:p>
    <w:p w:rsidR="001A7A97" w:rsidRPr="0042001C" w:rsidRDefault="001A7A97" w:rsidP="007C7B79">
      <w:pPr>
        <w:pStyle w:val="Prrafodelista"/>
        <w:widowControl w:val="0"/>
        <w:numPr>
          <w:ilvl w:val="0"/>
          <w:numId w:val="4"/>
        </w:numPr>
        <w:autoSpaceDE w:val="0"/>
        <w:autoSpaceDN w:val="0"/>
        <w:adjustRightInd w:val="0"/>
        <w:spacing w:after="0" w:line="360" w:lineRule="auto"/>
        <w:ind w:left="426"/>
        <w:jc w:val="both"/>
        <w:rPr>
          <w:rFonts w:ascii="Arial" w:hAnsi="Arial" w:cs="Arial"/>
          <w:sz w:val="24"/>
          <w:szCs w:val="24"/>
        </w:rPr>
      </w:pPr>
      <w:r w:rsidRPr="0042001C">
        <w:rPr>
          <w:rFonts w:ascii="Arial" w:eastAsia="Times New Roman" w:hAnsi="Arial" w:cs="Arial"/>
          <w:sz w:val="24"/>
          <w:szCs w:val="24"/>
          <w:lang w:eastAsia="es-ES"/>
        </w:rPr>
        <w:t>Pérez, A. /et al. /. Caracterización y potencialidades del grano de sorgo (</w:t>
      </w:r>
      <w:proofErr w:type="spellStart"/>
      <w:r w:rsidRPr="0042001C">
        <w:rPr>
          <w:rFonts w:ascii="Arial" w:eastAsia="Times New Roman" w:hAnsi="Arial" w:cs="Arial"/>
          <w:sz w:val="24"/>
          <w:szCs w:val="24"/>
          <w:lang w:eastAsia="es-ES"/>
        </w:rPr>
        <w:t>Sorghum</w:t>
      </w:r>
      <w:proofErr w:type="spellEnd"/>
      <w:r w:rsidRPr="0042001C">
        <w:rPr>
          <w:rFonts w:ascii="Arial" w:eastAsia="Times New Roman" w:hAnsi="Arial" w:cs="Arial"/>
          <w:sz w:val="24"/>
          <w:szCs w:val="24"/>
          <w:lang w:eastAsia="es-ES"/>
        </w:rPr>
        <w:t xml:space="preserve"> bicolor L. </w:t>
      </w:r>
      <w:proofErr w:type="spellStart"/>
      <w:r w:rsidRPr="0042001C">
        <w:rPr>
          <w:rFonts w:ascii="Arial" w:eastAsia="Times New Roman" w:hAnsi="Arial" w:cs="Arial"/>
          <w:sz w:val="24"/>
          <w:szCs w:val="24"/>
          <w:lang w:eastAsia="es-ES"/>
        </w:rPr>
        <w:t>Moench</w:t>
      </w:r>
      <w:proofErr w:type="spellEnd"/>
      <w:r w:rsidRPr="0042001C">
        <w:rPr>
          <w:rFonts w:ascii="Arial" w:eastAsia="Times New Roman" w:hAnsi="Arial" w:cs="Arial"/>
          <w:sz w:val="24"/>
          <w:szCs w:val="24"/>
          <w:lang w:eastAsia="es-ES"/>
        </w:rPr>
        <w:t>).</w:t>
      </w:r>
      <w:r w:rsidRPr="0042001C">
        <w:rPr>
          <w:rFonts w:ascii="Arial" w:eastAsia="Times New Roman" w:hAnsi="Arial" w:cs="Arial"/>
          <w:i/>
          <w:iCs/>
          <w:sz w:val="24"/>
          <w:szCs w:val="24"/>
          <w:lang w:eastAsia="es-ES"/>
        </w:rPr>
        <w:t xml:space="preserve"> Pastos y Forrajes</w:t>
      </w:r>
      <w:r w:rsidRPr="0042001C">
        <w:rPr>
          <w:rFonts w:ascii="Arial" w:eastAsia="Times New Roman" w:hAnsi="Arial" w:cs="Arial"/>
          <w:sz w:val="24"/>
          <w:szCs w:val="24"/>
          <w:lang w:eastAsia="es-ES"/>
        </w:rPr>
        <w:t xml:space="preserve">, vol.33, n.1, pp. 1-1, 2010, ISSN: 0864-0394. </w:t>
      </w:r>
    </w:p>
    <w:p w:rsidR="001A7A97" w:rsidRPr="0042001C" w:rsidRDefault="001A7A97" w:rsidP="007C7B79">
      <w:pPr>
        <w:pStyle w:val="Prrafodelista"/>
        <w:widowControl w:val="0"/>
        <w:numPr>
          <w:ilvl w:val="0"/>
          <w:numId w:val="4"/>
        </w:numPr>
        <w:autoSpaceDE w:val="0"/>
        <w:autoSpaceDN w:val="0"/>
        <w:adjustRightInd w:val="0"/>
        <w:spacing w:after="0" w:line="360" w:lineRule="auto"/>
        <w:ind w:left="426"/>
        <w:jc w:val="both"/>
        <w:rPr>
          <w:rFonts w:ascii="Arial" w:eastAsia="Times New Roman" w:hAnsi="Arial" w:cs="Arial"/>
          <w:sz w:val="24"/>
          <w:szCs w:val="24"/>
          <w:lang w:eastAsia="es-ES"/>
        </w:rPr>
      </w:pPr>
      <w:r w:rsidRPr="0042001C">
        <w:rPr>
          <w:rFonts w:ascii="Arial" w:eastAsia="Times New Roman" w:hAnsi="Arial" w:cs="Arial"/>
          <w:sz w:val="24"/>
          <w:szCs w:val="24"/>
          <w:lang w:eastAsia="es-ES"/>
        </w:rPr>
        <w:t>Hernández, N., Soto, Francisco  y  Plana, R. Comportamiento del crecimiento y rendimiento del cultivo del trigo (</w:t>
      </w:r>
      <w:proofErr w:type="spellStart"/>
      <w:r w:rsidRPr="0042001C">
        <w:rPr>
          <w:rFonts w:ascii="Arial" w:eastAsia="Times New Roman" w:hAnsi="Arial" w:cs="Arial"/>
          <w:sz w:val="24"/>
          <w:szCs w:val="24"/>
          <w:lang w:eastAsia="es-ES"/>
        </w:rPr>
        <w:t>Triticum</w:t>
      </w:r>
      <w:proofErr w:type="spellEnd"/>
      <w:r w:rsidRPr="0042001C">
        <w:rPr>
          <w:rFonts w:ascii="Arial" w:eastAsia="Times New Roman" w:hAnsi="Arial" w:cs="Arial"/>
          <w:sz w:val="24"/>
          <w:szCs w:val="24"/>
          <w:lang w:eastAsia="es-ES"/>
        </w:rPr>
        <w:t xml:space="preserve"> </w:t>
      </w:r>
      <w:proofErr w:type="spellStart"/>
      <w:r w:rsidRPr="0042001C">
        <w:rPr>
          <w:rFonts w:ascii="Arial" w:eastAsia="Times New Roman" w:hAnsi="Arial" w:cs="Arial"/>
          <w:sz w:val="24"/>
          <w:szCs w:val="24"/>
          <w:lang w:eastAsia="es-ES"/>
        </w:rPr>
        <w:t>aestivum</w:t>
      </w:r>
      <w:proofErr w:type="spellEnd"/>
      <w:r w:rsidRPr="0042001C">
        <w:rPr>
          <w:rFonts w:ascii="Arial" w:eastAsia="Times New Roman" w:hAnsi="Arial" w:cs="Arial"/>
          <w:sz w:val="24"/>
          <w:szCs w:val="24"/>
          <w:lang w:eastAsia="es-ES"/>
        </w:rPr>
        <w:t xml:space="preserve"> L.) en tres fechas de siembra. </w:t>
      </w:r>
      <w:r w:rsidRPr="0042001C">
        <w:rPr>
          <w:rFonts w:ascii="Arial" w:eastAsia="Times New Roman" w:hAnsi="Arial" w:cs="Arial"/>
          <w:i/>
          <w:sz w:val="24"/>
          <w:szCs w:val="24"/>
          <w:lang w:eastAsia="es-ES"/>
        </w:rPr>
        <w:t>Cultivos Tropicales,</w:t>
      </w:r>
      <w:r w:rsidRPr="0042001C">
        <w:rPr>
          <w:rFonts w:ascii="Arial" w:eastAsia="Times New Roman" w:hAnsi="Arial" w:cs="Arial"/>
          <w:sz w:val="24"/>
          <w:szCs w:val="24"/>
          <w:lang w:eastAsia="es-ES"/>
        </w:rPr>
        <w:t xml:space="preserve"> </w:t>
      </w:r>
      <w:r w:rsidR="002E5A5D">
        <w:rPr>
          <w:rFonts w:ascii="Arial" w:eastAsia="Times New Roman" w:hAnsi="Arial" w:cs="Arial"/>
          <w:sz w:val="24"/>
          <w:szCs w:val="24"/>
          <w:lang w:eastAsia="es-ES"/>
        </w:rPr>
        <w:t>vol. 36, n. 1, pp. 86-92,</w:t>
      </w:r>
      <w:r w:rsidRPr="0042001C">
        <w:rPr>
          <w:rFonts w:ascii="Arial" w:eastAsia="Times New Roman" w:hAnsi="Arial" w:cs="Arial"/>
          <w:sz w:val="24"/>
          <w:szCs w:val="24"/>
          <w:lang w:eastAsia="es-ES"/>
        </w:rPr>
        <w:t xml:space="preserve"> </w:t>
      </w:r>
      <w:r w:rsidR="002E5A5D" w:rsidRPr="0042001C">
        <w:rPr>
          <w:rFonts w:ascii="Arial" w:eastAsia="Times New Roman" w:hAnsi="Arial" w:cs="Arial"/>
          <w:sz w:val="24"/>
          <w:szCs w:val="24"/>
          <w:lang w:eastAsia="es-ES"/>
        </w:rPr>
        <w:t xml:space="preserve">2015, </w:t>
      </w:r>
      <w:r w:rsidRPr="0042001C">
        <w:rPr>
          <w:rFonts w:ascii="Arial" w:eastAsia="Times New Roman" w:hAnsi="Arial" w:cs="Arial"/>
          <w:sz w:val="24"/>
          <w:szCs w:val="24"/>
          <w:lang w:eastAsia="es-ES"/>
        </w:rPr>
        <w:t xml:space="preserve">ISSN 1819-4087. </w:t>
      </w:r>
    </w:p>
    <w:p w:rsidR="001A7A97" w:rsidRPr="0042001C" w:rsidRDefault="001A7A97" w:rsidP="007C7B79">
      <w:pPr>
        <w:pStyle w:val="Prrafodelista"/>
        <w:widowControl w:val="0"/>
        <w:numPr>
          <w:ilvl w:val="0"/>
          <w:numId w:val="4"/>
        </w:numPr>
        <w:autoSpaceDE w:val="0"/>
        <w:autoSpaceDN w:val="0"/>
        <w:adjustRightInd w:val="0"/>
        <w:spacing w:after="0" w:line="360" w:lineRule="auto"/>
        <w:ind w:left="426"/>
        <w:jc w:val="both"/>
        <w:rPr>
          <w:rFonts w:ascii="Arial" w:hAnsi="Arial" w:cs="Arial"/>
          <w:sz w:val="24"/>
          <w:szCs w:val="24"/>
        </w:rPr>
      </w:pPr>
      <w:r w:rsidRPr="0042001C">
        <w:rPr>
          <w:rFonts w:ascii="Arial" w:hAnsi="Arial" w:cs="Arial"/>
          <w:sz w:val="24"/>
          <w:szCs w:val="24"/>
        </w:rPr>
        <w:t xml:space="preserve">Mendoza, M. C. </w:t>
      </w:r>
      <w:r w:rsidRPr="0042001C">
        <w:rPr>
          <w:rFonts w:ascii="Arial" w:eastAsia="Times New Roman" w:hAnsi="Arial" w:cs="Arial"/>
          <w:sz w:val="24"/>
          <w:szCs w:val="24"/>
          <w:lang w:eastAsia="es-ES"/>
        </w:rPr>
        <w:t xml:space="preserve">/et al. /. </w:t>
      </w:r>
      <w:r w:rsidRPr="0042001C">
        <w:rPr>
          <w:rFonts w:ascii="Arial" w:hAnsi="Arial" w:cs="Arial"/>
          <w:sz w:val="24"/>
          <w:szCs w:val="24"/>
        </w:rPr>
        <w:t xml:space="preserve">Raleo de flores, rendimiento de semilla y </w:t>
      </w:r>
      <w:r w:rsidRPr="0042001C">
        <w:rPr>
          <w:rFonts w:ascii="Arial" w:hAnsi="Arial" w:cs="Arial"/>
          <w:sz w:val="24"/>
          <w:szCs w:val="24"/>
        </w:rPr>
        <w:lastRenderedPageBreak/>
        <w:t xml:space="preserve">distribución de materia seca post-antesis en sorgo. </w:t>
      </w:r>
      <w:proofErr w:type="spellStart"/>
      <w:r w:rsidRPr="0042001C">
        <w:rPr>
          <w:rFonts w:ascii="Arial" w:hAnsi="Arial" w:cs="Arial"/>
          <w:i/>
          <w:sz w:val="24"/>
          <w:szCs w:val="24"/>
        </w:rPr>
        <w:t>Agrociencia</w:t>
      </w:r>
      <w:proofErr w:type="spellEnd"/>
      <w:r w:rsidRPr="0042001C">
        <w:rPr>
          <w:rFonts w:ascii="Arial" w:hAnsi="Arial" w:cs="Arial"/>
          <w:i/>
          <w:sz w:val="24"/>
          <w:szCs w:val="24"/>
        </w:rPr>
        <w:t xml:space="preserve">, </w:t>
      </w:r>
      <w:hyperlink r:id="rId20" w:history="1">
        <w:r w:rsidRPr="0042001C">
          <w:rPr>
            <w:rFonts w:ascii="Arial" w:hAnsi="Arial" w:cs="Arial"/>
            <w:sz w:val="24"/>
            <w:szCs w:val="24"/>
          </w:rPr>
          <w:t>vol. 40, n. 3, pp.  303-314, 2006</w:t>
        </w:r>
      </w:hyperlink>
      <w:r w:rsidRPr="0042001C">
        <w:rPr>
          <w:rFonts w:ascii="Arial" w:hAnsi="Arial" w:cs="Arial"/>
          <w:sz w:val="24"/>
          <w:szCs w:val="24"/>
        </w:rPr>
        <w:t>, ISSN: 1405-3195.</w:t>
      </w:r>
    </w:p>
    <w:p w:rsidR="001A7A97" w:rsidRPr="0042001C" w:rsidRDefault="001A7A97" w:rsidP="007C7B79">
      <w:pPr>
        <w:pStyle w:val="Prrafodelista"/>
        <w:numPr>
          <w:ilvl w:val="0"/>
          <w:numId w:val="4"/>
        </w:numPr>
        <w:autoSpaceDE w:val="0"/>
        <w:autoSpaceDN w:val="0"/>
        <w:adjustRightInd w:val="0"/>
        <w:spacing w:after="0" w:line="360" w:lineRule="auto"/>
        <w:ind w:left="426"/>
        <w:jc w:val="both"/>
        <w:rPr>
          <w:rFonts w:ascii="Arial" w:eastAsia="Times New Roman" w:hAnsi="Arial" w:cs="Arial"/>
          <w:sz w:val="24"/>
          <w:szCs w:val="24"/>
          <w:lang w:eastAsia="es-ES"/>
        </w:rPr>
      </w:pPr>
      <w:r w:rsidRPr="0042001C">
        <w:rPr>
          <w:rFonts w:ascii="Arial" w:eastAsia="Times New Roman" w:hAnsi="Arial" w:cs="Arial"/>
          <w:sz w:val="24"/>
          <w:szCs w:val="24"/>
          <w:lang w:eastAsia="es-ES"/>
        </w:rPr>
        <w:t xml:space="preserve">Rodríguez, J. /et al. /. Análisis del crecimiento de un genotipo silvestre de </w:t>
      </w:r>
      <w:proofErr w:type="spellStart"/>
      <w:r w:rsidRPr="0042001C">
        <w:rPr>
          <w:rFonts w:ascii="Arial" w:eastAsia="Times New Roman" w:hAnsi="Arial" w:cs="Arial"/>
          <w:sz w:val="24"/>
          <w:szCs w:val="24"/>
          <w:lang w:eastAsia="es-ES"/>
        </w:rPr>
        <w:t>Carica</w:t>
      </w:r>
      <w:proofErr w:type="spellEnd"/>
      <w:r w:rsidRPr="0042001C">
        <w:rPr>
          <w:rFonts w:ascii="Arial" w:eastAsia="Times New Roman" w:hAnsi="Arial" w:cs="Arial"/>
          <w:sz w:val="24"/>
          <w:szCs w:val="24"/>
          <w:lang w:eastAsia="es-ES"/>
        </w:rPr>
        <w:t xml:space="preserve"> papaya L. cultivado ex situ y cv. `</w:t>
      </w:r>
      <w:proofErr w:type="spellStart"/>
      <w:r w:rsidRPr="0042001C">
        <w:rPr>
          <w:rFonts w:ascii="Arial" w:eastAsia="Times New Roman" w:hAnsi="Arial" w:cs="Arial"/>
          <w:sz w:val="24"/>
          <w:szCs w:val="24"/>
          <w:lang w:eastAsia="es-ES"/>
        </w:rPr>
        <w:t>Maradol</w:t>
      </w:r>
      <w:proofErr w:type="spellEnd"/>
      <w:r w:rsidRPr="0042001C">
        <w:rPr>
          <w:rFonts w:ascii="Arial" w:eastAsia="Times New Roman" w:hAnsi="Arial" w:cs="Arial"/>
          <w:sz w:val="24"/>
          <w:szCs w:val="24"/>
          <w:lang w:eastAsia="es-ES"/>
        </w:rPr>
        <w:t xml:space="preserve"> Roja´. </w:t>
      </w:r>
      <w:r w:rsidR="002E5A5D" w:rsidRPr="002E5A5D">
        <w:rPr>
          <w:rFonts w:ascii="Arial" w:eastAsia="Times New Roman" w:hAnsi="Arial" w:cs="Arial"/>
          <w:i/>
          <w:sz w:val="24"/>
          <w:szCs w:val="24"/>
          <w:lang w:eastAsia="es-ES"/>
        </w:rPr>
        <w:t>Cultivos Tropicales</w:t>
      </w:r>
      <w:r w:rsidRPr="0042001C">
        <w:rPr>
          <w:rFonts w:ascii="Arial" w:eastAsia="Times New Roman" w:hAnsi="Arial" w:cs="Arial"/>
          <w:sz w:val="24"/>
          <w:szCs w:val="24"/>
          <w:lang w:eastAsia="es-ES"/>
        </w:rPr>
        <w:t xml:space="preserve">. </w:t>
      </w:r>
      <w:r w:rsidR="002E5A5D">
        <w:rPr>
          <w:rFonts w:ascii="Arial" w:eastAsia="Times New Roman" w:hAnsi="Arial" w:cs="Arial"/>
          <w:sz w:val="24"/>
          <w:szCs w:val="24"/>
          <w:lang w:eastAsia="es-ES"/>
        </w:rPr>
        <w:t>vol. 36, n.3, pp. 96-105,</w:t>
      </w:r>
      <w:r w:rsidRPr="0042001C">
        <w:rPr>
          <w:rFonts w:ascii="Arial" w:eastAsia="Times New Roman" w:hAnsi="Arial" w:cs="Arial"/>
          <w:sz w:val="24"/>
          <w:szCs w:val="24"/>
          <w:lang w:eastAsia="es-ES"/>
        </w:rPr>
        <w:t xml:space="preserve"> </w:t>
      </w:r>
      <w:r w:rsidR="002E5A5D" w:rsidRPr="0042001C">
        <w:rPr>
          <w:rFonts w:ascii="Arial" w:eastAsia="Times New Roman" w:hAnsi="Arial" w:cs="Arial"/>
          <w:sz w:val="24"/>
          <w:szCs w:val="24"/>
          <w:lang w:eastAsia="es-ES"/>
        </w:rPr>
        <w:t xml:space="preserve">2015, </w:t>
      </w:r>
      <w:r w:rsidRPr="0042001C">
        <w:rPr>
          <w:rFonts w:ascii="Arial" w:eastAsia="Times New Roman" w:hAnsi="Arial" w:cs="Arial"/>
          <w:sz w:val="24"/>
          <w:szCs w:val="24"/>
          <w:lang w:eastAsia="es-ES"/>
        </w:rPr>
        <w:t>ISSN 1819-4087.</w:t>
      </w:r>
    </w:p>
    <w:p w:rsidR="001A7A97" w:rsidRPr="0042001C" w:rsidRDefault="001A7A97" w:rsidP="007C7B79">
      <w:pPr>
        <w:pStyle w:val="Prrafodelista"/>
        <w:numPr>
          <w:ilvl w:val="0"/>
          <w:numId w:val="4"/>
        </w:numPr>
        <w:autoSpaceDE w:val="0"/>
        <w:autoSpaceDN w:val="0"/>
        <w:adjustRightInd w:val="0"/>
        <w:spacing w:after="0" w:line="360" w:lineRule="auto"/>
        <w:ind w:left="426"/>
        <w:jc w:val="both"/>
        <w:rPr>
          <w:rFonts w:ascii="Arial" w:hAnsi="Arial" w:cs="Arial"/>
          <w:color w:val="000000"/>
          <w:sz w:val="24"/>
          <w:szCs w:val="24"/>
        </w:rPr>
      </w:pPr>
      <w:r w:rsidRPr="0042001C">
        <w:rPr>
          <w:rFonts w:ascii="Arial" w:hAnsi="Arial" w:cs="Arial"/>
          <w:sz w:val="24"/>
          <w:szCs w:val="24"/>
        </w:rPr>
        <w:t>Hernández, A.; Pérez, J.; Bosch, D. y Castro, N. Clasificación de los suelos de Cuba 2015. edit. Ediciones INCA, Mayabeque, Cuba, 2015, p. 93, ISBN: 978-959-7023-</w:t>
      </w:r>
      <w:r w:rsidRPr="0042001C">
        <w:rPr>
          <w:rFonts w:ascii="Arial" w:hAnsi="Arial" w:cs="Arial"/>
          <w:color w:val="000000"/>
          <w:sz w:val="24"/>
          <w:szCs w:val="24"/>
        </w:rPr>
        <w:t xml:space="preserve">77-7. </w:t>
      </w:r>
    </w:p>
    <w:p w:rsidR="001A7A97" w:rsidRPr="0042001C" w:rsidRDefault="001A7A97" w:rsidP="007C7B79">
      <w:pPr>
        <w:pStyle w:val="Prrafodelista"/>
        <w:widowControl w:val="0"/>
        <w:numPr>
          <w:ilvl w:val="0"/>
          <w:numId w:val="4"/>
        </w:numPr>
        <w:autoSpaceDE w:val="0"/>
        <w:autoSpaceDN w:val="0"/>
        <w:adjustRightInd w:val="0"/>
        <w:spacing w:after="0" w:line="360" w:lineRule="auto"/>
        <w:ind w:left="426"/>
        <w:jc w:val="both"/>
        <w:rPr>
          <w:rFonts w:ascii="Arial" w:hAnsi="Arial" w:cs="Arial"/>
          <w:sz w:val="24"/>
          <w:szCs w:val="24"/>
        </w:rPr>
      </w:pPr>
      <w:proofErr w:type="spellStart"/>
      <w:r w:rsidRPr="0042001C">
        <w:rPr>
          <w:rFonts w:ascii="Arial" w:hAnsi="Arial" w:cs="Arial"/>
          <w:sz w:val="24"/>
          <w:szCs w:val="24"/>
        </w:rPr>
        <w:t>Canet</w:t>
      </w:r>
      <w:proofErr w:type="spellEnd"/>
      <w:r w:rsidRPr="0042001C">
        <w:rPr>
          <w:rFonts w:ascii="Arial" w:hAnsi="Arial" w:cs="Arial"/>
          <w:sz w:val="24"/>
          <w:szCs w:val="24"/>
        </w:rPr>
        <w:t xml:space="preserve">, R.; Rivero, L. y </w:t>
      </w:r>
      <w:proofErr w:type="spellStart"/>
      <w:r w:rsidRPr="0042001C">
        <w:rPr>
          <w:rFonts w:ascii="Arial" w:hAnsi="Arial" w:cs="Arial"/>
          <w:sz w:val="24"/>
          <w:szCs w:val="24"/>
        </w:rPr>
        <w:t>Armenteros</w:t>
      </w:r>
      <w:proofErr w:type="spellEnd"/>
      <w:r w:rsidRPr="0042001C">
        <w:rPr>
          <w:rFonts w:ascii="Arial" w:hAnsi="Arial" w:cs="Arial"/>
          <w:sz w:val="24"/>
          <w:szCs w:val="24"/>
        </w:rPr>
        <w:t>, M. A. Guía técnica para el cultivo del sorgo (</w:t>
      </w:r>
      <w:proofErr w:type="spellStart"/>
      <w:r w:rsidRPr="0042001C">
        <w:rPr>
          <w:rStyle w:val="nfasis"/>
          <w:rFonts w:ascii="Arial" w:hAnsi="Arial" w:cs="Arial"/>
          <w:sz w:val="24"/>
          <w:szCs w:val="24"/>
        </w:rPr>
        <w:t>Sorghum</w:t>
      </w:r>
      <w:proofErr w:type="spellEnd"/>
      <w:r w:rsidRPr="0042001C">
        <w:rPr>
          <w:rStyle w:val="nfasis"/>
          <w:rFonts w:ascii="Arial" w:hAnsi="Arial" w:cs="Arial"/>
          <w:sz w:val="24"/>
          <w:szCs w:val="24"/>
        </w:rPr>
        <w:t xml:space="preserve"> bicolor L. </w:t>
      </w:r>
      <w:proofErr w:type="spellStart"/>
      <w:r w:rsidRPr="0042001C">
        <w:rPr>
          <w:rStyle w:val="nfasis"/>
          <w:rFonts w:ascii="Arial" w:hAnsi="Arial" w:cs="Arial"/>
          <w:sz w:val="24"/>
          <w:szCs w:val="24"/>
        </w:rPr>
        <w:t>Moench</w:t>
      </w:r>
      <w:proofErr w:type="spellEnd"/>
      <w:r w:rsidRPr="0042001C">
        <w:rPr>
          <w:rFonts w:ascii="Arial" w:hAnsi="Arial" w:cs="Arial"/>
          <w:sz w:val="24"/>
          <w:szCs w:val="24"/>
        </w:rPr>
        <w:t>). La Habana, Cuba, 2013, p. 36. ISBN: 978-959-7210-69-6.</w:t>
      </w:r>
    </w:p>
    <w:p w:rsidR="001A7A97" w:rsidRPr="0042001C" w:rsidRDefault="001A7A97" w:rsidP="007C7B79">
      <w:pPr>
        <w:pStyle w:val="Prrafodelista"/>
        <w:widowControl w:val="0"/>
        <w:numPr>
          <w:ilvl w:val="0"/>
          <w:numId w:val="4"/>
        </w:numPr>
        <w:autoSpaceDE w:val="0"/>
        <w:autoSpaceDN w:val="0"/>
        <w:adjustRightInd w:val="0"/>
        <w:spacing w:after="0" w:line="360" w:lineRule="auto"/>
        <w:ind w:left="426"/>
        <w:jc w:val="both"/>
        <w:rPr>
          <w:rFonts w:ascii="Arial" w:eastAsia="Times New Roman" w:hAnsi="Arial" w:cs="Arial"/>
          <w:sz w:val="24"/>
          <w:szCs w:val="24"/>
          <w:lang w:eastAsia="es-ES"/>
        </w:rPr>
      </w:pPr>
      <w:r w:rsidRPr="0042001C">
        <w:rPr>
          <w:rFonts w:ascii="Arial" w:hAnsi="Arial" w:cs="Arial"/>
          <w:sz w:val="24"/>
          <w:szCs w:val="24"/>
          <w:lang w:val="en-US"/>
        </w:rPr>
        <w:t xml:space="preserve">Castellanos, M.; Segura, M. y </w:t>
      </w:r>
      <w:proofErr w:type="spellStart"/>
      <w:r w:rsidRPr="0042001C">
        <w:rPr>
          <w:rFonts w:ascii="Arial" w:hAnsi="Arial" w:cs="Arial"/>
          <w:sz w:val="24"/>
          <w:szCs w:val="24"/>
          <w:lang w:val="en-US"/>
        </w:rPr>
        <w:t>Ñústez</w:t>
      </w:r>
      <w:proofErr w:type="spellEnd"/>
      <w:r w:rsidRPr="0042001C">
        <w:rPr>
          <w:rFonts w:ascii="Arial" w:hAnsi="Arial" w:cs="Arial"/>
          <w:sz w:val="24"/>
          <w:szCs w:val="24"/>
          <w:lang w:val="en-US"/>
        </w:rPr>
        <w:t>, C. E. Growth Analysis and Source-Sink Relationship of Four Potato Cultivars (</w:t>
      </w:r>
      <w:proofErr w:type="spellStart"/>
      <w:r w:rsidRPr="0042001C">
        <w:rPr>
          <w:rFonts w:ascii="Arial" w:hAnsi="Arial" w:cs="Arial"/>
          <w:sz w:val="24"/>
          <w:szCs w:val="24"/>
          <w:lang w:val="en-US"/>
        </w:rPr>
        <w:t>Solanum</w:t>
      </w:r>
      <w:proofErr w:type="spellEnd"/>
      <w:r w:rsidRPr="0042001C">
        <w:rPr>
          <w:rFonts w:ascii="Arial" w:hAnsi="Arial" w:cs="Arial"/>
          <w:sz w:val="24"/>
          <w:szCs w:val="24"/>
          <w:lang w:val="en-US"/>
        </w:rPr>
        <w:t xml:space="preserve"> </w:t>
      </w:r>
      <w:proofErr w:type="spellStart"/>
      <w:r w:rsidRPr="0042001C">
        <w:rPr>
          <w:rFonts w:ascii="Arial" w:hAnsi="Arial" w:cs="Arial"/>
          <w:sz w:val="24"/>
          <w:szCs w:val="24"/>
          <w:lang w:val="en-US"/>
        </w:rPr>
        <w:t>tuberosum</w:t>
      </w:r>
      <w:proofErr w:type="spellEnd"/>
      <w:r w:rsidRPr="0042001C">
        <w:rPr>
          <w:rFonts w:ascii="Arial" w:hAnsi="Arial" w:cs="Arial"/>
          <w:sz w:val="24"/>
          <w:szCs w:val="24"/>
          <w:lang w:val="en-US"/>
        </w:rPr>
        <w:t xml:space="preserve"> L.) in the </w:t>
      </w:r>
      <w:proofErr w:type="spellStart"/>
      <w:r w:rsidRPr="0042001C">
        <w:rPr>
          <w:rFonts w:ascii="Arial" w:hAnsi="Arial" w:cs="Arial"/>
          <w:sz w:val="24"/>
          <w:szCs w:val="24"/>
          <w:lang w:val="en-US"/>
        </w:rPr>
        <w:t>Zipaquira</w:t>
      </w:r>
      <w:proofErr w:type="spellEnd"/>
      <w:r w:rsidRPr="0042001C">
        <w:rPr>
          <w:rFonts w:ascii="Arial" w:hAnsi="Arial" w:cs="Arial"/>
          <w:sz w:val="24"/>
          <w:szCs w:val="24"/>
          <w:lang w:val="en-US"/>
        </w:rPr>
        <w:t xml:space="preserve"> Town (Cundinamarca, Colombia). </w:t>
      </w:r>
      <w:r w:rsidRPr="0042001C">
        <w:rPr>
          <w:rFonts w:ascii="Arial" w:hAnsi="Arial" w:cs="Arial"/>
          <w:i/>
          <w:sz w:val="24"/>
          <w:szCs w:val="24"/>
        </w:rPr>
        <w:t>Revista Facultad Nacional de Agronomía, Medellín</w:t>
      </w:r>
      <w:r w:rsidR="002E5A5D">
        <w:rPr>
          <w:rFonts w:ascii="Arial" w:hAnsi="Arial" w:cs="Arial"/>
          <w:sz w:val="24"/>
          <w:szCs w:val="24"/>
        </w:rPr>
        <w:t>, vol. 63, no. 1, pp. 5253-5266,</w:t>
      </w:r>
      <w:r w:rsidRPr="0042001C">
        <w:rPr>
          <w:rFonts w:ascii="Arial" w:hAnsi="Arial" w:cs="Arial"/>
          <w:sz w:val="24"/>
          <w:szCs w:val="24"/>
        </w:rPr>
        <w:t xml:space="preserve"> 2010, ISSN: 0304-2847. </w:t>
      </w:r>
    </w:p>
    <w:p w:rsidR="001A7A97" w:rsidRPr="00445F48" w:rsidRDefault="001A7A97" w:rsidP="007C7B79">
      <w:pPr>
        <w:pStyle w:val="Prrafodelista"/>
        <w:widowControl w:val="0"/>
        <w:numPr>
          <w:ilvl w:val="0"/>
          <w:numId w:val="4"/>
        </w:numPr>
        <w:autoSpaceDE w:val="0"/>
        <w:autoSpaceDN w:val="0"/>
        <w:adjustRightInd w:val="0"/>
        <w:spacing w:after="0" w:line="360" w:lineRule="auto"/>
        <w:ind w:left="426"/>
        <w:jc w:val="both"/>
        <w:rPr>
          <w:rStyle w:val="st"/>
          <w:rFonts w:ascii="Arial" w:eastAsia="Times New Roman" w:hAnsi="Arial" w:cs="Arial"/>
          <w:sz w:val="24"/>
          <w:szCs w:val="24"/>
          <w:lang w:eastAsia="es-ES"/>
        </w:rPr>
      </w:pPr>
      <w:r w:rsidRPr="0042001C">
        <w:rPr>
          <w:rStyle w:val="a"/>
          <w:rFonts w:ascii="Arial" w:hAnsi="Arial" w:cs="Arial"/>
          <w:color w:val="231F20"/>
          <w:sz w:val="24"/>
          <w:szCs w:val="24"/>
        </w:rPr>
        <w:t xml:space="preserve">De la Casa, A., Ovando, G., </w:t>
      </w:r>
      <w:proofErr w:type="spellStart"/>
      <w:r w:rsidRPr="0042001C">
        <w:rPr>
          <w:rStyle w:val="a"/>
          <w:rFonts w:ascii="Arial" w:hAnsi="Arial" w:cs="Arial"/>
          <w:color w:val="231F20"/>
          <w:sz w:val="24"/>
          <w:szCs w:val="24"/>
        </w:rPr>
        <w:t>Bressanini</w:t>
      </w:r>
      <w:proofErr w:type="spellEnd"/>
      <w:r w:rsidRPr="0042001C">
        <w:rPr>
          <w:rStyle w:val="a"/>
          <w:rFonts w:ascii="Arial" w:hAnsi="Arial" w:cs="Arial"/>
          <w:color w:val="231F20"/>
          <w:sz w:val="24"/>
          <w:szCs w:val="24"/>
        </w:rPr>
        <w:t>, L.</w:t>
      </w:r>
      <w:r>
        <w:rPr>
          <w:rStyle w:val="a"/>
          <w:rFonts w:ascii="Arial" w:hAnsi="Arial" w:cs="Arial"/>
          <w:color w:val="231F20"/>
          <w:sz w:val="24"/>
          <w:szCs w:val="24"/>
        </w:rPr>
        <w:t xml:space="preserve">, Martínez, J. y Rodríguez, A. </w:t>
      </w:r>
      <w:r w:rsidRPr="0042001C">
        <w:rPr>
          <w:rFonts w:ascii="Arial" w:eastAsia="Times New Roman" w:hAnsi="Arial" w:cs="Arial"/>
          <w:color w:val="231F20"/>
          <w:sz w:val="24"/>
          <w:szCs w:val="24"/>
          <w:lang w:eastAsia="es-ES"/>
        </w:rPr>
        <w:t>Eficiencia en el uso de la radiación en papa estimada a partir de la cobertura del follaje.</w:t>
      </w:r>
      <w:r w:rsidRPr="0042001C">
        <w:rPr>
          <w:rStyle w:val="st"/>
          <w:rFonts w:ascii="Arial" w:hAnsi="Arial" w:cs="Arial"/>
          <w:color w:val="231F20"/>
          <w:sz w:val="24"/>
          <w:szCs w:val="24"/>
        </w:rPr>
        <w:t xml:space="preserve"> </w:t>
      </w:r>
      <w:proofErr w:type="spellStart"/>
      <w:r w:rsidRPr="0042001C">
        <w:rPr>
          <w:rStyle w:val="a"/>
          <w:rFonts w:ascii="Arial" w:hAnsi="Arial" w:cs="Arial"/>
          <w:i/>
          <w:color w:val="231F20"/>
          <w:sz w:val="24"/>
          <w:szCs w:val="24"/>
        </w:rPr>
        <w:t>Agriscientia</w:t>
      </w:r>
      <w:proofErr w:type="spellEnd"/>
      <w:r w:rsidRPr="0042001C">
        <w:rPr>
          <w:rStyle w:val="a"/>
          <w:rFonts w:ascii="Arial" w:hAnsi="Arial" w:cs="Arial"/>
          <w:color w:val="231F20"/>
          <w:sz w:val="24"/>
          <w:szCs w:val="24"/>
        </w:rPr>
        <w:t>, vol. 28, n. 1, pp. 21-30</w:t>
      </w:r>
      <w:r w:rsidR="002E5A5D">
        <w:rPr>
          <w:rStyle w:val="a"/>
          <w:rFonts w:ascii="Arial" w:hAnsi="Arial" w:cs="Arial"/>
          <w:color w:val="231F20"/>
          <w:sz w:val="24"/>
          <w:szCs w:val="24"/>
        </w:rPr>
        <w:t>,</w:t>
      </w:r>
      <w:r w:rsidRPr="0042001C">
        <w:rPr>
          <w:rStyle w:val="a"/>
          <w:rFonts w:ascii="Arial" w:hAnsi="Arial" w:cs="Arial"/>
          <w:color w:val="231F20"/>
          <w:sz w:val="24"/>
          <w:szCs w:val="24"/>
        </w:rPr>
        <w:t xml:space="preserve"> 2011, ISSN: </w:t>
      </w:r>
      <w:r w:rsidRPr="0042001C">
        <w:rPr>
          <w:rStyle w:val="st"/>
          <w:rFonts w:ascii="Arial" w:hAnsi="Arial" w:cs="Arial"/>
          <w:sz w:val="24"/>
          <w:szCs w:val="24"/>
        </w:rPr>
        <w:t>1668-298.</w:t>
      </w:r>
    </w:p>
    <w:p w:rsidR="00445F48" w:rsidRPr="00445F48" w:rsidRDefault="00445F48" w:rsidP="007C7B79">
      <w:pPr>
        <w:pStyle w:val="Prrafodelista"/>
        <w:numPr>
          <w:ilvl w:val="0"/>
          <w:numId w:val="4"/>
        </w:numPr>
        <w:autoSpaceDE w:val="0"/>
        <w:autoSpaceDN w:val="0"/>
        <w:adjustRightInd w:val="0"/>
        <w:spacing w:after="0" w:line="360" w:lineRule="auto"/>
        <w:ind w:left="426"/>
        <w:jc w:val="both"/>
        <w:rPr>
          <w:rStyle w:val="a"/>
          <w:rFonts w:ascii="Arial" w:hAnsi="Arial" w:cs="Arial"/>
          <w:color w:val="231F20"/>
          <w:sz w:val="24"/>
          <w:szCs w:val="24"/>
        </w:rPr>
      </w:pPr>
      <w:r w:rsidRPr="00445F48">
        <w:rPr>
          <w:rStyle w:val="a"/>
          <w:rFonts w:ascii="Arial" w:hAnsi="Arial" w:cs="Arial"/>
          <w:color w:val="231F20"/>
          <w:sz w:val="24"/>
          <w:szCs w:val="24"/>
        </w:rPr>
        <w:t xml:space="preserve">Diez, M. y </w:t>
      </w:r>
      <w:proofErr w:type="spellStart"/>
      <w:r w:rsidRPr="00445F48">
        <w:rPr>
          <w:rStyle w:val="a"/>
          <w:rFonts w:ascii="Arial" w:hAnsi="Arial" w:cs="Arial"/>
          <w:color w:val="231F20"/>
          <w:sz w:val="24"/>
          <w:szCs w:val="24"/>
        </w:rPr>
        <w:t>Sardiña</w:t>
      </w:r>
      <w:proofErr w:type="spellEnd"/>
      <w:r w:rsidRPr="00445F48">
        <w:rPr>
          <w:rStyle w:val="a"/>
          <w:rFonts w:ascii="Arial" w:hAnsi="Arial" w:cs="Arial"/>
          <w:color w:val="231F20"/>
          <w:sz w:val="24"/>
          <w:szCs w:val="24"/>
        </w:rPr>
        <w:t>, C. ‘‘Ensayo comparativo de materiales de sorgo para silo en ambientes con y sin limitantes edáfica’’. Memoria Técnica, vol. 2011-2012, 2012, pp. 135-138, ISSN 1850-6038.</w:t>
      </w:r>
    </w:p>
    <w:p w:rsidR="00445F48" w:rsidRDefault="00445F48" w:rsidP="007C7B79">
      <w:pPr>
        <w:pStyle w:val="Prrafodelista"/>
        <w:numPr>
          <w:ilvl w:val="0"/>
          <w:numId w:val="4"/>
        </w:numPr>
        <w:autoSpaceDE w:val="0"/>
        <w:autoSpaceDN w:val="0"/>
        <w:adjustRightInd w:val="0"/>
        <w:spacing w:after="0" w:line="360" w:lineRule="auto"/>
        <w:ind w:left="426"/>
        <w:jc w:val="both"/>
        <w:rPr>
          <w:rStyle w:val="a"/>
          <w:rFonts w:ascii="Arial" w:hAnsi="Arial" w:cs="Arial"/>
          <w:color w:val="231F20"/>
          <w:sz w:val="24"/>
          <w:szCs w:val="24"/>
        </w:rPr>
      </w:pPr>
      <w:r w:rsidRPr="00445F48">
        <w:rPr>
          <w:rStyle w:val="a"/>
          <w:rFonts w:ascii="Arial" w:hAnsi="Arial" w:cs="Arial"/>
          <w:color w:val="231F20"/>
          <w:sz w:val="24"/>
          <w:szCs w:val="24"/>
        </w:rPr>
        <w:t xml:space="preserve">Salinas, R.; Luis, J.; </w:t>
      </w:r>
      <w:proofErr w:type="spellStart"/>
      <w:r w:rsidRPr="00445F48">
        <w:rPr>
          <w:rStyle w:val="a"/>
          <w:rFonts w:ascii="Arial" w:hAnsi="Arial" w:cs="Arial"/>
          <w:color w:val="231F20"/>
          <w:sz w:val="24"/>
          <w:szCs w:val="24"/>
        </w:rPr>
        <w:t>MamadouBâ</w:t>
      </w:r>
      <w:proofErr w:type="spellEnd"/>
      <w:r w:rsidRPr="00445F48">
        <w:rPr>
          <w:rStyle w:val="a"/>
          <w:rFonts w:ascii="Arial" w:hAnsi="Arial" w:cs="Arial"/>
          <w:color w:val="231F20"/>
          <w:sz w:val="24"/>
          <w:szCs w:val="24"/>
        </w:rPr>
        <w:t xml:space="preserve">, K.; </w:t>
      </w:r>
      <w:proofErr w:type="spellStart"/>
      <w:r w:rsidRPr="00445F48">
        <w:rPr>
          <w:rStyle w:val="a"/>
          <w:rFonts w:ascii="Arial" w:hAnsi="Arial" w:cs="Arial"/>
          <w:color w:val="231F20"/>
          <w:sz w:val="24"/>
          <w:szCs w:val="24"/>
        </w:rPr>
        <w:t>Bucio</w:t>
      </w:r>
      <w:proofErr w:type="spellEnd"/>
      <w:r w:rsidRPr="00445F48">
        <w:rPr>
          <w:rStyle w:val="a"/>
          <w:rFonts w:ascii="Arial" w:hAnsi="Arial" w:cs="Arial"/>
          <w:color w:val="231F20"/>
          <w:sz w:val="24"/>
          <w:szCs w:val="24"/>
        </w:rPr>
        <w:t xml:space="preserve">, K.; Arturo, H. y Magaña, H. F. ‘‘Estimación de la demanda hídrica del trigo y sorgo en el Estado de México mediante la </w:t>
      </w:r>
      <w:proofErr w:type="spellStart"/>
      <w:r w:rsidRPr="00445F48">
        <w:rPr>
          <w:rStyle w:val="a"/>
          <w:rFonts w:ascii="Arial" w:hAnsi="Arial" w:cs="Arial"/>
          <w:color w:val="231F20"/>
          <w:sz w:val="24"/>
          <w:szCs w:val="24"/>
        </w:rPr>
        <w:t>recalibración</w:t>
      </w:r>
      <w:proofErr w:type="spellEnd"/>
      <w:r w:rsidRPr="00445F48">
        <w:rPr>
          <w:rStyle w:val="a"/>
          <w:rFonts w:ascii="Arial" w:hAnsi="Arial" w:cs="Arial"/>
          <w:color w:val="231F20"/>
          <w:sz w:val="24"/>
          <w:szCs w:val="24"/>
        </w:rPr>
        <w:t xml:space="preserve"> de KT’’. </w:t>
      </w:r>
      <w:r w:rsidRPr="002E5A5D">
        <w:rPr>
          <w:rStyle w:val="a"/>
          <w:rFonts w:ascii="Arial" w:hAnsi="Arial" w:cs="Arial"/>
          <w:i/>
          <w:color w:val="231F20"/>
          <w:sz w:val="24"/>
          <w:szCs w:val="24"/>
        </w:rPr>
        <w:t>Revista Ciencias Técnicas Agropecuarias</w:t>
      </w:r>
      <w:r w:rsidRPr="00445F48">
        <w:rPr>
          <w:rStyle w:val="a"/>
          <w:rFonts w:ascii="Arial" w:hAnsi="Arial" w:cs="Arial"/>
          <w:color w:val="231F20"/>
          <w:sz w:val="24"/>
          <w:szCs w:val="24"/>
        </w:rPr>
        <w:t>, vol. 22,</w:t>
      </w:r>
      <w:r w:rsidR="001D2B3B">
        <w:rPr>
          <w:rStyle w:val="a"/>
          <w:rFonts w:ascii="Arial" w:hAnsi="Arial" w:cs="Arial"/>
          <w:color w:val="231F20"/>
          <w:sz w:val="24"/>
          <w:szCs w:val="24"/>
        </w:rPr>
        <w:t xml:space="preserve"> n. 1,</w:t>
      </w:r>
      <w:r w:rsidRPr="00445F48">
        <w:rPr>
          <w:rStyle w:val="a"/>
          <w:rFonts w:ascii="Arial" w:hAnsi="Arial" w:cs="Arial"/>
          <w:color w:val="231F20"/>
          <w:sz w:val="24"/>
          <w:szCs w:val="24"/>
        </w:rPr>
        <w:t xml:space="preserve"> pp. 72-76, </w:t>
      </w:r>
      <w:r w:rsidR="002E5A5D" w:rsidRPr="00445F48">
        <w:rPr>
          <w:rStyle w:val="a"/>
          <w:rFonts w:ascii="Arial" w:hAnsi="Arial" w:cs="Arial"/>
          <w:color w:val="231F20"/>
          <w:sz w:val="24"/>
          <w:szCs w:val="24"/>
        </w:rPr>
        <w:t>2013</w:t>
      </w:r>
      <w:r w:rsidR="002E5A5D">
        <w:rPr>
          <w:rStyle w:val="a"/>
          <w:rFonts w:ascii="Arial" w:hAnsi="Arial" w:cs="Arial"/>
          <w:color w:val="231F20"/>
          <w:sz w:val="24"/>
          <w:szCs w:val="24"/>
        </w:rPr>
        <w:t xml:space="preserve">, </w:t>
      </w:r>
      <w:r w:rsidRPr="00445F48">
        <w:rPr>
          <w:rStyle w:val="a"/>
          <w:rFonts w:ascii="Arial" w:hAnsi="Arial" w:cs="Arial"/>
          <w:color w:val="231F20"/>
          <w:sz w:val="24"/>
          <w:szCs w:val="24"/>
        </w:rPr>
        <w:t>ISSN 2071-0054.</w:t>
      </w:r>
    </w:p>
    <w:p w:rsidR="00445F48" w:rsidRPr="00445F48" w:rsidRDefault="00445F48" w:rsidP="007C7B79">
      <w:pPr>
        <w:pStyle w:val="Prrafodelista"/>
        <w:widowControl w:val="0"/>
        <w:numPr>
          <w:ilvl w:val="0"/>
          <w:numId w:val="4"/>
        </w:numPr>
        <w:autoSpaceDE w:val="0"/>
        <w:autoSpaceDN w:val="0"/>
        <w:adjustRightInd w:val="0"/>
        <w:spacing w:after="0" w:line="360" w:lineRule="auto"/>
        <w:ind w:left="426"/>
        <w:jc w:val="both"/>
        <w:rPr>
          <w:rStyle w:val="a"/>
          <w:rFonts w:ascii="Arial" w:hAnsi="Arial" w:cs="Arial"/>
          <w:color w:val="231F20"/>
          <w:sz w:val="24"/>
          <w:szCs w:val="24"/>
        </w:rPr>
      </w:pPr>
      <w:proofErr w:type="spellStart"/>
      <w:r w:rsidRPr="00445F48">
        <w:rPr>
          <w:rStyle w:val="a"/>
          <w:rFonts w:ascii="Arial" w:hAnsi="Arial" w:cs="Arial"/>
          <w:color w:val="231F20"/>
          <w:sz w:val="24"/>
          <w:szCs w:val="24"/>
        </w:rPr>
        <w:t>Maqueira</w:t>
      </w:r>
      <w:proofErr w:type="spellEnd"/>
      <w:r w:rsidRPr="00445F48">
        <w:rPr>
          <w:rStyle w:val="a"/>
          <w:rFonts w:ascii="Arial" w:hAnsi="Arial" w:cs="Arial"/>
          <w:color w:val="231F20"/>
          <w:sz w:val="24"/>
          <w:szCs w:val="24"/>
        </w:rPr>
        <w:t xml:space="preserve">-López, Lázaro A. et al. </w:t>
      </w:r>
      <w:r w:rsidRPr="00FF22A0">
        <w:rPr>
          <w:rStyle w:val="a"/>
          <w:rFonts w:ascii="Arial" w:hAnsi="Arial" w:cs="Arial"/>
          <w:color w:val="231F20"/>
          <w:sz w:val="24"/>
          <w:szCs w:val="24"/>
          <w:lang w:val="en-US"/>
        </w:rPr>
        <w:t xml:space="preserve">Behavior of growth and agricultural yield of two sorghum varieties (Sorghum bicolor L. </w:t>
      </w:r>
      <w:proofErr w:type="spellStart"/>
      <w:r w:rsidRPr="00FF22A0">
        <w:rPr>
          <w:rStyle w:val="a"/>
          <w:rFonts w:ascii="Arial" w:hAnsi="Arial" w:cs="Arial"/>
          <w:color w:val="231F20"/>
          <w:sz w:val="24"/>
          <w:szCs w:val="24"/>
          <w:lang w:val="en-US"/>
        </w:rPr>
        <w:t>Moenc</w:t>
      </w:r>
      <w:r w:rsidRPr="00A07EE2">
        <w:rPr>
          <w:rStyle w:val="a"/>
          <w:rFonts w:ascii="Arial" w:hAnsi="Arial" w:cs="Arial"/>
          <w:color w:val="231F20"/>
          <w:sz w:val="24"/>
          <w:szCs w:val="24"/>
          <w:lang w:val="en-US"/>
        </w:rPr>
        <w:t>h</w:t>
      </w:r>
      <w:proofErr w:type="spellEnd"/>
      <w:r w:rsidRPr="00A07EE2">
        <w:rPr>
          <w:rStyle w:val="a"/>
          <w:rFonts w:ascii="Arial" w:hAnsi="Arial" w:cs="Arial"/>
          <w:color w:val="231F20"/>
          <w:sz w:val="24"/>
          <w:szCs w:val="24"/>
          <w:lang w:val="en-US"/>
        </w:rPr>
        <w:t xml:space="preserve">) in the dry season in Los Palacios town. </w:t>
      </w:r>
      <w:r w:rsidR="00530FCB" w:rsidRPr="0042001C">
        <w:rPr>
          <w:rFonts w:ascii="Arial" w:hAnsi="Arial" w:cs="Arial"/>
          <w:i/>
          <w:iCs/>
          <w:sz w:val="24"/>
          <w:szCs w:val="24"/>
        </w:rPr>
        <w:t>Cultivos Tropicales</w:t>
      </w:r>
      <w:r w:rsidRPr="00530FCB">
        <w:rPr>
          <w:rStyle w:val="a"/>
          <w:rFonts w:ascii="Arial" w:hAnsi="Arial" w:cs="Arial"/>
          <w:color w:val="231F20"/>
          <w:sz w:val="24"/>
          <w:szCs w:val="24"/>
        </w:rPr>
        <w:t xml:space="preserve">. </w:t>
      </w:r>
      <w:r w:rsidR="00530FCB" w:rsidRPr="00445F48">
        <w:rPr>
          <w:rStyle w:val="a"/>
          <w:rFonts w:ascii="Arial" w:hAnsi="Arial" w:cs="Arial"/>
          <w:color w:val="231F20"/>
          <w:sz w:val="24"/>
          <w:szCs w:val="24"/>
        </w:rPr>
        <w:t>vol.</w:t>
      </w:r>
      <w:r w:rsidR="001D2B3B">
        <w:rPr>
          <w:rStyle w:val="a"/>
          <w:rFonts w:ascii="Arial" w:hAnsi="Arial" w:cs="Arial"/>
          <w:color w:val="231F20"/>
          <w:sz w:val="24"/>
          <w:szCs w:val="24"/>
        </w:rPr>
        <w:t xml:space="preserve"> </w:t>
      </w:r>
      <w:r w:rsidR="00530FCB" w:rsidRPr="00445F48">
        <w:rPr>
          <w:rStyle w:val="a"/>
          <w:rFonts w:ascii="Arial" w:hAnsi="Arial" w:cs="Arial"/>
          <w:color w:val="231F20"/>
          <w:sz w:val="24"/>
          <w:szCs w:val="24"/>
        </w:rPr>
        <w:t>37, n.</w:t>
      </w:r>
      <w:r w:rsidR="001D2B3B">
        <w:rPr>
          <w:rStyle w:val="a"/>
          <w:rFonts w:ascii="Arial" w:hAnsi="Arial" w:cs="Arial"/>
          <w:color w:val="231F20"/>
          <w:sz w:val="24"/>
          <w:szCs w:val="24"/>
        </w:rPr>
        <w:t xml:space="preserve"> </w:t>
      </w:r>
      <w:r w:rsidR="00530FCB" w:rsidRPr="00445F48">
        <w:rPr>
          <w:rStyle w:val="a"/>
          <w:rFonts w:ascii="Arial" w:hAnsi="Arial" w:cs="Arial"/>
          <w:color w:val="231F20"/>
          <w:sz w:val="24"/>
          <w:szCs w:val="24"/>
        </w:rPr>
        <w:t>3</w:t>
      </w:r>
      <w:r w:rsidR="00530FCB">
        <w:rPr>
          <w:rStyle w:val="a"/>
          <w:rFonts w:ascii="Arial" w:hAnsi="Arial" w:cs="Arial"/>
          <w:color w:val="231F20"/>
          <w:sz w:val="24"/>
          <w:szCs w:val="24"/>
        </w:rPr>
        <w:t>, pp. 103-108,</w:t>
      </w:r>
      <w:r w:rsidRPr="00445F48">
        <w:rPr>
          <w:rStyle w:val="a"/>
          <w:rFonts w:ascii="Arial" w:hAnsi="Arial" w:cs="Arial"/>
          <w:color w:val="231F20"/>
          <w:sz w:val="24"/>
          <w:szCs w:val="24"/>
        </w:rPr>
        <w:t xml:space="preserve"> </w:t>
      </w:r>
      <w:r w:rsidR="00530FCB" w:rsidRPr="00445F48">
        <w:rPr>
          <w:rStyle w:val="a"/>
          <w:rFonts w:ascii="Arial" w:hAnsi="Arial" w:cs="Arial"/>
          <w:color w:val="231F20"/>
          <w:sz w:val="24"/>
          <w:szCs w:val="24"/>
        </w:rPr>
        <w:t>2016,</w:t>
      </w:r>
      <w:r w:rsidR="00530FCB">
        <w:rPr>
          <w:rStyle w:val="a"/>
          <w:rFonts w:ascii="Arial" w:hAnsi="Arial" w:cs="Arial"/>
          <w:color w:val="231F20"/>
          <w:sz w:val="24"/>
          <w:szCs w:val="24"/>
        </w:rPr>
        <w:t xml:space="preserve"> </w:t>
      </w:r>
      <w:r w:rsidR="00530FCB" w:rsidRPr="0042001C">
        <w:rPr>
          <w:rFonts w:ascii="Arial" w:hAnsi="Arial" w:cs="Arial"/>
          <w:sz w:val="24"/>
          <w:szCs w:val="24"/>
        </w:rPr>
        <w:t>ISSN: 0258-5936</w:t>
      </w:r>
      <w:r w:rsidR="00530FCB">
        <w:rPr>
          <w:rFonts w:ascii="Arial" w:hAnsi="Arial" w:cs="Arial"/>
          <w:sz w:val="24"/>
          <w:szCs w:val="24"/>
        </w:rPr>
        <w:t>.</w:t>
      </w:r>
    </w:p>
    <w:p w:rsidR="001A7A97" w:rsidRDefault="001A7A97" w:rsidP="007C7B79">
      <w:pPr>
        <w:pStyle w:val="Prrafodelista"/>
        <w:widowControl w:val="0"/>
        <w:numPr>
          <w:ilvl w:val="0"/>
          <w:numId w:val="4"/>
        </w:numPr>
        <w:autoSpaceDE w:val="0"/>
        <w:autoSpaceDN w:val="0"/>
        <w:adjustRightInd w:val="0"/>
        <w:spacing w:after="0" w:line="360" w:lineRule="auto"/>
        <w:ind w:left="426"/>
        <w:jc w:val="both"/>
        <w:rPr>
          <w:rFonts w:ascii="Arial" w:hAnsi="Arial" w:cs="Arial"/>
          <w:sz w:val="24"/>
          <w:szCs w:val="24"/>
        </w:rPr>
      </w:pPr>
      <w:r w:rsidRPr="0042001C">
        <w:rPr>
          <w:rFonts w:ascii="Arial" w:hAnsi="Arial" w:cs="Arial"/>
          <w:sz w:val="24"/>
          <w:szCs w:val="24"/>
        </w:rPr>
        <w:t>Jerez, E.  y  Martin, R.</w:t>
      </w:r>
      <w:r w:rsidRPr="0042001C">
        <w:rPr>
          <w:rStyle w:val="article-title"/>
          <w:rFonts w:ascii="Arial" w:hAnsi="Arial" w:cs="Arial"/>
          <w:sz w:val="24"/>
          <w:szCs w:val="24"/>
        </w:rPr>
        <w:t xml:space="preserve"> Comportamiento del crecimiento y el rendimiento de la variedad de papa (</w:t>
      </w:r>
      <w:proofErr w:type="spellStart"/>
      <w:r w:rsidRPr="0042001C">
        <w:rPr>
          <w:rStyle w:val="article-title"/>
          <w:rFonts w:ascii="Arial" w:hAnsi="Arial" w:cs="Arial"/>
          <w:sz w:val="24"/>
          <w:szCs w:val="24"/>
        </w:rPr>
        <w:t>Solanum</w:t>
      </w:r>
      <w:proofErr w:type="spellEnd"/>
      <w:r w:rsidRPr="0042001C">
        <w:rPr>
          <w:rStyle w:val="article-title"/>
          <w:rFonts w:ascii="Arial" w:hAnsi="Arial" w:cs="Arial"/>
          <w:sz w:val="24"/>
          <w:szCs w:val="24"/>
        </w:rPr>
        <w:t xml:space="preserve"> </w:t>
      </w:r>
      <w:proofErr w:type="spellStart"/>
      <w:r w:rsidRPr="0042001C">
        <w:rPr>
          <w:rStyle w:val="article-title"/>
          <w:rFonts w:ascii="Arial" w:hAnsi="Arial" w:cs="Arial"/>
          <w:sz w:val="24"/>
          <w:szCs w:val="24"/>
        </w:rPr>
        <w:t>tuberosum</w:t>
      </w:r>
      <w:proofErr w:type="spellEnd"/>
      <w:r w:rsidRPr="0042001C">
        <w:rPr>
          <w:rStyle w:val="article-title"/>
          <w:rFonts w:ascii="Arial" w:hAnsi="Arial" w:cs="Arial"/>
          <w:sz w:val="24"/>
          <w:szCs w:val="24"/>
        </w:rPr>
        <w:t xml:space="preserve"> L.) </w:t>
      </w:r>
      <w:proofErr w:type="spellStart"/>
      <w:r w:rsidRPr="0042001C">
        <w:rPr>
          <w:rStyle w:val="article-title"/>
          <w:rFonts w:ascii="Arial" w:hAnsi="Arial" w:cs="Arial"/>
          <w:sz w:val="24"/>
          <w:szCs w:val="24"/>
        </w:rPr>
        <w:t>Spunta</w:t>
      </w:r>
      <w:proofErr w:type="spellEnd"/>
      <w:r w:rsidRPr="0042001C">
        <w:rPr>
          <w:rStyle w:val="article-title"/>
          <w:rFonts w:ascii="Arial" w:hAnsi="Arial" w:cs="Arial"/>
          <w:sz w:val="24"/>
          <w:szCs w:val="24"/>
        </w:rPr>
        <w:t>.</w:t>
      </w:r>
      <w:r w:rsidRPr="0042001C">
        <w:rPr>
          <w:rFonts w:ascii="Arial" w:hAnsi="Arial" w:cs="Arial"/>
          <w:i/>
          <w:iCs/>
          <w:sz w:val="24"/>
          <w:szCs w:val="24"/>
        </w:rPr>
        <w:t xml:space="preserve"> Cultivos Tropicales</w:t>
      </w:r>
      <w:r w:rsidRPr="0042001C">
        <w:rPr>
          <w:rFonts w:ascii="Arial" w:hAnsi="Arial" w:cs="Arial"/>
          <w:sz w:val="24"/>
          <w:szCs w:val="24"/>
        </w:rPr>
        <w:t>. vol.</w:t>
      </w:r>
      <w:r w:rsidR="001D2B3B">
        <w:rPr>
          <w:rFonts w:ascii="Arial" w:hAnsi="Arial" w:cs="Arial"/>
          <w:sz w:val="24"/>
          <w:szCs w:val="24"/>
        </w:rPr>
        <w:t xml:space="preserve"> </w:t>
      </w:r>
      <w:r w:rsidRPr="0042001C">
        <w:rPr>
          <w:rFonts w:ascii="Arial" w:hAnsi="Arial" w:cs="Arial"/>
          <w:sz w:val="24"/>
          <w:szCs w:val="24"/>
        </w:rPr>
        <w:t>33, n.</w:t>
      </w:r>
      <w:r w:rsidR="001D2B3B">
        <w:rPr>
          <w:rFonts w:ascii="Arial" w:hAnsi="Arial" w:cs="Arial"/>
          <w:sz w:val="24"/>
          <w:szCs w:val="24"/>
        </w:rPr>
        <w:t xml:space="preserve"> </w:t>
      </w:r>
      <w:r w:rsidRPr="0042001C">
        <w:rPr>
          <w:rFonts w:ascii="Arial" w:hAnsi="Arial" w:cs="Arial"/>
          <w:sz w:val="24"/>
          <w:szCs w:val="24"/>
        </w:rPr>
        <w:t>4, pp. 53-58, 2012, ISSN: 0258-5936.</w:t>
      </w:r>
    </w:p>
    <w:p w:rsidR="00EC1B6F" w:rsidRPr="00EC1B6F" w:rsidRDefault="00EC1B6F" w:rsidP="00EC1B6F">
      <w:pPr>
        <w:pStyle w:val="Prrafodelista"/>
        <w:widowControl w:val="0"/>
        <w:numPr>
          <w:ilvl w:val="0"/>
          <w:numId w:val="4"/>
        </w:numPr>
        <w:autoSpaceDE w:val="0"/>
        <w:autoSpaceDN w:val="0"/>
        <w:adjustRightInd w:val="0"/>
        <w:spacing w:after="0" w:line="360" w:lineRule="auto"/>
        <w:ind w:left="426"/>
        <w:jc w:val="both"/>
        <w:rPr>
          <w:rFonts w:ascii="Arial" w:hAnsi="Arial" w:cs="Arial"/>
          <w:sz w:val="24"/>
          <w:szCs w:val="24"/>
        </w:rPr>
      </w:pPr>
      <w:r w:rsidRPr="0042001C">
        <w:rPr>
          <w:rFonts w:ascii="Arial" w:hAnsi="Arial" w:cs="Arial"/>
          <w:sz w:val="24"/>
          <w:szCs w:val="24"/>
        </w:rPr>
        <w:lastRenderedPageBreak/>
        <w:t xml:space="preserve">Díaz, E.; Morales, E. J.; Franco, O. y Domínguez, A. Atenuación de luz, radiación interceptada y rendimiento de maíz en función del fósforo. </w:t>
      </w:r>
      <w:r w:rsidRPr="0042001C">
        <w:rPr>
          <w:rFonts w:ascii="Arial" w:hAnsi="Arial" w:cs="Arial"/>
          <w:i/>
          <w:sz w:val="24"/>
          <w:szCs w:val="24"/>
        </w:rPr>
        <w:t>Terra Latinoamericana</w:t>
      </w:r>
      <w:r w:rsidRPr="0042001C">
        <w:rPr>
          <w:rFonts w:ascii="Arial" w:hAnsi="Arial" w:cs="Arial"/>
          <w:sz w:val="24"/>
          <w:szCs w:val="24"/>
        </w:rPr>
        <w:t>, vol. 29, no.1, p</w:t>
      </w:r>
      <w:r w:rsidR="001D2B3B">
        <w:rPr>
          <w:rFonts w:ascii="Arial" w:hAnsi="Arial" w:cs="Arial"/>
          <w:sz w:val="24"/>
          <w:szCs w:val="24"/>
        </w:rPr>
        <w:t>p</w:t>
      </w:r>
      <w:r w:rsidRPr="0042001C">
        <w:rPr>
          <w:rFonts w:ascii="Arial" w:hAnsi="Arial" w:cs="Arial"/>
          <w:sz w:val="24"/>
          <w:szCs w:val="24"/>
        </w:rPr>
        <w:t xml:space="preserve">. 65-72, 2010, ISSN: </w:t>
      </w:r>
      <w:r w:rsidRPr="0042001C">
        <w:rPr>
          <w:rStyle w:val="st"/>
          <w:rFonts w:ascii="Arial" w:hAnsi="Arial" w:cs="Arial"/>
          <w:sz w:val="24"/>
          <w:szCs w:val="24"/>
        </w:rPr>
        <w:t>2395-8030.</w:t>
      </w:r>
    </w:p>
    <w:p w:rsidR="001A7A97" w:rsidRPr="0042001C" w:rsidRDefault="001A7A97" w:rsidP="007C7B79">
      <w:pPr>
        <w:pStyle w:val="Prrafodelista"/>
        <w:widowControl w:val="0"/>
        <w:numPr>
          <w:ilvl w:val="0"/>
          <w:numId w:val="4"/>
        </w:numPr>
        <w:autoSpaceDE w:val="0"/>
        <w:autoSpaceDN w:val="0"/>
        <w:adjustRightInd w:val="0"/>
        <w:spacing w:after="0" w:line="360" w:lineRule="auto"/>
        <w:ind w:left="426"/>
        <w:jc w:val="both"/>
        <w:rPr>
          <w:rFonts w:ascii="Arial" w:hAnsi="Arial" w:cs="Arial"/>
          <w:sz w:val="24"/>
          <w:szCs w:val="24"/>
          <w:lang w:val="en-US"/>
        </w:rPr>
      </w:pPr>
      <w:r w:rsidRPr="0042001C">
        <w:rPr>
          <w:rFonts w:ascii="Arial" w:hAnsi="Arial" w:cs="Arial"/>
          <w:sz w:val="24"/>
          <w:szCs w:val="24"/>
          <w:lang w:val="en-US"/>
        </w:rPr>
        <w:t xml:space="preserve">Fajardo, D.; Haynes, K.G.; y </w:t>
      </w:r>
      <w:proofErr w:type="spellStart"/>
      <w:r w:rsidRPr="0042001C">
        <w:rPr>
          <w:rFonts w:ascii="Arial" w:hAnsi="Arial" w:cs="Arial"/>
          <w:sz w:val="24"/>
          <w:szCs w:val="24"/>
          <w:lang w:val="en-US"/>
        </w:rPr>
        <w:t>Jansky</w:t>
      </w:r>
      <w:proofErr w:type="spellEnd"/>
      <w:r w:rsidRPr="0042001C">
        <w:rPr>
          <w:rFonts w:ascii="Arial" w:hAnsi="Arial" w:cs="Arial"/>
          <w:sz w:val="24"/>
          <w:szCs w:val="24"/>
          <w:lang w:val="en-US"/>
        </w:rPr>
        <w:t xml:space="preserve">, S. ‘‘Starch Characteristics of Modern and Heirloom Potato Cultivars’’, </w:t>
      </w:r>
      <w:r w:rsidRPr="0042001C">
        <w:rPr>
          <w:rStyle w:val="nfasis"/>
          <w:rFonts w:ascii="Arial" w:hAnsi="Arial" w:cs="Arial"/>
          <w:sz w:val="24"/>
          <w:szCs w:val="24"/>
          <w:lang w:val="en-US"/>
        </w:rPr>
        <w:t>American Journal of Potato Research</w:t>
      </w:r>
      <w:r w:rsidRPr="0042001C">
        <w:rPr>
          <w:rFonts w:ascii="Arial" w:hAnsi="Arial" w:cs="Arial"/>
          <w:sz w:val="24"/>
          <w:szCs w:val="24"/>
          <w:lang w:val="en-US"/>
        </w:rPr>
        <w:t xml:space="preserve">, vol. 90, no. 5, pp. 460-469, </w:t>
      </w:r>
      <w:r w:rsidR="001D2B3B" w:rsidRPr="0042001C">
        <w:rPr>
          <w:rFonts w:ascii="Arial" w:hAnsi="Arial" w:cs="Arial"/>
          <w:sz w:val="24"/>
          <w:szCs w:val="24"/>
          <w:lang w:val="en-US"/>
        </w:rPr>
        <w:t xml:space="preserve">2013, </w:t>
      </w:r>
      <w:r w:rsidRPr="0042001C">
        <w:rPr>
          <w:rFonts w:ascii="Arial" w:hAnsi="Arial" w:cs="Arial"/>
          <w:sz w:val="24"/>
          <w:szCs w:val="24"/>
          <w:lang w:val="en-US"/>
        </w:rPr>
        <w:t>ISSN: 1099-209X, 1874-9380, DOI 10.1007/s12230-013-9320-5.</w:t>
      </w:r>
    </w:p>
    <w:p w:rsidR="001A7A97" w:rsidRPr="0042001C" w:rsidRDefault="001A7A97" w:rsidP="007C7B79">
      <w:pPr>
        <w:pStyle w:val="Prrafodelista"/>
        <w:widowControl w:val="0"/>
        <w:numPr>
          <w:ilvl w:val="0"/>
          <w:numId w:val="4"/>
        </w:numPr>
        <w:autoSpaceDE w:val="0"/>
        <w:autoSpaceDN w:val="0"/>
        <w:adjustRightInd w:val="0"/>
        <w:spacing w:after="0" w:line="360" w:lineRule="auto"/>
        <w:ind w:left="426"/>
        <w:jc w:val="both"/>
        <w:rPr>
          <w:rFonts w:ascii="Arial" w:hAnsi="Arial" w:cs="Arial"/>
          <w:sz w:val="24"/>
          <w:szCs w:val="24"/>
          <w:lang w:val="en-US"/>
        </w:rPr>
      </w:pPr>
      <w:proofErr w:type="spellStart"/>
      <w:r w:rsidRPr="0042001C">
        <w:rPr>
          <w:rFonts w:ascii="Arial" w:hAnsi="Arial" w:cs="Arial"/>
          <w:sz w:val="24"/>
          <w:szCs w:val="24"/>
          <w:lang w:val="en-US"/>
        </w:rPr>
        <w:t>Molahlehi</w:t>
      </w:r>
      <w:proofErr w:type="spellEnd"/>
      <w:r w:rsidRPr="0042001C">
        <w:rPr>
          <w:rFonts w:ascii="Arial" w:hAnsi="Arial" w:cs="Arial"/>
          <w:sz w:val="24"/>
          <w:szCs w:val="24"/>
          <w:lang w:val="en-US"/>
        </w:rPr>
        <w:t xml:space="preserve">, L.; Steyn, J.M. y </w:t>
      </w:r>
      <w:proofErr w:type="spellStart"/>
      <w:r w:rsidRPr="0042001C">
        <w:rPr>
          <w:rFonts w:ascii="Arial" w:hAnsi="Arial" w:cs="Arial"/>
          <w:sz w:val="24"/>
          <w:szCs w:val="24"/>
          <w:lang w:val="en-US"/>
        </w:rPr>
        <w:t>Haverkort</w:t>
      </w:r>
      <w:proofErr w:type="spellEnd"/>
      <w:r w:rsidRPr="0042001C">
        <w:rPr>
          <w:rFonts w:ascii="Arial" w:hAnsi="Arial" w:cs="Arial"/>
          <w:sz w:val="24"/>
          <w:szCs w:val="24"/>
          <w:lang w:val="en-US"/>
        </w:rPr>
        <w:t>, A.J. ‘‘Potato Crop Response to Genotype and Environment in a Subtropical Highland Agro-ecology,</w:t>
      </w:r>
      <w:r w:rsidRPr="0042001C">
        <w:rPr>
          <w:rFonts w:ascii="Arial" w:hAnsi="Arial" w:cs="Arial"/>
          <w:i/>
          <w:iCs/>
          <w:sz w:val="24"/>
          <w:szCs w:val="24"/>
          <w:lang w:val="en-US"/>
        </w:rPr>
        <w:t xml:space="preserve"> Potato Research</w:t>
      </w:r>
      <w:r w:rsidR="001D2B3B">
        <w:rPr>
          <w:rFonts w:ascii="Arial" w:hAnsi="Arial" w:cs="Arial"/>
          <w:sz w:val="24"/>
          <w:szCs w:val="24"/>
          <w:lang w:val="en-US"/>
        </w:rPr>
        <w:t xml:space="preserve">, vol. 56, no. 3, 6, </w:t>
      </w:r>
      <w:r w:rsidRPr="0042001C">
        <w:rPr>
          <w:rFonts w:ascii="Arial" w:hAnsi="Arial" w:cs="Arial"/>
          <w:sz w:val="24"/>
          <w:szCs w:val="24"/>
          <w:lang w:val="en-US"/>
        </w:rPr>
        <w:t xml:space="preserve">pp. 237-258, </w:t>
      </w:r>
      <w:r w:rsidR="001D2B3B" w:rsidRPr="0042001C">
        <w:rPr>
          <w:rFonts w:ascii="Arial" w:hAnsi="Arial" w:cs="Arial"/>
          <w:sz w:val="24"/>
          <w:szCs w:val="24"/>
          <w:lang w:val="en-US"/>
        </w:rPr>
        <w:t>2013,</w:t>
      </w:r>
      <w:r w:rsidR="001D2B3B">
        <w:rPr>
          <w:rFonts w:ascii="Arial" w:hAnsi="Arial" w:cs="Arial"/>
          <w:sz w:val="24"/>
          <w:szCs w:val="24"/>
          <w:lang w:val="en-US"/>
        </w:rPr>
        <w:t xml:space="preserve"> </w:t>
      </w:r>
      <w:r w:rsidRPr="0042001C">
        <w:rPr>
          <w:rFonts w:ascii="Arial" w:hAnsi="Arial" w:cs="Arial"/>
          <w:sz w:val="24"/>
          <w:szCs w:val="24"/>
          <w:lang w:val="en-US"/>
        </w:rPr>
        <w:t>ISSN 0014-3065, 1871-4528, DOI 10.1007/s11540-013-9241-1.</w:t>
      </w:r>
    </w:p>
    <w:p w:rsidR="001A7A97" w:rsidRPr="0042001C" w:rsidRDefault="001A7A97" w:rsidP="007C7B79">
      <w:pPr>
        <w:pStyle w:val="Prrafodelista"/>
        <w:widowControl w:val="0"/>
        <w:numPr>
          <w:ilvl w:val="0"/>
          <w:numId w:val="4"/>
        </w:numPr>
        <w:autoSpaceDE w:val="0"/>
        <w:autoSpaceDN w:val="0"/>
        <w:adjustRightInd w:val="0"/>
        <w:spacing w:after="0" w:line="360" w:lineRule="auto"/>
        <w:ind w:left="426"/>
        <w:jc w:val="both"/>
        <w:rPr>
          <w:rFonts w:ascii="Arial" w:hAnsi="Arial" w:cs="Arial"/>
          <w:sz w:val="24"/>
          <w:szCs w:val="24"/>
        </w:rPr>
      </w:pPr>
      <w:r w:rsidRPr="0042001C">
        <w:rPr>
          <w:rFonts w:ascii="Arial" w:hAnsi="Arial" w:cs="Arial"/>
          <w:sz w:val="24"/>
          <w:szCs w:val="24"/>
        </w:rPr>
        <w:t xml:space="preserve">Morales, E. J.; Guerrero, Mario.; Díaz, E.; Cruz, A. J.; Medina, N.; Morales, E. J. Tasa de asimilación neta y rendimiento de girasol en función de urea y urea de liberación lenta </w:t>
      </w:r>
      <w:proofErr w:type="spellStart"/>
      <w:r w:rsidRPr="0042001C">
        <w:rPr>
          <w:rFonts w:ascii="Arial" w:hAnsi="Arial" w:cs="Arial"/>
          <w:i/>
          <w:sz w:val="24"/>
          <w:szCs w:val="24"/>
        </w:rPr>
        <w:t>Agrociencia</w:t>
      </w:r>
      <w:proofErr w:type="spellEnd"/>
      <w:r w:rsidRPr="0042001C">
        <w:rPr>
          <w:rFonts w:ascii="Arial" w:hAnsi="Arial" w:cs="Arial"/>
          <w:sz w:val="24"/>
          <w:szCs w:val="24"/>
        </w:rPr>
        <w:t>, vol. 49, n. 2, pp. 163-176, 2015, ISSN: 1405-3195.</w:t>
      </w:r>
    </w:p>
    <w:p w:rsidR="001A7A97" w:rsidRPr="0042001C" w:rsidRDefault="001A7A97" w:rsidP="007C7B79">
      <w:pPr>
        <w:pStyle w:val="Prrafodelista"/>
        <w:widowControl w:val="0"/>
        <w:numPr>
          <w:ilvl w:val="0"/>
          <w:numId w:val="4"/>
        </w:numPr>
        <w:autoSpaceDE w:val="0"/>
        <w:autoSpaceDN w:val="0"/>
        <w:adjustRightInd w:val="0"/>
        <w:spacing w:after="0" w:line="360" w:lineRule="auto"/>
        <w:ind w:left="426"/>
        <w:jc w:val="both"/>
        <w:rPr>
          <w:rFonts w:ascii="Arial" w:hAnsi="Arial" w:cs="Arial"/>
          <w:sz w:val="24"/>
          <w:szCs w:val="24"/>
        </w:rPr>
      </w:pPr>
      <w:proofErr w:type="spellStart"/>
      <w:r w:rsidRPr="0042001C">
        <w:rPr>
          <w:rFonts w:ascii="Arial" w:hAnsi="Arial" w:cs="Arial"/>
          <w:sz w:val="24"/>
          <w:szCs w:val="24"/>
        </w:rPr>
        <w:t>Fortes</w:t>
      </w:r>
      <w:proofErr w:type="spellEnd"/>
      <w:r w:rsidRPr="0042001C">
        <w:rPr>
          <w:rFonts w:ascii="Arial" w:hAnsi="Arial" w:cs="Arial"/>
          <w:sz w:val="24"/>
          <w:szCs w:val="24"/>
        </w:rPr>
        <w:t xml:space="preserve">, D.; Herrera, R.S.; García, M.; Cruz, A. M.; y Romero, A. Análisis del crecimiento del </w:t>
      </w:r>
      <w:proofErr w:type="spellStart"/>
      <w:r w:rsidRPr="0042001C">
        <w:rPr>
          <w:rFonts w:ascii="Arial" w:hAnsi="Arial" w:cs="Arial"/>
          <w:sz w:val="24"/>
          <w:szCs w:val="24"/>
        </w:rPr>
        <w:t>Pennisetum</w:t>
      </w:r>
      <w:proofErr w:type="spellEnd"/>
      <w:r w:rsidRPr="0042001C">
        <w:rPr>
          <w:rFonts w:ascii="Arial" w:hAnsi="Arial" w:cs="Arial"/>
          <w:sz w:val="24"/>
          <w:szCs w:val="24"/>
        </w:rPr>
        <w:t xml:space="preserve"> </w:t>
      </w:r>
      <w:proofErr w:type="spellStart"/>
      <w:r w:rsidRPr="0042001C">
        <w:rPr>
          <w:rFonts w:ascii="Arial" w:hAnsi="Arial" w:cs="Arial"/>
          <w:sz w:val="24"/>
          <w:szCs w:val="24"/>
        </w:rPr>
        <w:t>purpureum</w:t>
      </w:r>
      <w:proofErr w:type="spellEnd"/>
      <w:r w:rsidRPr="0042001C">
        <w:rPr>
          <w:rFonts w:ascii="Arial" w:hAnsi="Arial" w:cs="Arial"/>
          <w:sz w:val="24"/>
          <w:szCs w:val="24"/>
        </w:rPr>
        <w:t xml:space="preserve"> </w:t>
      </w:r>
      <w:proofErr w:type="spellStart"/>
      <w:r w:rsidRPr="0042001C">
        <w:rPr>
          <w:rFonts w:ascii="Arial" w:hAnsi="Arial" w:cs="Arial"/>
          <w:sz w:val="24"/>
          <w:szCs w:val="24"/>
        </w:rPr>
        <w:t>vc</w:t>
      </w:r>
      <w:proofErr w:type="spellEnd"/>
      <w:r w:rsidRPr="0042001C">
        <w:rPr>
          <w:rFonts w:ascii="Arial" w:hAnsi="Arial" w:cs="Arial"/>
          <w:sz w:val="24"/>
          <w:szCs w:val="24"/>
        </w:rPr>
        <w:t xml:space="preserve">. Cuba CT-115 en la tecnología de banco de biomasa. </w:t>
      </w:r>
      <w:r w:rsidRPr="0042001C">
        <w:rPr>
          <w:rFonts w:ascii="Arial" w:hAnsi="Arial" w:cs="Arial"/>
          <w:i/>
          <w:sz w:val="24"/>
          <w:szCs w:val="24"/>
        </w:rPr>
        <w:t>Revista Cubana de Ciencia Agrícola</w:t>
      </w:r>
      <w:r w:rsidR="001D2B3B">
        <w:rPr>
          <w:rFonts w:ascii="Arial" w:hAnsi="Arial" w:cs="Arial"/>
          <w:sz w:val="24"/>
          <w:szCs w:val="24"/>
        </w:rPr>
        <w:t>, vol. 48, n. 2, 2014,</w:t>
      </w:r>
      <w:r w:rsidRPr="0042001C">
        <w:rPr>
          <w:rFonts w:ascii="Arial" w:hAnsi="Arial" w:cs="Arial"/>
          <w:sz w:val="24"/>
          <w:szCs w:val="24"/>
        </w:rPr>
        <w:t xml:space="preserve"> ISSN: 2079-3472.</w:t>
      </w:r>
    </w:p>
    <w:p w:rsidR="001A7A97" w:rsidRPr="0042001C" w:rsidRDefault="001A7A97" w:rsidP="007C7B79">
      <w:pPr>
        <w:pStyle w:val="Prrafodelista"/>
        <w:widowControl w:val="0"/>
        <w:numPr>
          <w:ilvl w:val="0"/>
          <w:numId w:val="4"/>
        </w:numPr>
        <w:autoSpaceDE w:val="0"/>
        <w:autoSpaceDN w:val="0"/>
        <w:adjustRightInd w:val="0"/>
        <w:spacing w:after="0" w:line="360" w:lineRule="auto"/>
        <w:ind w:left="426"/>
        <w:jc w:val="both"/>
        <w:rPr>
          <w:rFonts w:ascii="Arial" w:hAnsi="Arial" w:cs="Arial"/>
          <w:sz w:val="24"/>
          <w:szCs w:val="24"/>
        </w:rPr>
      </w:pPr>
      <w:r w:rsidRPr="0042001C">
        <w:rPr>
          <w:rFonts w:ascii="Arial" w:hAnsi="Arial" w:cs="Arial"/>
          <w:sz w:val="24"/>
          <w:szCs w:val="24"/>
        </w:rPr>
        <w:t xml:space="preserve">Barrera, J., Suárez, D. &amp; Melgarejo, L.M. 2010. </w:t>
      </w:r>
      <w:r w:rsidRPr="0042001C">
        <w:rPr>
          <w:rFonts w:ascii="Arial" w:hAnsi="Arial" w:cs="Arial"/>
          <w:sz w:val="24"/>
          <w:szCs w:val="24"/>
          <w:lang w:val="en-US"/>
        </w:rPr>
        <w:t xml:space="preserve">Plant Growth Analysis. En: Experiments in plant Physiology. </w:t>
      </w:r>
      <w:proofErr w:type="spellStart"/>
      <w:r w:rsidRPr="0042001C">
        <w:rPr>
          <w:rFonts w:ascii="Arial" w:hAnsi="Arial" w:cs="Arial"/>
          <w:sz w:val="24"/>
          <w:szCs w:val="24"/>
        </w:rPr>
        <w:t>Edition</w:t>
      </w:r>
      <w:proofErr w:type="spellEnd"/>
      <w:r w:rsidRPr="0042001C">
        <w:rPr>
          <w:rFonts w:ascii="Arial" w:hAnsi="Arial" w:cs="Arial"/>
          <w:sz w:val="24"/>
          <w:szCs w:val="24"/>
        </w:rPr>
        <w:t xml:space="preserve"> </w:t>
      </w:r>
      <w:proofErr w:type="spellStart"/>
      <w:r w:rsidRPr="0042001C">
        <w:rPr>
          <w:rFonts w:ascii="Arial" w:hAnsi="Arial" w:cs="Arial"/>
          <w:sz w:val="24"/>
          <w:szCs w:val="24"/>
        </w:rPr>
        <w:t>First</w:t>
      </w:r>
      <w:proofErr w:type="spellEnd"/>
      <w:r w:rsidRPr="0042001C">
        <w:rPr>
          <w:rFonts w:ascii="Arial" w:hAnsi="Arial" w:cs="Arial"/>
          <w:sz w:val="24"/>
          <w:szCs w:val="24"/>
        </w:rPr>
        <w:t xml:space="preserve">, </w:t>
      </w:r>
      <w:proofErr w:type="spellStart"/>
      <w:r w:rsidRPr="0042001C">
        <w:rPr>
          <w:rFonts w:ascii="Arial" w:hAnsi="Arial" w:cs="Arial"/>
          <w:sz w:val="24"/>
          <w:szCs w:val="24"/>
        </w:rPr>
        <w:t>Chapter</w:t>
      </w:r>
      <w:proofErr w:type="spellEnd"/>
      <w:r w:rsidRPr="0042001C">
        <w:rPr>
          <w:rFonts w:ascii="Arial" w:hAnsi="Arial" w:cs="Arial"/>
          <w:sz w:val="24"/>
          <w:szCs w:val="24"/>
        </w:rPr>
        <w:t xml:space="preserve"> 2, Publisher: Universidad Nacional de Colombia, </w:t>
      </w:r>
      <w:proofErr w:type="spellStart"/>
      <w:r w:rsidRPr="0042001C">
        <w:rPr>
          <w:rFonts w:ascii="Arial" w:hAnsi="Arial" w:cs="Arial"/>
          <w:sz w:val="24"/>
          <w:szCs w:val="24"/>
        </w:rPr>
        <w:t>Editors</w:t>
      </w:r>
      <w:proofErr w:type="spellEnd"/>
      <w:r w:rsidRPr="0042001C">
        <w:rPr>
          <w:rFonts w:ascii="Arial" w:hAnsi="Arial" w:cs="Arial"/>
          <w:sz w:val="24"/>
          <w:szCs w:val="24"/>
        </w:rPr>
        <w:t>: Luz Marina Melgarejo. Pp. 25-38.</w:t>
      </w:r>
    </w:p>
    <w:p w:rsidR="001A7A97" w:rsidRPr="0042001C" w:rsidRDefault="001A7A97" w:rsidP="007C7B79">
      <w:pPr>
        <w:pStyle w:val="Prrafodelista"/>
        <w:widowControl w:val="0"/>
        <w:numPr>
          <w:ilvl w:val="0"/>
          <w:numId w:val="4"/>
        </w:numPr>
        <w:autoSpaceDE w:val="0"/>
        <w:autoSpaceDN w:val="0"/>
        <w:adjustRightInd w:val="0"/>
        <w:spacing w:after="0" w:line="360" w:lineRule="auto"/>
        <w:ind w:left="426"/>
        <w:jc w:val="both"/>
        <w:rPr>
          <w:rFonts w:ascii="Arial" w:hAnsi="Arial" w:cs="Arial"/>
          <w:sz w:val="24"/>
          <w:szCs w:val="24"/>
        </w:rPr>
      </w:pPr>
      <w:r w:rsidRPr="0042001C">
        <w:rPr>
          <w:rFonts w:ascii="Arial" w:hAnsi="Arial" w:cs="Arial"/>
          <w:sz w:val="24"/>
          <w:szCs w:val="24"/>
        </w:rPr>
        <w:t xml:space="preserve">Yescas, P. /et al. /. Fuentes de nitrógeno en el crecimiento y producción de biomasa en maíz. </w:t>
      </w:r>
      <w:r w:rsidRPr="0042001C">
        <w:rPr>
          <w:rFonts w:ascii="Arial" w:hAnsi="Arial" w:cs="Arial"/>
          <w:i/>
          <w:sz w:val="24"/>
          <w:szCs w:val="24"/>
        </w:rPr>
        <w:t>Revista Mexicana de Ciencias Agrícolas</w:t>
      </w:r>
      <w:r w:rsidRPr="0042001C">
        <w:rPr>
          <w:rFonts w:ascii="Arial" w:hAnsi="Arial" w:cs="Arial"/>
          <w:sz w:val="24"/>
          <w:szCs w:val="24"/>
        </w:rPr>
        <w:t>, vol. 7, n. 1, pp. 185-194, 2016, ISSN: 2007-0934.</w:t>
      </w:r>
    </w:p>
    <w:p w:rsidR="001A7A97" w:rsidRPr="0042001C" w:rsidRDefault="001A7A97" w:rsidP="007C7B79">
      <w:pPr>
        <w:pStyle w:val="Prrafodelista"/>
        <w:widowControl w:val="0"/>
        <w:numPr>
          <w:ilvl w:val="0"/>
          <w:numId w:val="4"/>
        </w:numPr>
        <w:autoSpaceDE w:val="0"/>
        <w:autoSpaceDN w:val="0"/>
        <w:adjustRightInd w:val="0"/>
        <w:spacing w:after="0" w:line="360" w:lineRule="auto"/>
        <w:ind w:left="426"/>
        <w:jc w:val="both"/>
        <w:rPr>
          <w:rFonts w:ascii="Arial" w:hAnsi="Arial" w:cs="Arial"/>
          <w:sz w:val="24"/>
          <w:szCs w:val="24"/>
        </w:rPr>
      </w:pPr>
      <w:r w:rsidRPr="0042001C">
        <w:rPr>
          <w:rFonts w:ascii="Arial" w:hAnsi="Arial" w:cs="Arial"/>
          <w:sz w:val="24"/>
          <w:szCs w:val="24"/>
        </w:rPr>
        <w:t xml:space="preserve">Páez, A.; Paz, V. y López, J. Crecimiento y respuestas fisiológicas de plantas de tomate cv. ‘Río Grande’. </w:t>
      </w:r>
      <w:r w:rsidRPr="0042001C">
        <w:rPr>
          <w:rFonts w:ascii="Arial" w:hAnsi="Arial" w:cs="Arial"/>
          <w:i/>
          <w:sz w:val="24"/>
          <w:szCs w:val="24"/>
        </w:rPr>
        <w:t>Revista Facultad Agronomía (LUZ)</w:t>
      </w:r>
      <w:r w:rsidRPr="0042001C">
        <w:rPr>
          <w:rFonts w:ascii="Arial" w:hAnsi="Arial" w:cs="Arial"/>
          <w:sz w:val="24"/>
          <w:szCs w:val="24"/>
        </w:rPr>
        <w:t xml:space="preserve">, vol. 17, no. 2, pp. 173-184, 2000, </w:t>
      </w:r>
      <w:r w:rsidRPr="0042001C">
        <w:rPr>
          <w:rFonts w:ascii="Arial" w:hAnsi="Arial" w:cs="Arial"/>
          <w:iCs/>
          <w:sz w:val="24"/>
          <w:szCs w:val="24"/>
        </w:rPr>
        <w:t>ISSN</w:t>
      </w:r>
      <w:r w:rsidRPr="0042001C">
        <w:rPr>
          <w:rFonts w:ascii="Arial" w:hAnsi="Arial" w:cs="Arial"/>
          <w:sz w:val="24"/>
          <w:szCs w:val="24"/>
        </w:rPr>
        <w:t>: 0378-7818</w:t>
      </w:r>
    </w:p>
    <w:p w:rsidR="00A07EE2" w:rsidRDefault="00A07EE2" w:rsidP="007C7B79">
      <w:pPr>
        <w:pStyle w:val="Prrafodelista"/>
        <w:widowControl w:val="0"/>
        <w:numPr>
          <w:ilvl w:val="0"/>
          <w:numId w:val="4"/>
        </w:numPr>
        <w:autoSpaceDE w:val="0"/>
        <w:autoSpaceDN w:val="0"/>
        <w:adjustRightInd w:val="0"/>
        <w:spacing w:after="0" w:line="360" w:lineRule="auto"/>
        <w:ind w:left="426"/>
        <w:jc w:val="both"/>
        <w:rPr>
          <w:rFonts w:ascii="Arial" w:hAnsi="Arial" w:cs="Arial"/>
          <w:sz w:val="24"/>
          <w:szCs w:val="24"/>
        </w:rPr>
      </w:pPr>
      <w:r w:rsidRPr="0042001C">
        <w:rPr>
          <w:rFonts w:ascii="Arial" w:hAnsi="Arial" w:cs="Arial"/>
          <w:sz w:val="24"/>
          <w:szCs w:val="24"/>
        </w:rPr>
        <w:t xml:space="preserve">Flores, L. R.; Sánchez, C. F.; Rodríguez, J. E.; Mora, A. R.; Colinas M. T., y </w:t>
      </w:r>
      <w:proofErr w:type="spellStart"/>
      <w:r w:rsidRPr="0042001C">
        <w:rPr>
          <w:rFonts w:ascii="Arial" w:hAnsi="Arial" w:cs="Arial"/>
          <w:sz w:val="24"/>
          <w:szCs w:val="24"/>
        </w:rPr>
        <w:t>Lozaya</w:t>
      </w:r>
      <w:proofErr w:type="spellEnd"/>
      <w:r w:rsidRPr="0042001C">
        <w:rPr>
          <w:rFonts w:ascii="Arial" w:hAnsi="Arial" w:cs="Arial"/>
          <w:sz w:val="24"/>
          <w:szCs w:val="24"/>
        </w:rPr>
        <w:t xml:space="preserve">. S. H. Influencia de la radiación solar en la producción de semilla — tubérculo de papa bajo cultivo sin suelo. </w:t>
      </w:r>
      <w:r w:rsidRPr="0042001C">
        <w:rPr>
          <w:rFonts w:ascii="Arial" w:hAnsi="Arial" w:cs="Arial"/>
          <w:i/>
          <w:sz w:val="24"/>
          <w:szCs w:val="24"/>
        </w:rPr>
        <w:t xml:space="preserve">Revista Chapingo Serie </w:t>
      </w:r>
      <w:r w:rsidRPr="00A07EE2">
        <w:rPr>
          <w:rFonts w:ascii="Arial" w:hAnsi="Arial" w:cs="Arial"/>
          <w:i/>
          <w:sz w:val="24"/>
          <w:szCs w:val="24"/>
        </w:rPr>
        <w:t>Horticultura</w:t>
      </w:r>
      <w:r w:rsidRPr="00A07EE2">
        <w:rPr>
          <w:rFonts w:ascii="Arial" w:hAnsi="Arial" w:cs="Arial"/>
          <w:sz w:val="24"/>
          <w:szCs w:val="24"/>
        </w:rPr>
        <w:t xml:space="preserve">, vol. 15, n. 1, pp. 25–30, 2009, </w:t>
      </w:r>
      <w:r w:rsidRPr="0042001C">
        <w:rPr>
          <w:rFonts w:ascii="Arial" w:hAnsi="Arial" w:cs="Arial"/>
          <w:sz w:val="24"/>
          <w:szCs w:val="24"/>
        </w:rPr>
        <w:t>ISSN: 2007-4034.</w:t>
      </w:r>
    </w:p>
    <w:p w:rsidR="00A07EE2" w:rsidRDefault="00A07EE2" w:rsidP="00A07EE2">
      <w:pPr>
        <w:pStyle w:val="Prrafodelista"/>
        <w:widowControl w:val="0"/>
        <w:numPr>
          <w:ilvl w:val="0"/>
          <w:numId w:val="4"/>
        </w:numPr>
        <w:autoSpaceDE w:val="0"/>
        <w:autoSpaceDN w:val="0"/>
        <w:adjustRightInd w:val="0"/>
        <w:spacing w:after="0" w:line="360" w:lineRule="auto"/>
        <w:ind w:left="426"/>
        <w:jc w:val="both"/>
        <w:rPr>
          <w:rFonts w:ascii="Arial" w:hAnsi="Arial" w:cs="Arial"/>
          <w:sz w:val="24"/>
          <w:szCs w:val="24"/>
        </w:rPr>
      </w:pPr>
      <w:r w:rsidRPr="007C7B79">
        <w:rPr>
          <w:rFonts w:ascii="Arial" w:eastAsiaTheme="minorHAnsi" w:hAnsi="Arial" w:cs="Arial"/>
          <w:sz w:val="24"/>
          <w:szCs w:val="24"/>
          <w:lang w:val="en-US"/>
        </w:rPr>
        <w:t xml:space="preserve">Fortes, D. </w:t>
      </w:r>
      <w:r w:rsidRPr="007C7B79">
        <w:rPr>
          <w:rFonts w:ascii="Arial" w:hAnsi="Arial" w:cs="Arial"/>
          <w:sz w:val="24"/>
          <w:szCs w:val="24"/>
          <w:lang w:val="en-US"/>
        </w:rPr>
        <w:t xml:space="preserve">/et al. /. </w:t>
      </w:r>
      <w:proofErr w:type="spellStart"/>
      <w:r w:rsidRPr="00A07EE2">
        <w:rPr>
          <w:rFonts w:ascii="Arial" w:eastAsia="Times New Roman" w:hAnsi="Arial" w:cs="Arial"/>
          <w:sz w:val="24"/>
          <w:szCs w:val="24"/>
          <w:lang w:val="en-US" w:eastAsia="es-ES"/>
        </w:rPr>
        <w:t>Pennisetum</w:t>
      </w:r>
      <w:proofErr w:type="spellEnd"/>
      <w:r w:rsidRPr="00A07EE2">
        <w:rPr>
          <w:rFonts w:ascii="Arial" w:eastAsia="Times New Roman" w:hAnsi="Arial" w:cs="Arial"/>
          <w:sz w:val="24"/>
          <w:szCs w:val="24"/>
          <w:lang w:val="en-US" w:eastAsia="es-ES"/>
        </w:rPr>
        <w:t xml:space="preserve"> purpureum </w:t>
      </w:r>
      <w:proofErr w:type="spellStart"/>
      <w:r w:rsidRPr="00A07EE2">
        <w:rPr>
          <w:rFonts w:ascii="Arial" w:eastAsia="Times New Roman" w:hAnsi="Arial" w:cs="Arial"/>
          <w:sz w:val="24"/>
          <w:szCs w:val="24"/>
          <w:lang w:val="en-US" w:eastAsia="es-ES"/>
        </w:rPr>
        <w:t>vc</w:t>
      </w:r>
      <w:proofErr w:type="spellEnd"/>
      <w:r w:rsidRPr="00A07EE2">
        <w:rPr>
          <w:rFonts w:ascii="Arial" w:eastAsia="Times New Roman" w:hAnsi="Arial" w:cs="Arial"/>
          <w:sz w:val="24"/>
          <w:szCs w:val="24"/>
          <w:lang w:val="en-US" w:eastAsia="es-ES"/>
        </w:rPr>
        <w:t xml:space="preserve">. </w:t>
      </w:r>
      <w:r w:rsidRPr="007C7B79">
        <w:rPr>
          <w:rFonts w:ascii="Arial" w:eastAsia="Times New Roman" w:hAnsi="Arial" w:cs="Arial"/>
          <w:sz w:val="24"/>
          <w:szCs w:val="24"/>
          <w:lang w:eastAsia="es-ES"/>
        </w:rPr>
        <w:t xml:space="preserve">Cuba CT-115 utilizado como </w:t>
      </w:r>
      <w:r w:rsidRPr="007C7B79">
        <w:rPr>
          <w:rFonts w:ascii="Arial" w:eastAsia="Times New Roman" w:hAnsi="Arial" w:cs="Arial"/>
          <w:sz w:val="24"/>
          <w:szCs w:val="24"/>
          <w:lang w:eastAsia="es-ES"/>
        </w:rPr>
        <w:lastRenderedPageBreak/>
        <w:t xml:space="preserve">banco de biomasa. Indicadores </w:t>
      </w:r>
      <w:proofErr w:type="spellStart"/>
      <w:r w:rsidRPr="007C7B79">
        <w:rPr>
          <w:rFonts w:ascii="Arial" w:eastAsia="Times New Roman" w:hAnsi="Arial" w:cs="Arial"/>
          <w:sz w:val="24"/>
          <w:szCs w:val="24"/>
          <w:lang w:eastAsia="es-ES"/>
        </w:rPr>
        <w:t>morfofisiológicos</w:t>
      </w:r>
      <w:proofErr w:type="spellEnd"/>
      <w:r w:rsidRPr="007C7B79">
        <w:rPr>
          <w:rFonts w:ascii="Arial" w:eastAsia="Times New Roman" w:hAnsi="Arial" w:cs="Arial"/>
          <w:sz w:val="24"/>
          <w:szCs w:val="24"/>
          <w:lang w:eastAsia="es-ES"/>
        </w:rPr>
        <w:t xml:space="preserve">. </w:t>
      </w:r>
      <w:r w:rsidRPr="007C7B79">
        <w:rPr>
          <w:rFonts w:ascii="Arial" w:eastAsiaTheme="minorHAnsi" w:hAnsi="Arial" w:cs="Arial"/>
          <w:sz w:val="24"/>
          <w:szCs w:val="24"/>
        </w:rPr>
        <w:t xml:space="preserve">Cuban </w:t>
      </w:r>
      <w:proofErr w:type="spellStart"/>
      <w:r w:rsidRPr="007C7B79">
        <w:rPr>
          <w:rFonts w:ascii="Arial" w:eastAsiaTheme="minorHAnsi" w:hAnsi="Arial" w:cs="Arial"/>
          <w:sz w:val="24"/>
          <w:szCs w:val="24"/>
        </w:rPr>
        <w:t>Journ</w:t>
      </w:r>
      <w:r w:rsidR="001D2B3B">
        <w:rPr>
          <w:rFonts w:ascii="Arial" w:eastAsiaTheme="minorHAnsi" w:hAnsi="Arial" w:cs="Arial"/>
          <w:sz w:val="24"/>
          <w:szCs w:val="24"/>
        </w:rPr>
        <w:t>al</w:t>
      </w:r>
      <w:proofErr w:type="spellEnd"/>
      <w:r w:rsidR="001D2B3B">
        <w:rPr>
          <w:rFonts w:ascii="Arial" w:eastAsiaTheme="minorHAnsi" w:hAnsi="Arial" w:cs="Arial"/>
          <w:sz w:val="24"/>
          <w:szCs w:val="24"/>
        </w:rPr>
        <w:t xml:space="preserve"> of </w:t>
      </w:r>
      <w:proofErr w:type="spellStart"/>
      <w:r w:rsidR="001D2B3B">
        <w:rPr>
          <w:rFonts w:ascii="Arial" w:eastAsiaTheme="minorHAnsi" w:hAnsi="Arial" w:cs="Arial"/>
          <w:sz w:val="24"/>
          <w:szCs w:val="24"/>
        </w:rPr>
        <w:t>Agricultural</w:t>
      </w:r>
      <w:proofErr w:type="spellEnd"/>
      <w:r w:rsidR="001D2B3B">
        <w:rPr>
          <w:rFonts w:ascii="Arial" w:eastAsiaTheme="minorHAnsi" w:hAnsi="Arial" w:cs="Arial"/>
          <w:sz w:val="24"/>
          <w:szCs w:val="24"/>
        </w:rPr>
        <w:t xml:space="preserve"> </w:t>
      </w:r>
      <w:proofErr w:type="spellStart"/>
      <w:r w:rsidR="001D2B3B">
        <w:rPr>
          <w:rFonts w:ascii="Arial" w:eastAsiaTheme="minorHAnsi" w:hAnsi="Arial" w:cs="Arial"/>
          <w:sz w:val="24"/>
          <w:szCs w:val="24"/>
        </w:rPr>
        <w:t>Science</w:t>
      </w:r>
      <w:proofErr w:type="spellEnd"/>
      <w:r w:rsidR="001D2B3B">
        <w:rPr>
          <w:rFonts w:ascii="Arial" w:eastAsiaTheme="minorHAnsi" w:hAnsi="Arial" w:cs="Arial"/>
          <w:sz w:val="24"/>
          <w:szCs w:val="24"/>
        </w:rPr>
        <w:t xml:space="preserve">, vol. </w:t>
      </w:r>
      <w:r w:rsidRPr="007C7B79">
        <w:rPr>
          <w:rFonts w:ascii="Arial" w:eastAsiaTheme="minorHAnsi" w:hAnsi="Arial" w:cs="Arial"/>
          <w:sz w:val="24"/>
          <w:szCs w:val="24"/>
        </w:rPr>
        <w:t xml:space="preserve">49, n. 4, pp. 221-227, 2015, </w:t>
      </w:r>
      <w:r w:rsidRPr="007C7B79">
        <w:rPr>
          <w:rFonts w:ascii="Arial" w:hAnsi="Arial" w:cs="Arial"/>
          <w:iCs/>
          <w:sz w:val="24"/>
          <w:szCs w:val="24"/>
        </w:rPr>
        <w:t>ISSN</w:t>
      </w:r>
      <w:r w:rsidRPr="007C7B79">
        <w:rPr>
          <w:rFonts w:ascii="Arial" w:hAnsi="Arial" w:cs="Arial"/>
          <w:sz w:val="24"/>
          <w:szCs w:val="24"/>
        </w:rPr>
        <w:t>. 2079-3480.</w:t>
      </w:r>
    </w:p>
    <w:p w:rsidR="005A7BA1" w:rsidRDefault="00AB382E" w:rsidP="005A7BA1">
      <w:pPr>
        <w:pStyle w:val="Prrafodelista"/>
        <w:widowControl w:val="0"/>
        <w:numPr>
          <w:ilvl w:val="0"/>
          <w:numId w:val="4"/>
        </w:numPr>
        <w:autoSpaceDE w:val="0"/>
        <w:autoSpaceDN w:val="0"/>
        <w:adjustRightInd w:val="0"/>
        <w:spacing w:after="0" w:line="360" w:lineRule="auto"/>
        <w:ind w:left="426"/>
        <w:jc w:val="both"/>
        <w:rPr>
          <w:rFonts w:ascii="Arial" w:hAnsi="Arial" w:cs="Arial"/>
          <w:sz w:val="24"/>
          <w:szCs w:val="24"/>
        </w:rPr>
      </w:pPr>
      <w:r w:rsidRPr="007C7B79">
        <w:rPr>
          <w:rFonts w:ascii="Arial" w:hAnsi="Arial" w:cs="Arial"/>
          <w:sz w:val="24"/>
          <w:szCs w:val="24"/>
        </w:rPr>
        <w:t xml:space="preserve">Cabrera, A.; Terán, Z.; Soto, F. y </w:t>
      </w:r>
      <w:proofErr w:type="spellStart"/>
      <w:r w:rsidRPr="007C7B79">
        <w:rPr>
          <w:rFonts w:ascii="Arial" w:hAnsi="Arial" w:cs="Arial"/>
          <w:sz w:val="24"/>
          <w:szCs w:val="24"/>
        </w:rPr>
        <w:t>Bertolí</w:t>
      </w:r>
      <w:proofErr w:type="spellEnd"/>
      <w:r w:rsidRPr="007C7B79">
        <w:rPr>
          <w:rFonts w:ascii="Arial" w:hAnsi="Arial" w:cs="Arial"/>
          <w:sz w:val="24"/>
          <w:szCs w:val="24"/>
        </w:rPr>
        <w:t>, M. Época de plantación de la Jamaica en Cuba. En: (Gómez, J. F. Coordinador General): 2009. Avances científicos y tecnológicos de la cadena productiva del cultivo de la Jamaica. Primera edición. México 224 p.</w:t>
      </w:r>
    </w:p>
    <w:p w:rsidR="005A7BA1" w:rsidRDefault="001A3BCF" w:rsidP="005A7BA1">
      <w:pPr>
        <w:pStyle w:val="Prrafodelista"/>
        <w:widowControl w:val="0"/>
        <w:numPr>
          <w:ilvl w:val="0"/>
          <w:numId w:val="4"/>
        </w:numPr>
        <w:autoSpaceDE w:val="0"/>
        <w:autoSpaceDN w:val="0"/>
        <w:adjustRightInd w:val="0"/>
        <w:spacing w:after="0" w:line="360" w:lineRule="auto"/>
        <w:ind w:left="426"/>
        <w:jc w:val="both"/>
        <w:rPr>
          <w:rFonts w:ascii="Arial" w:hAnsi="Arial" w:cs="Arial"/>
          <w:sz w:val="24"/>
          <w:szCs w:val="24"/>
        </w:rPr>
      </w:pPr>
      <w:r w:rsidRPr="005A7BA1">
        <w:rPr>
          <w:rFonts w:ascii="Arial" w:hAnsi="Arial" w:cs="Arial"/>
          <w:sz w:val="24"/>
          <w:szCs w:val="24"/>
        </w:rPr>
        <w:t>Orozco, J.A. /et al</w:t>
      </w:r>
      <w:r w:rsidR="006F0806" w:rsidRPr="005A7BA1">
        <w:rPr>
          <w:rFonts w:ascii="Arial" w:hAnsi="Arial" w:cs="Arial"/>
          <w:sz w:val="24"/>
          <w:szCs w:val="24"/>
        </w:rPr>
        <w:t xml:space="preserve">. </w:t>
      </w:r>
      <w:r w:rsidRPr="005A7BA1">
        <w:rPr>
          <w:rFonts w:ascii="Arial" w:hAnsi="Arial" w:cs="Arial"/>
          <w:sz w:val="24"/>
          <w:szCs w:val="24"/>
        </w:rPr>
        <w:t>/</w:t>
      </w:r>
      <w:r w:rsidR="006F0806" w:rsidRPr="005A7BA1">
        <w:rPr>
          <w:rFonts w:ascii="Arial" w:hAnsi="Arial" w:cs="Arial"/>
          <w:sz w:val="24"/>
          <w:szCs w:val="24"/>
        </w:rPr>
        <w:t xml:space="preserve">. </w:t>
      </w:r>
      <w:r w:rsidR="00AB382E" w:rsidRPr="005A7BA1">
        <w:rPr>
          <w:rFonts w:ascii="Arial" w:hAnsi="Arial" w:cs="Arial"/>
          <w:sz w:val="24"/>
          <w:szCs w:val="24"/>
        </w:rPr>
        <w:t>Fuentes de nitrógeno en el crecimiento y producción de biomasa en maíz</w:t>
      </w:r>
      <w:r w:rsidR="006F0806" w:rsidRPr="005A7BA1">
        <w:rPr>
          <w:rFonts w:ascii="Arial" w:hAnsi="Arial" w:cs="Arial"/>
          <w:sz w:val="24"/>
          <w:szCs w:val="24"/>
        </w:rPr>
        <w:t>.</w:t>
      </w:r>
      <w:r w:rsidR="006F0806" w:rsidRPr="006F0806">
        <w:t xml:space="preserve"> </w:t>
      </w:r>
      <w:r w:rsidR="006F0806" w:rsidRPr="005A7BA1">
        <w:rPr>
          <w:rFonts w:ascii="Times New Roman" w:eastAsiaTheme="minorHAnsi" w:hAnsi="Times New Roman"/>
          <w:sz w:val="24"/>
          <w:szCs w:val="24"/>
        </w:rPr>
        <w:t xml:space="preserve"> </w:t>
      </w:r>
      <w:r w:rsidR="006F0806" w:rsidRPr="005A7BA1">
        <w:rPr>
          <w:rFonts w:ascii="Arial" w:hAnsi="Arial" w:cs="Arial"/>
          <w:i/>
          <w:sz w:val="24"/>
          <w:szCs w:val="24"/>
        </w:rPr>
        <w:t>Revista Mexicana de Ciencias Agrícolas</w:t>
      </w:r>
      <w:r w:rsidR="006F0806" w:rsidRPr="005A7BA1">
        <w:rPr>
          <w:rFonts w:ascii="Arial" w:hAnsi="Arial" w:cs="Arial"/>
          <w:sz w:val="24"/>
          <w:szCs w:val="24"/>
        </w:rPr>
        <w:t>, vol. 7, n. 1, pp. 185-194, 2016, ISSN: 2007-9230.</w:t>
      </w:r>
      <w:r w:rsidR="005A7BA1" w:rsidRPr="005A7BA1">
        <w:rPr>
          <w:rFonts w:ascii="Arial" w:hAnsi="Arial" w:cs="Arial"/>
          <w:sz w:val="24"/>
          <w:szCs w:val="24"/>
        </w:rPr>
        <w:t xml:space="preserve"> </w:t>
      </w:r>
    </w:p>
    <w:p w:rsidR="005A7BA1" w:rsidRPr="005A7BA1" w:rsidRDefault="005A7BA1" w:rsidP="005A7BA1">
      <w:pPr>
        <w:pStyle w:val="Prrafodelista"/>
        <w:widowControl w:val="0"/>
        <w:numPr>
          <w:ilvl w:val="0"/>
          <w:numId w:val="4"/>
        </w:numPr>
        <w:autoSpaceDE w:val="0"/>
        <w:autoSpaceDN w:val="0"/>
        <w:adjustRightInd w:val="0"/>
        <w:spacing w:after="0" w:line="360" w:lineRule="auto"/>
        <w:ind w:left="426"/>
        <w:jc w:val="both"/>
        <w:rPr>
          <w:rFonts w:ascii="Arial" w:hAnsi="Arial" w:cs="Arial"/>
          <w:sz w:val="24"/>
          <w:szCs w:val="24"/>
        </w:rPr>
      </w:pPr>
      <w:proofErr w:type="spellStart"/>
      <w:r w:rsidRPr="005A7BA1">
        <w:rPr>
          <w:rFonts w:ascii="Arial" w:hAnsi="Arial" w:cs="Arial"/>
          <w:sz w:val="24"/>
          <w:szCs w:val="24"/>
        </w:rPr>
        <w:t>Bagheri</w:t>
      </w:r>
      <w:proofErr w:type="spellEnd"/>
      <w:r w:rsidRPr="005A7BA1">
        <w:rPr>
          <w:rFonts w:ascii="Arial" w:hAnsi="Arial" w:cs="Arial"/>
          <w:sz w:val="24"/>
          <w:szCs w:val="24"/>
        </w:rPr>
        <w:t xml:space="preserve">, A. y M. </w:t>
      </w:r>
      <w:proofErr w:type="spellStart"/>
      <w:r w:rsidRPr="005A7BA1">
        <w:rPr>
          <w:rFonts w:ascii="Arial" w:hAnsi="Arial" w:cs="Arial"/>
          <w:sz w:val="24"/>
          <w:szCs w:val="24"/>
        </w:rPr>
        <w:t>Hasanvandi</w:t>
      </w:r>
      <w:proofErr w:type="spellEnd"/>
      <w:r w:rsidRPr="005A7BA1">
        <w:rPr>
          <w:rFonts w:ascii="Arial" w:hAnsi="Arial" w:cs="Arial"/>
          <w:sz w:val="24"/>
          <w:szCs w:val="24"/>
        </w:rPr>
        <w:t xml:space="preserve">. </w:t>
      </w:r>
      <w:r w:rsidRPr="005A7BA1">
        <w:rPr>
          <w:rFonts w:ascii="Arial" w:hAnsi="Arial" w:cs="Arial"/>
          <w:sz w:val="24"/>
          <w:szCs w:val="24"/>
          <w:lang w:val="en-US"/>
        </w:rPr>
        <w:t xml:space="preserve">Analysis of Safflower leaf growth indices using regression modeling. </w:t>
      </w:r>
      <w:proofErr w:type="spellStart"/>
      <w:r w:rsidRPr="001D2B3B">
        <w:rPr>
          <w:rFonts w:ascii="Arial" w:hAnsi="Arial" w:cs="Arial"/>
          <w:i/>
          <w:sz w:val="24"/>
          <w:szCs w:val="24"/>
        </w:rPr>
        <w:t>Journal</w:t>
      </w:r>
      <w:proofErr w:type="spellEnd"/>
      <w:r w:rsidRPr="001D2B3B">
        <w:rPr>
          <w:rFonts w:ascii="Arial" w:hAnsi="Arial" w:cs="Arial"/>
          <w:i/>
          <w:sz w:val="24"/>
          <w:szCs w:val="24"/>
        </w:rPr>
        <w:t xml:space="preserve"> </w:t>
      </w:r>
      <w:proofErr w:type="spellStart"/>
      <w:r w:rsidRPr="001D2B3B">
        <w:rPr>
          <w:rFonts w:ascii="Arial" w:hAnsi="Arial" w:cs="Arial"/>
          <w:i/>
          <w:sz w:val="24"/>
          <w:szCs w:val="24"/>
        </w:rPr>
        <w:t>Agriculture</w:t>
      </w:r>
      <w:proofErr w:type="spellEnd"/>
      <w:r w:rsidRPr="001D2B3B">
        <w:rPr>
          <w:rFonts w:ascii="Arial" w:hAnsi="Arial" w:cs="Arial"/>
          <w:i/>
          <w:sz w:val="24"/>
          <w:szCs w:val="24"/>
        </w:rPr>
        <w:t xml:space="preserve"> </w:t>
      </w:r>
      <w:proofErr w:type="spellStart"/>
      <w:r w:rsidRPr="001D2B3B">
        <w:rPr>
          <w:rFonts w:ascii="Arial" w:hAnsi="Arial" w:cs="Arial"/>
          <w:i/>
          <w:sz w:val="24"/>
          <w:szCs w:val="24"/>
        </w:rPr>
        <w:t>Crop</w:t>
      </w:r>
      <w:proofErr w:type="spellEnd"/>
      <w:r w:rsidRPr="001D2B3B">
        <w:rPr>
          <w:rFonts w:ascii="Arial" w:hAnsi="Arial" w:cs="Arial"/>
          <w:i/>
          <w:sz w:val="24"/>
          <w:szCs w:val="24"/>
        </w:rPr>
        <w:t xml:space="preserve"> </w:t>
      </w:r>
      <w:proofErr w:type="spellStart"/>
      <w:r w:rsidRPr="001D2B3B">
        <w:rPr>
          <w:rFonts w:ascii="Arial" w:hAnsi="Arial" w:cs="Arial"/>
          <w:i/>
          <w:sz w:val="24"/>
          <w:szCs w:val="24"/>
        </w:rPr>
        <w:t>Sciences</w:t>
      </w:r>
      <w:proofErr w:type="spellEnd"/>
      <w:r w:rsidRPr="001D2B3B">
        <w:rPr>
          <w:rFonts w:ascii="Arial" w:hAnsi="Arial" w:cs="Arial"/>
          <w:sz w:val="24"/>
          <w:szCs w:val="24"/>
        </w:rPr>
        <w:t>. vol. 5</w:t>
      </w:r>
      <w:r w:rsidR="001D2B3B">
        <w:rPr>
          <w:rFonts w:ascii="Arial" w:hAnsi="Arial" w:cs="Arial"/>
          <w:sz w:val="24"/>
          <w:szCs w:val="24"/>
        </w:rPr>
        <w:t>,</w:t>
      </w:r>
      <w:r w:rsidRPr="001D2B3B">
        <w:rPr>
          <w:rFonts w:ascii="Arial" w:hAnsi="Arial" w:cs="Arial"/>
          <w:sz w:val="24"/>
          <w:szCs w:val="24"/>
        </w:rPr>
        <w:t xml:space="preserve"> n. 22, pp. 2752-2760, 2013, ISSN 2227-670X</w:t>
      </w:r>
    </w:p>
    <w:p w:rsidR="005A7BA1" w:rsidRDefault="005A7BA1" w:rsidP="005A7BA1">
      <w:pPr>
        <w:pStyle w:val="Prrafodelista"/>
        <w:widowControl w:val="0"/>
        <w:numPr>
          <w:ilvl w:val="0"/>
          <w:numId w:val="4"/>
        </w:numPr>
        <w:autoSpaceDE w:val="0"/>
        <w:autoSpaceDN w:val="0"/>
        <w:adjustRightInd w:val="0"/>
        <w:spacing w:after="0" w:line="360" w:lineRule="auto"/>
        <w:ind w:left="426"/>
        <w:jc w:val="both"/>
        <w:rPr>
          <w:rFonts w:ascii="Arial" w:hAnsi="Arial" w:cs="Arial"/>
          <w:sz w:val="24"/>
          <w:szCs w:val="24"/>
        </w:rPr>
      </w:pPr>
      <w:proofErr w:type="spellStart"/>
      <w:r w:rsidRPr="007C7B79">
        <w:rPr>
          <w:rFonts w:ascii="Arial" w:hAnsi="Arial" w:cs="Arial"/>
          <w:sz w:val="24"/>
          <w:szCs w:val="24"/>
        </w:rPr>
        <w:t>Ramirez-Seanez</w:t>
      </w:r>
      <w:proofErr w:type="spellEnd"/>
      <w:r w:rsidRPr="007C7B79">
        <w:rPr>
          <w:rFonts w:ascii="Arial" w:hAnsi="Arial" w:cs="Arial"/>
          <w:sz w:val="24"/>
          <w:szCs w:val="24"/>
        </w:rPr>
        <w:t>, A. R. /et al. /.</w:t>
      </w:r>
      <w:r w:rsidRPr="007C7B79">
        <w:rPr>
          <w:rStyle w:val="article-title"/>
          <w:rFonts w:ascii="Arial" w:hAnsi="Arial" w:cs="Arial"/>
          <w:sz w:val="24"/>
          <w:szCs w:val="24"/>
        </w:rPr>
        <w:t xml:space="preserve"> Producción de biomasa de algodón en surcos ultra-estrechos y densidad poblacional.</w:t>
      </w:r>
      <w:r w:rsidRPr="007C7B79">
        <w:rPr>
          <w:rFonts w:ascii="Arial" w:hAnsi="Arial" w:cs="Arial"/>
          <w:i/>
          <w:iCs/>
          <w:sz w:val="24"/>
          <w:szCs w:val="24"/>
        </w:rPr>
        <w:t xml:space="preserve"> Agronomía. Mesoamericana</w:t>
      </w:r>
      <w:r w:rsidRPr="007C7B79">
        <w:rPr>
          <w:rFonts w:ascii="Arial" w:hAnsi="Arial" w:cs="Arial"/>
          <w:sz w:val="24"/>
          <w:szCs w:val="24"/>
        </w:rPr>
        <w:t>, vol. 23, n. 2, pp. 259-267, 2012, ISSN 1021-7444.</w:t>
      </w:r>
    </w:p>
    <w:p w:rsidR="00AB382E" w:rsidRPr="001B5284" w:rsidRDefault="00EB73DC" w:rsidP="006F0806">
      <w:pPr>
        <w:pStyle w:val="Prrafodelista"/>
        <w:widowControl w:val="0"/>
        <w:numPr>
          <w:ilvl w:val="0"/>
          <w:numId w:val="4"/>
        </w:numPr>
        <w:autoSpaceDE w:val="0"/>
        <w:autoSpaceDN w:val="0"/>
        <w:adjustRightInd w:val="0"/>
        <w:spacing w:after="0" w:line="360" w:lineRule="auto"/>
        <w:ind w:left="426"/>
        <w:jc w:val="both"/>
        <w:rPr>
          <w:rFonts w:ascii="Arial" w:hAnsi="Arial" w:cs="Arial"/>
          <w:i/>
          <w:sz w:val="24"/>
          <w:szCs w:val="24"/>
        </w:rPr>
      </w:pPr>
      <w:r>
        <w:rPr>
          <w:rFonts w:ascii="Arial" w:hAnsi="Arial" w:cs="Arial"/>
          <w:sz w:val="24"/>
          <w:szCs w:val="24"/>
        </w:rPr>
        <w:t xml:space="preserve">Gaytán, A., Palomo, A. y Godoy, S. Eficiencia en la producción y distribución de biomasa en variedades precoces de algodón. </w:t>
      </w:r>
      <w:r>
        <w:rPr>
          <w:rFonts w:ascii="Arial" w:hAnsi="Arial" w:cs="Arial"/>
          <w:i/>
          <w:sz w:val="24"/>
          <w:szCs w:val="24"/>
        </w:rPr>
        <w:t xml:space="preserve">Revista Fitotecnia Mexicana, </w:t>
      </w:r>
      <w:r>
        <w:rPr>
          <w:rFonts w:ascii="Arial" w:hAnsi="Arial" w:cs="Arial"/>
          <w:sz w:val="24"/>
          <w:szCs w:val="24"/>
        </w:rPr>
        <w:t>vo</w:t>
      </w:r>
      <w:r w:rsidR="001D2B3B">
        <w:rPr>
          <w:rFonts w:ascii="Arial" w:hAnsi="Arial" w:cs="Arial"/>
          <w:sz w:val="24"/>
          <w:szCs w:val="24"/>
        </w:rPr>
        <w:t>l. 24, n. 2, pp. 197- 202, 2001,</w:t>
      </w:r>
      <w:r>
        <w:rPr>
          <w:rFonts w:ascii="Arial" w:hAnsi="Arial" w:cs="Arial"/>
          <w:sz w:val="24"/>
          <w:szCs w:val="24"/>
        </w:rPr>
        <w:t xml:space="preserve"> ISSN. </w:t>
      </w:r>
      <w:r w:rsidRPr="00EB73DC">
        <w:rPr>
          <w:rFonts w:ascii="Arial" w:hAnsi="Arial" w:cs="Arial"/>
          <w:sz w:val="24"/>
          <w:szCs w:val="24"/>
        </w:rPr>
        <w:t>0187-7380</w:t>
      </w:r>
      <w:r>
        <w:rPr>
          <w:rFonts w:ascii="Arial" w:hAnsi="Arial" w:cs="Arial"/>
          <w:sz w:val="24"/>
          <w:szCs w:val="24"/>
        </w:rPr>
        <w:t>.</w:t>
      </w:r>
    </w:p>
    <w:p w:rsidR="001B5284" w:rsidRPr="0042001C" w:rsidRDefault="001B5284" w:rsidP="001B5284">
      <w:pPr>
        <w:pStyle w:val="Prrafodelista"/>
        <w:widowControl w:val="0"/>
        <w:numPr>
          <w:ilvl w:val="0"/>
          <w:numId w:val="4"/>
        </w:numPr>
        <w:autoSpaceDE w:val="0"/>
        <w:autoSpaceDN w:val="0"/>
        <w:adjustRightInd w:val="0"/>
        <w:spacing w:after="0" w:line="360" w:lineRule="auto"/>
        <w:ind w:left="426"/>
        <w:jc w:val="both"/>
        <w:rPr>
          <w:rStyle w:val="article-title"/>
          <w:rFonts w:ascii="Arial" w:hAnsi="Arial" w:cs="Arial"/>
          <w:sz w:val="24"/>
          <w:szCs w:val="24"/>
        </w:rPr>
      </w:pPr>
      <w:r w:rsidRPr="0042001C">
        <w:rPr>
          <w:rStyle w:val="article-title"/>
          <w:rFonts w:ascii="Arial" w:hAnsi="Arial" w:cs="Arial"/>
          <w:sz w:val="24"/>
          <w:szCs w:val="24"/>
        </w:rPr>
        <w:t xml:space="preserve">Jerez </w:t>
      </w:r>
      <w:proofErr w:type="spellStart"/>
      <w:r w:rsidRPr="0042001C">
        <w:rPr>
          <w:rStyle w:val="article-title"/>
          <w:rFonts w:ascii="Arial" w:hAnsi="Arial" w:cs="Arial"/>
          <w:sz w:val="24"/>
          <w:szCs w:val="24"/>
        </w:rPr>
        <w:t>Mompié</w:t>
      </w:r>
      <w:proofErr w:type="spellEnd"/>
      <w:r w:rsidRPr="0042001C">
        <w:rPr>
          <w:rStyle w:val="article-title"/>
          <w:rFonts w:ascii="Arial" w:hAnsi="Arial" w:cs="Arial"/>
          <w:sz w:val="24"/>
          <w:szCs w:val="24"/>
        </w:rPr>
        <w:t xml:space="preserve">, E.; Martín </w:t>
      </w:r>
      <w:proofErr w:type="spellStart"/>
      <w:r w:rsidRPr="0042001C">
        <w:rPr>
          <w:rStyle w:val="article-title"/>
          <w:rFonts w:ascii="Arial" w:hAnsi="Arial" w:cs="Arial"/>
          <w:sz w:val="24"/>
          <w:szCs w:val="24"/>
        </w:rPr>
        <w:t>Martín</w:t>
      </w:r>
      <w:proofErr w:type="spellEnd"/>
      <w:r w:rsidRPr="0042001C">
        <w:rPr>
          <w:rStyle w:val="article-title"/>
          <w:rFonts w:ascii="Arial" w:hAnsi="Arial" w:cs="Arial"/>
          <w:sz w:val="24"/>
          <w:szCs w:val="24"/>
        </w:rPr>
        <w:t>, R. y Morales Guevara, D. "Comportamiento de la acumulación y distribución de masa seca en tres variedades de papa (</w:t>
      </w:r>
      <w:proofErr w:type="spellStart"/>
      <w:r w:rsidRPr="0042001C">
        <w:rPr>
          <w:rStyle w:val="article-title"/>
          <w:rFonts w:ascii="Arial" w:hAnsi="Arial" w:cs="Arial"/>
          <w:sz w:val="24"/>
          <w:szCs w:val="24"/>
        </w:rPr>
        <w:t>Solanum</w:t>
      </w:r>
      <w:proofErr w:type="spellEnd"/>
      <w:r w:rsidRPr="0042001C">
        <w:rPr>
          <w:rStyle w:val="article-title"/>
          <w:rFonts w:ascii="Arial" w:hAnsi="Arial" w:cs="Arial"/>
          <w:sz w:val="24"/>
          <w:szCs w:val="24"/>
        </w:rPr>
        <w:t xml:space="preserve"> </w:t>
      </w:r>
      <w:proofErr w:type="spellStart"/>
      <w:r w:rsidRPr="0042001C">
        <w:rPr>
          <w:rStyle w:val="article-title"/>
          <w:rFonts w:ascii="Arial" w:hAnsi="Arial" w:cs="Arial"/>
          <w:sz w:val="24"/>
          <w:szCs w:val="24"/>
        </w:rPr>
        <w:t>tuberosum</w:t>
      </w:r>
      <w:proofErr w:type="spellEnd"/>
      <w:r w:rsidRPr="0042001C">
        <w:rPr>
          <w:rStyle w:val="article-title"/>
          <w:rFonts w:ascii="Arial" w:hAnsi="Arial" w:cs="Arial"/>
          <w:sz w:val="24"/>
          <w:szCs w:val="24"/>
        </w:rPr>
        <w:t xml:space="preserve"> L.)". Cultivos Tropicales, vol. </w:t>
      </w:r>
      <w:r w:rsidR="001D2B3B">
        <w:rPr>
          <w:rStyle w:val="article-title"/>
          <w:rFonts w:ascii="Arial" w:hAnsi="Arial" w:cs="Arial"/>
          <w:sz w:val="24"/>
          <w:szCs w:val="24"/>
        </w:rPr>
        <w:t>36, no. 4, pp. 70-76,</w:t>
      </w:r>
      <w:r w:rsidRPr="0042001C">
        <w:rPr>
          <w:rStyle w:val="article-title"/>
          <w:rFonts w:ascii="Arial" w:hAnsi="Arial" w:cs="Arial"/>
          <w:sz w:val="24"/>
          <w:szCs w:val="24"/>
        </w:rPr>
        <w:t xml:space="preserve"> </w:t>
      </w:r>
      <w:r w:rsidR="001D2B3B" w:rsidRPr="0042001C">
        <w:rPr>
          <w:rStyle w:val="article-title"/>
          <w:rFonts w:ascii="Arial" w:hAnsi="Arial" w:cs="Arial"/>
          <w:sz w:val="24"/>
          <w:szCs w:val="24"/>
        </w:rPr>
        <w:t xml:space="preserve">2015, </w:t>
      </w:r>
      <w:r w:rsidRPr="0042001C">
        <w:rPr>
          <w:rStyle w:val="article-title"/>
          <w:rFonts w:ascii="Arial" w:hAnsi="Arial" w:cs="Arial"/>
          <w:sz w:val="24"/>
          <w:szCs w:val="24"/>
        </w:rPr>
        <w:t>ISSN 1819-4087.</w:t>
      </w:r>
    </w:p>
    <w:p w:rsidR="001B5284" w:rsidRPr="0042001C" w:rsidRDefault="001B5284" w:rsidP="001B5284">
      <w:pPr>
        <w:pStyle w:val="Prrafodelista"/>
        <w:widowControl w:val="0"/>
        <w:numPr>
          <w:ilvl w:val="0"/>
          <w:numId w:val="4"/>
        </w:numPr>
        <w:autoSpaceDE w:val="0"/>
        <w:autoSpaceDN w:val="0"/>
        <w:adjustRightInd w:val="0"/>
        <w:spacing w:after="0" w:line="360" w:lineRule="auto"/>
        <w:ind w:left="426" w:hanging="425"/>
        <w:jc w:val="both"/>
        <w:rPr>
          <w:rFonts w:ascii="Arial" w:hAnsi="Arial" w:cs="Arial"/>
          <w:sz w:val="24"/>
          <w:szCs w:val="24"/>
          <w:lang w:val="en-US"/>
        </w:rPr>
      </w:pPr>
      <w:proofErr w:type="spellStart"/>
      <w:r w:rsidRPr="0042001C">
        <w:rPr>
          <w:rFonts w:ascii="Arial" w:hAnsi="Arial" w:cs="Arial"/>
          <w:sz w:val="24"/>
          <w:szCs w:val="24"/>
          <w:lang w:val="en-US"/>
        </w:rPr>
        <w:t>Wardlaw</w:t>
      </w:r>
      <w:proofErr w:type="spellEnd"/>
      <w:r w:rsidRPr="0042001C">
        <w:rPr>
          <w:rFonts w:ascii="Arial" w:hAnsi="Arial" w:cs="Arial"/>
          <w:sz w:val="24"/>
          <w:szCs w:val="24"/>
          <w:lang w:val="en-US"/>
        </w:rPr>
        <w:t xml:space="preserve">, I. F. The control of carbon partitioning in plants. New </w:t>
      </w:r>
      <w:proofErr w:type="spellStart"/>
      <w:r w:rsidRPr="0042001C">
        <w:rPr>
          <w:rFonts w:ascii="Arial" w:hAnsi="Arial" w:cs="Arial"/>
          <w:sz w:val="24"/>
          <w:szCs w:val="24"/>
          <w:lang w:val="en-US"/>
        </w:rPr>
        <w:t>Phytologist</w:t>
      </w:r>
      <w:proofErr w:type="spellEnd"/>
      <w:r w:rsidRPr="0042001C">
        <w:rPr>
          <w:rFonts w:ascii="Arial" w:hAnsi="Arial" w:cs="Arial"/>
          <w:sz w:val="24"/>
          <w:szCs w:val="24"/>
          <w:lang w:val="en-US"/>
        </w:rPr>
        <w:t xml:space="preserve">, </w:t>
      </w:r>
      <w:r w:rsidR="00CE6999">
        <w:rPr>
          <w:rFonts w:ascii="Arial" w:hAnsi="Arial" w:cs="Arial"/>
          <w:sz w:val="24"/>
          <w:szCs w:val="24"/>
          <w:lang w:val="en-US"/>
        </w:rPr>
        <w:t>vol. 116, no. 3, pp. 341-381,</w:t>
      </w:r>
      <w:r w:rsidRPr="0042001C">
        <w:rPr>
          <w:rFonts w:ascii="Arial" w:hAnsi="Arial" w:cs="Arial"/>
          <w:sz w:val="24"/>
          <w:szCs w:val="24"/>
          <w:lang w:val="en-US"/>
        </w:rPr>
        <w:t xml:space="preserve"> </w:t>
      </w:r>
      <w:r w:rsidR="00CE6999" w:rsidRPr="0042001C">
        <w:rPr>
          <w:rFonts w:ascii="Arial" w:hAnsi="Arial" w:cs="Arial"/>
          <w:sz w:val="24"/>
          <w:szCs w:val="24"/>
          <w:lang w:val="en-US"/>
        </w:rPr>
        <w:t>1990</w:t>
      </w:r>
    </w:p>
    <w:p w:rsidR="001B5284" w:rsidRPr="0042001C" w:rsidRDefault="001B5284" w:rsidP="001B5284">
      <w:pPr>
        <w:pStyle w:val="Prrafodelista"/>
        <w:widowControl w:val="0"/>
        <w:numPr>
          <w:ilvl w:val="0"/>
          <w:numId w:val="4"/>
        </w:numPr>
        <w:autoSpaceDE w:val="0"/>
        <w:autoSpaceDN w:val="0"/>
        <w:adjustRightInd w:val="0"/>
        <w:spacing w:after="0" w:line="360" w:lineRule="auto"/>
        <w:ind w:left="426"/>
        <w:jc w:val="both"/>
        <w:rPr>
          <w:rFonts w:ascii="Arial" w:hAnsi="Arial" w:cs="Arial"/>
          <w:sz w:val="24"/>
          <w:szCs w:val="24"/>
        </w:rPr>
      </w:pPr>
      <w:r w:rsidRPr="0042001C">
        <w:rPr>
          <w:rFonts w:ascii="Arial" w:hAnsi="Arial" w:cs="Arial"/>
          <w:sz w:val="24"/>
          <w:szCs w:val="24"/>
        </w:rPr>
        <w:t>Noriega, L. A. /et al. /.</w:t>
      </w:r>
      <w:r w:rsidRPr="0042001C">
        <w:rPr>
          <w:rStyle w:val="article-title"/>
          <w:rFonts w:ascii="Arial" w:hAnsi="Arial" w:cs="Arial"/>
          <w:sz w:val="24"/>
          <w:szCs w:val="24"/>
        </w:rPr>
        <w:t xml:space="preserve"> </w:t>
      </w:r>
      <w:r w:rsidRPr="0042001C">
        <w:rPr>
          <w:rStyle w:val="article-title"/>
          <w:rFonts w:ascii="Arial" w:hAnsi="Arial" w:cs="Arial"/>
          <w:sz w:val="24"/>
          <w:szCs w:val="24"/>
          <w:lang w:val="en-US"/>
        </w:rPr>
        <w:t>Phenology, plant growth and floral synchrony of the parental lines of H-374C QPM maize hybrid.</w:t>
      </w:r>
      <w:r w:rsidRPr="0042001C">
        <w:rPr>
          <w:rFonts w:ascii="Arial" w:hAnsi="Arial" w:cs="Arial"/>
          <w:i/>
          <w:iCs/>
          <w:sz w:val="24"/>
          <w:szCs w:val="24"/>
          <w:lang w:val="en-US"/>
        </w:rPr>
        <w:t xml:space="preserve"> </w:t>
      </w:r>
      <w:r w:rsidRPr="0042001C">
        <w:rPr>
          <w:rFonts w:ascii="Arial" w:hAnsi="Arial" w:cs="Arial"/>
          <w:i/>
          <w:iCs/>
          <w:sz w:val="24"/>
          <w:szCs w:val="24"/>
        </w:rPr>
        <w:t>Rev</w:t>
      </w:r>
      <w:r w:rsidR="00CE6999">
        <w:rPr>
          <w:rFonts w:ascii="Arial" w:hAnsi="Arial" w:cs="Arial"/>
          <w:i/>
          <w:iCs/>
          <w:sz w:val="24"/>
          <w:szCs w:val="24"/>
        </w:rPr>
        <w:t>ista Mexicana Ciencia</w:t>
      </w:r>
      <w:r w:rsidRPr="0042001C">
        <w:rPr>
          <w:rFonts w:ascii="Arial" w:hAnsi="Arial" w:cs="Arial"/>
          <w:i/>
          <w:iCs/>
          <w:sz w:val="24"/>
          <w:szCs w:val="24"/>
        </w:rPr>
        <w:t>. Agríc</w:t>
      </w:r>
      <w:r w:rsidR="00CE6999">
        <w:rPr>
          <w:rFonts w:ascii="Arial" w:hAnsi="Arial" w:cs="Arial"/>
          <w:i/>
          <w:iCs/>
          <w:sz w:val="24"/>
          <w:szCs w:val="24"/>
        </w:rPr>
        <w:t>ola,</w:t>
      </w:r>
      <w:r w:rsidRPr="0042001C">
        <w:rPr>
          <w:rFonts w:ascii="Arial" w:hAnsi="Arial" w:cs="Arial"/>
          <w:sz w:val="24"/>
          <w:szCs w:val="24"/>
        </w:rPr>
        <w:t xml:space="preserve"> </w:t>
      </w:r>
      <w:r w:rsidR="00CE6999">
        <w:rPr>
          <w:rFonts w:ascii="Arial" w:hAnsi="Arial" w:cs="Arial"/>
          <w:sz w:val="24"/>
          <w:szCs w:val="24"/>
        </w:rPr>
        <w:t xml:space="preserve">vol. 2, n. 4, pp.489-500, </w:t>
      </w:r>
      <w:r w:rsidR="00CE6999" w:rsidRPr="0042001C">
        <w:rPr>
          <w:rFonts w:ascii="Arial" w:hAnsi="Arial" w:cs="Arial"/>
          <w:sz w:val="24"/>
          <w:szCs w:val="24"/>
        </w:rPr>
        <w:t xml:space="preserve">2011, </w:t>
      </w:r>
      <w:r w:rsidRPr="0042001C">
        <w:rPr>
          <w:rFonts w:ascii="Arial" w:hAnsi="Arial" w:cs="Arial"/>
          <w:sz w:val="24"/>
          <w:szCs w:val="24"/>
        </w:rPr>
        <w:t>ISSN 2007-0934.</w:t>
      </w:r>
    </w:p>
    <w:p w:rsidR="001B5284" w:rsidRPr="00011B06" w:rsidRDefault="001B5284" w:rsidP="001B5284">
      <w:pPr>
        <w:pStyle w:val="Prrafodelista"/>
        <w:widowControl w:val="0"/>
        <w:numPr>
          <w:ilvl w:val="0"/>
          <w:numId w:val="4"/>
        </w:numPr>
        <w:autoSpaceDE w:val="0"/>
        <w:autoSpaceDN w:val="0"/>
        <w:adjustRightInd w:val="0"/>
        <w:spacing w:after="0" w:line="360" w:lineRule="auto"/>
        <w:jc w:val="both"/>
        <w:rPr>
          <w:rFonts w:ascii="Arial" w:hAnsi="Arial" w:cs="Arial"/>
          <w:sz w:val="24"/>
          <w:szCs w:val="24"/>
        </w:rPr>
      </w:pPr>
      <w:r w:rsidRPr="0042001C">
        <w:rPr>
          <w:rFonts w:ascii="Arial" w:hAnsi="Arial" w:cs="Arial"/>
          <w:sz w:val="24"/>
          <w:szCs w:val="24"/>
        </w:rPr>
        <w:t>Contreras, A., Martínez, C. G.  y  Estrada, G.</w:t>
      </w:r>
      <w:r w:rsidRPr="0042001C">
        <w:rPr>
          <w:rStyle w:val="article-title"/>
          <w:rFonts w:ascii="Arial" w:hAnsi="Arial" w:cs="Arial"/>
          <w:sz w:val="24"/>
          <w:szCs w:val="24"/>
        </w:rPr>
        <w:t xml:space="preserve"> Eficiencia en el uso de la radiación por híbridos de maíz de Valles Altos de México.</w:t>
      </w:r>
      <w:r w:rsidRPr="0042001C">
        <w:rPr>
          <w:rFonts w:ascii="Arial" w:hAnsi="Arial" w:cs="Arial"/>
          <w:i/>
          <w:iCs/>
          <w:sz w:val="24"/>
          <w:szCs w:val="24"/>
        </w:rPr>
        <w:t xml:space="preserve"> Revista fitotecnia mexicana</w:t>
      </w:r>
      <w:r w:rsidR="00CE6999">
        <w:rPr>
          <w:rFonts w:ascii="Arial" w:hAnsi="Arial" w:cs="Arial"/>
          <w:sz w:val="24"/>
          <w:szCs w:val="24"/>
        </w:rPr>
        <w:t>,</w:t>
      </w:r>
      <w:r w:rsidRPr="0042001C">
        <w:rPr>
          <w:rFonts w:ascii="Arial" w:hAnsi="Arial" w:cs="Arial"/>
          <w:sz w:val="24"/>
          <w:szCs w:val="24"/>
        </w:rPr>
        <w:t xml:space="preserve"> </w:t>
      </w:r>
      <w:r w:rsidR="00CE6999">
        <w:rPr>
          <w:rFonts w:ascii="Arial" w:hAnsi="Arial" w:cs="Arial"/>
          <w:sz w:val="24"/>
          <w:szCs w:val="24"/>
        </w:rPr>
        <w:t xml:space="preserve">vol. 35, n. 2, pp.161-169, </w:t>
      </w:r>
      <w:r w:rsidR="00CE6999" w:rsidRPr="0042001C">
        <w:rPr>
          <w:rFonts w:ascii="Arial" w:hAnsi="Arial" w:cs="Arial"/>
          <w:sz w:val="24"/>
          <w:szCs w:val="24"/>
        </w:rPr>
        <w:t xml:space="preserve">2012, </w:t>
      </w:r>
      <w:r w:rsidRPr="0042001C">
        <w:rPr>
          <w:rFonts w:ascii="Arial" w:hAnsi="Arial" w:cs="Arial"/>
          <w:sz w:val="24"/>
          <w:szCs w:val="24"/>
        </w:rPr>
        <w:t>ISSN 0187-7380.</w:t>
      </w:r>
    </w:p>
    <w:p w:rsidR="001A7A97" w:rsidRPr="0042001C" w:rsidRDefault="001A7A97" w:rsidP="009C36BE">
      <w:pPr>
        <w:pStyle w:val="Prrafodelista"/>
        <w:widowControl w:val="0"/>
        <w:autoSpaceDE w:val="0"/>
        <w:autoSpaceDN w:val="0"/>
        <w:adjustRightInd w:val="0"/>
        <w:spacing w:after="0" w:line="360" w:lineRule="auto"/>
        <w:ind w:left="426"/>
        <w:jc w:val="both"/>
        <w:rPr>
          <w:rFonts w:ascii="Arial" w:hAnsi="Arial" w:cs="Arial"/>
          <w:sz w:val="24"/>
          <w:szCs w:val="24"/>
        </w:rPr>
      </w:pPr>
    </w:p>
    <w:p w:rsidR="001B5284" w:rsidRPr="009C36BE" w:rsidRDefault="001B5284" w:rsidP="009C36BE">
      <w:pPr>
        <w:widowControl w:val="0"/>
        <w:autoSpaceDE w:val="0"/>
        <w:autoSpaceDN w:val="0"/>
        <w:adjustRightInd w:val="0"/>
        <w:spacing w:after="0" w:line="360" w:lineRule="auto"/>
        <w:jc w:val="both"/>
        <w:rPr>
          <w:rFonts w:ascii="Arial" w:hAnsi="Arial" w:cs="Arial"/>
          <w:sz w:val="24"/>
          <w:szCs w:val="24"/>
          <w:lang w:val="en-US"/>
        </w:rPr>
      </w:pPr>
    </w:p>
    <w:sectPr w:rsidR="001B5284" w:rsidRPr="009C36BE" w:rsidSect="00011B0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D2A0B"/>
    <w:multiLevelType w:val="hybridMultilevel"/>
    <w:tmpl w:val="76C624A2"/>
    <w:lvl w:ilvl="0" w:tplc="0C0A000F">
      <w:start w:val="1"/>
      <w:numFmt w:val="decimal"/>
      <w:lvlText w:val="%1."/>
      <w:lvlJc w:val="left"/>
      <w:pPr>
        <w:ind w:left="786" w:hanging="360"/>
      </w:p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1" w15:restartNumberingAfterBreak="0">
    <w:nsid w:val="1754157A"/>
    <w:multiLevelType w:val="hybridMultilevel"/>
    <w:tmpl w:val="BA60700C"/>
    <w:lvl w:ilvl="0" w:tplc="0EDEB7D6">
      <w:start w:val="1"/>
      <w:numFmt w:val="decimal"/>
      <w:lvlText w:val="%1."/>
      <w:lvlJc w:val="left"/>
      <w:pPr>
        <w:ind w:left="786" w:hanging="360"/>
      </w:pPr>
      <w:rPr>
        <w:sz w:val="24"/>
        <w:szCs w:val="24"/>
      </w:rPr>
    </w:lvl>
    <w:lvl w:ilvl="1" w:tplc="0C0A0019" w:tentative="1">
      <w:start w:val="1"/>
      <w:numFmt w:val="lowerLetter"/>
      <w:lvlText w:val="%2."/>
      <w:lvlJc w:val="left"/>
      <w:pPr>
        <w:ind w:left="2008" w:hanging="360"/>
      </w:pPr>
    </w:lvl>
    <w:lvl w:ilvl="2" w:tplc="0C0A001B" w:tentative="1">
      <w:start w:val="1"/>
      <w:numFmt w:val="lowerRoman"/>
      <w:lvlText w:val="%3."/>
      <w:lvlJc w:val="right"/>
      <w:pPr>
        <w:ind w:left="2728" w:hanging="180"/>
      </w:pPr>
    </w:lvl>
    <w:lvl w:ilvl="3" w:tplc="0C0A000F" w:tentative="1">
      <w:start w:val="1"/>
      <w:numFmt w:val="decimal"/>
      <w:lvlText w:val="%4."/>
      <w:lvlJc w:val="left"/>
      <w:pPr>
        <w:ind w:left="3448" w:hanging="360"/>
      </w:pPr>
    </w:lvl>
    <w:lvl w:ilvl="4" w:tplc="0C0A0019" w:tentative="1">
      <w:start w:val="1"/>
      <w:numFmt w:val="lowerLetter"/>
      <w:lvlText w:val="%5."/>
      <w:lvlJc w:val="left"/>
      <w:pPr>
        <w:ind w:left="4168" w:hanging="360"/>
      </w:pPr>
    </w:lvl>
    <w:lvl w:ilvl="5" w:tplc="0C0A001B" w:tentative="1">
      <w:start w:val="1"/>
      <w:numFmt w:val="lowerRoman"/>
      <w:lvlText w:val="%6."/>
      <w:lvlJc w:val="right"/>
      <w:pPr>
        <w:ind w:left="4888" w:hanging="180"/>
      </w:pPr>
    </w:lvl>
    <w:lvl w:ilvl="6" w:tplc="0C0A000F" w:tentative="1">
      <w:start w:val="1"/>
      <w:numFmt w:val="decimal"/>
      <w:lvlText w:val="%7."/>
      <w:lvlJc w:val="left"/>
      <w:pPr>
        <w:ind w:left="5608" w:hanging="360"/>
      </w:pPr>
    </w:lvl>
    <w:lvl w:ilvl="7" w:tplc="0C0A0019" w:tentative="1">
      <w:start w:val="1"/>
      <w:numFmt w:val="lowerLetter"/>
      <w:lvlText w:val="%8."/>
      <w:lvlJc w:val="left"/>
      <w:pPr>
        <w:ind w:left="6328" w:hanging="360"/>
      </w:pPr>
    </w:lvl>
    <w:lvl w:ilvl="8" w:tplc="0C0A001B" w:tentative="1">
      <w:start w:val="1"/>
      <w:numFmt w:val="lowerRoman"/>
      <w:lvlText w:val="%9."/>
      <w:lvlJc w:val="right"/>
      <w:pPr>
        <w:ind w:left="7048" w:hanging="180"/>
      </w:pPr>
    </w:lvl>
  </w:abstractNum>
  <w:abstractNum w:abstractNumId="2" w15:restartNumberingAfterBreak="0">
    <w:nsid w:val="2D486020"/>
    <w:multiLevelType w:val="hybridMultilevel"/>
    <w:tmpl w:val="BA60700C"/>
    <w:lvl w:ilvl="0" w:tplc="0EDEB7D6">
      <w:start w:val="1"/>
      <w:numFmt w:val="decimal"/>
      <w:lvlText w:val="%1."/>
      <w:lvlJc w:val="left"/>
      <w:pPr>
        <w:ind w:left="786" w:hanging="360"/>
      </w:pPr>
      <w:rPr>
        <w:sz w:val="24"/>
        <w:szCs w:val="24"/>
      </w:rPr>
    </w:lvl>
    <w:lvl w:ilvl="1" w:tplc="0C0A0019" w:tentative="1">
      <w:start w:val="1"/>
      <w:numFmt w:val="lowerLetter"/>
      <w:lvlText w:val="%2."/>
      <w:lvlJc w:val="left"/>
      <w:pPr>
        <w:ind w:left="2008" w:hanging="360"/>
      </w:pPr>
    </w:lvl>
    <w:lvl w:ilvl="2" w:tplc="0C0A001B" w:tentative="1">
      <w:start w:val="1"/>
      <w:numFmt w:val="lowerRoman"/>
      <w:lvlText w:val="%3."/>
      <w:lvlJc w:val="right"/>
      <w:pPr>
        <w:ind w:left="2728" w:hanging="180"/>
      </w:pPr>
    </w:lvl>
    <w:lvl w:ilvl="3" w:tplc="0C0A000F" w:tentative="1">
      <w:start w:val="1"/>
      <w:numFmt w:val="decimal"/>
      <w:lvlText w:val="%4."/>
      <w:lvlJc w:val="left"/>
      <w:pPr>
        <w:ind w:left="3448" w:hanging="360"/>
      </w:pPr>
    </w:lvl>
    <w:lvl w:ilvl="4" w:tplc="0C0A0019" w:tentative="1">
      <w:start w:val="1"/>
      <w:numFmt w:val="lowerLetter"/>
      <w:lvlText w:val="%5."/>
      <w:lvlJc w:val="left"/>
      <w:pPr>
        <w:ind w:left="4168" w:hanging="360"/>
      </w:pPr>
    </w:lvl>
    <w:lvl w:ilvl="5" w:tplc="0C0A001B" w:tentative="1">
      <w:start w:val="1"/>
      <w:numFmt w:val="lowerRoman"/>
      <w:lvlText w:val="%6."/>
      <w:lvlJc w:val="right"/>
      <w:pPr>
        <w:ind w:left="4888" w:hanging="180"/>
      </w:pPr>
    </w:lvl>
    <w:lvl w:ilvl="6" w:tplc="0C0A000F" w:tentative="1">
      <w:start w:val="1"/>
      <w:numFmt w:val="decimal"/>
      <w:lvlText w:val="%7."/>
      <w:lvlJc w:val="left"/>
      <w:pPr>
        <w:ind w:left="5608" w:hanging="360"/>
      </w:pPr>
    </w:lvl>
    <w:lvl w:ilvl="7" w:tplc="0C0A0019" w:tentative="1">
      <w:start w:val="1"/>
      <w:numFmt w:val="lowerLetter"/>
      <w:lvlText w:val="%8."/>
      <w:lvlJc w:val="left"/>
      <w:pPr>
        <w:ind w:left="6328" w:hanging="360"/>
      </w:pPr>
    </w:lvl>
    <w:lvl w:ilvl="8" w:tplc="0C0A001B" w:tentative="1">
      <w:start w:val="1"/>
      <w:numFmt w:val="lowerRoman"/>
      <w:lvlText w:val="%9."/>
      <w:lvlJc w:val="right"/>
      <w:pPr>
        <w:ind w:left="7048" w:hanging="180"/>
      </w:pPr>
    </w:lvl>
  </w:abstractNum>
  <w:abstractNum w:abstractNumId="3" w15:restartNumberingAfterBreak="0">
    <w:nsid w:val="483C7416"/>
    <w:multiLevelType w:val="hybridMultilevel"/>
    <w:tmpl w:val="ED9AACF6"/>
    <w:lvl w:ilvl="0" w:tplc="0C0A0001">
      <w:start w:val="1"/>
      <w:numFmt w:val="bullet"/>
      <w:lvlText w:val=""/>
      <w:lvlJc w:val="left"/>
      <w:pPr>
        <w:ind w:left="940" w:hanging="360"/>
      </w:pPr>
      <w:rPr>
        <w:rFonts w:ascii="Symbol" w:hAnsi="Symbol" w:hint="default"/>
      </w:rPr>
    </w:lvl>
    <w:lvl w:ilvl="1" w:tplc="0C0A0003" w:tentative="1">
      <w:start w:val="1"/>
      <w:numFmt w:val="bullet"/>
      <w:lvlText w:val="o"/>
      <w:lvlJc w:val="left"/>
      <w:pPr>
        <w:ind w:left="1660" w:hanging="360"/>
      </w:pPr>
      <w:rPr>
        <w:rFonts w:ascii="Courier New" w:hAnsi="Courier New" w:cs="Courier New" w:hint="default"/>
      </w:rPr>
    </w:lvl>
    <w:lvl w:ilvl="2" w:tplc="0C0A0005" w:tentative="1">
      <w:start w:val="1"/>
      <w:numFmt w:val="bullet"/>
      <w:lvlText w:val=""/>
      <w:lvlJc w:val="left"/>
      <w:pPr>
        <w:ind w:left="2380" w:hanging="360"/>
      </w:pPr>
      <w:rPr>
        <w:rFonts w:ascii="Wingdings" w:hAnsi="Wingdings" w:hint="default"/>
      </w:rPr>
    </w:lvl>
    <w:lvl w:ilvl="3" w:tplc="0C0A0001" w:tentative="1">
      <w:start w:val="1"/>
      <w:numFmt w:val="bullet"/>
      <w:lvlText w:val=""/>
      <w:lvlJc w:val="left"/>
      <w:pPr>
        <w:ind w:left="3100" w:hanging="360"/>
      </w:pPr>
      <w:rPr>
        <w:rFonts w:ascii="Symbol" w:hAnsi="Symbol" w:hint="default"/>
      </w:rPr>
    </w:lvl>
    <w:lvl w:ilvl="4" w:tplc="0C0A0003" w:tentative="1">
      <w:start w:val="1"/>
      <w:numFmt w:val="bullet"/>
      <w:lvlText w:val="o"/>
      <w:lvlJc w:val="left"/>
      <w:pPr>
        <w:ind w:left="3820" w:hanging="360"/>
      </w:pPr>
      <w:rPr>
        <w:rFonts w:ascii="Courier New" w:hAnsi="Courier New" w:cs="Courier New" w:hint="default"/>
      </w:rPr>
    </w:lvl>
    <w:lvl w:ilvl="5" w:tplc="0C0A0005" w:tentative="1">
      <w:start w:val="1"/>
      <w:numFmt w:val="bullet"/>
      <w:lvlText w:val=""/>
      <w:lvlJc w:val="left"/>
      <w:pPr>
        <w:ind w:left="4540" w:hanging="360"/>
      </w:pPr>
      <w:rPr>
        <w:rFonts w:ascii="Wingdings" w:hAnsi="Wingdings" w:hint="default"/>
      </w:rPr>
    </w:lvl>
    <w:lvl w:ilvl="6" w:tplc="0C0A0001" w:tentative="1">
      <w:start w:val="1"/>
      <w:numFmt w:val="bullet"/>
      <w:lvlText w:val=""/>
      <w:lvlJc w:val="left"/>
      <w:pPr>
        <w:ind w:left="5260" w:hanging="360"/>
      </w:pPr>
      <w:rPr>
        <w:rFonts w:ascii="Symbol" w:hAnsi="Symbol" w:hint="default"/>
      </w:rPr>
    </w:lvl>
    <w:lvl w:ilvl="7" w:tplc="0C0A0003" w:tentative="1">
      <w:start w:val="1"/>
      <w:numFmt w:val="bullet"/>
      <w:lvlText w:val="o"/>
      <w:lvlJc w:val="left"/>
      <w:pPr>
        <w:ind w:left="5980" w:hanging="360"/>
      </w:pPr>
      <w:rPr>
        <w:rFonts w:ascii="Courier New" w:hAnsi="Courier New" w:cs="Courier New" w:hint="default"/>
      </w:rPr>
    </w:lvl>
    <w:lvl w:ilvl="8" w:tplc="0C0A0005" w:tentative="1">
      <w:start w:val="1"/>
      <w:numFmt w:val="bullet"/>
      <w:lvlText w:val=""/>
      <w:lvlJc w:val="left"/>
      <w:pPr>
        <w:ind w:left="6700" w:hanging="360"/>
      </w:pPr>
      <w:rPr>
        <w:rFonts w:ascii="Wingdings" w:hAnsi="Wingdings" w:hint="default"/>
      </w:rPr>
    </w:lvl>
  </w:abstractNum>
  <w:abstractNum w:abstractNumId="4" w15:restartNumberingAfterBreak="0">
    <w:nsid w:val="487B5F2C"/>
    <w:multiLevelType w:val="hybridMultilevel"/>
    <w:tmpl w:val="76C624A2"/>
    <w:lvl w:ilvl="0" w:tplc="0C0A000F">
      <w:start w:val="1"/>
      <w:numFmt w:val="decimal"/>
      <w:lvlText w:val="%1."/>
      <w:lvlJc w:val="left"/>
      <w:pPr>
        <w:ind w:left="786" w:hanging="360"/>
      </w:p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5" w15:restartNumberingAfterBreak="0">
    <w:nsid w:val="70801FB9"/>
    <w:multiLevelType w:val="hybridMultilevel"/>
    <w:tmpl w:val="2C2636B2"/>
    <w:lvl w:ilvl="0" w:tplc="B2283EDC">
      <w:start w:val="1"/>
      <w:numFmt w:val="decimal"/>
      <w:lvlText w:val="%1."/>
      <w:lvlJc w:val="left"/>
      <w:pPr>
        <w:ind w:left="502" w:hanging="360"/>
      </w:pPr>
      <w:rPr>
        <w:i w:val="0"/>
      </w:r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num w:numId="1">
    <w:abstractNumId w:val="3"/>
  </w:num>
  <w:num w:numId="2">
    <w:abstractNumId w:val="2"/>
  </w:num>
  <w:num w:numId="3">
    <w:abstractNumId w:val="1"/>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3B1B"/>
    <w:rsid w:val="0000131C"/>
    <w:rsid w:val="00004C8C"/>
    <w:rsid w:val="000060F1"/>
    <w:rsid w:val="00011B06"/>
    <w:rsid w:val="00021EBD"/>
    <w:rsid w:val="000273BE"/>
    <w:rsid w:val="00077D05"/>
    <w:rsid w:val="000B4EE4"/>
    <w:rsid w:val="0010552E"/>
    <w:rsid w:val="00147374"/>
    <w:rsid w:val="001549A2"/>
    <w:rsid w:val="00157D7F"/>
    <w:rsid w:val="001602EE"/>
    <w:rsid w:val="001A0237"/>
    <w:rsid w:val="001A3BCF"/>
    <w:rsid w:val="001A7A97"/>
    <w:rsid w:val="001B5284"/>
    <w:rsid w:val="001D2B3B"/>
    <w:rsid w:val="001F0983"/>
    <w:rsid w:val="002A215D"/>
    <w:rsid w:val="002D424D"/>
    <w:rsid w:val="002E3D53"/>
    <w:rsid w:val="002E5A5D"/>
    <w:rsid w:val="003048F7"/>
    <w:rsid w:val="0037393D"/>
    <w:rsid w:val="003A7551"/>
    <w:rsid w:val="003E102A"/>
    <w:rsid w:val="00445F36"/>
    <w:rsid w:val="00445F48"/>
    <w:rsid w:val="004621D6"/>
    <w:rsid w:val="00530FCB"/>
    <w:rsid w:val="00547B73"/>
    <w:rsid w:val="00554ADE"/>
    <w:rsid w:val="005626C4"/>
    <w:rsid w:val="00563979"/>
    <w:rsid w:val="0059357F"/>
    <w:rsid w:val="005A7BA1"/>
    <w:rsid w:val="005B7557"/>
    <w:rsid w:val="005D4734"/>
    <w:rsid w:val="005E6840"/>
    <w:rsid w:val="005F2CF5"/>
    <w:rsid w:val="00697F9B"/>
    <w:rsid w:val="006F0806"/>
    <w:rsid w:val="007C7B79"/>
    <w:rsid w:val="007E711B"/>
    <w:rsid w:val="00802357"/>
    <w:rsid w:val="00820811"/>
    <w:rsid w:val="00821C73"/>
    <w:rsid w:val="00865D8A"/>
    <w:rsid w:val="008874C4"/>
    <w:rsid w:val="008916CC"/>
    <w:rsid w:val="008F64B6"/>
    <w:rsid w:val="0091417A"/>
    <w:rsid w:val="00933407"/>
    <w:rsid w:val="00950A2A"/>
    <w:rsid w:val="00962198"/>
    <w:rsid w:val="00986EA8"/>
    <w:rsid w:val="009C36BE"/>
    <w:rsid w:val="00A074A4"/>
    <w:rsid w:val="00A07EE2"/>
    <w:rsid w:val="00A32765"/>
    <w:rsid w:val="00A4768E"/>
    <w:rsid w:val="00A634A1"/>
    <w:rsid w:val="00A854AA"/>
    <w:rsid w:val="00AB382E"/>
    <w:rsid w:val="00AE119B"/>
    <w:rsid w:val="00B635A1"/>
    <w:rsid w:val="00B77604"/>
    <w:rsid w:val="00B7769A"/>
    <w:rsid w:val="00BE51F6"/>
    <w:rsid w:val="00C2232D"/>
    <w:rsid w:val="00CC224E"/>
    <w:rsid w:val="00CE6999"/>
    <w:rsid w:val="00CF0750"/>
    <w:rsid w:val="00D50F2F"/>
    <w:rsid w:val="00D63464"/>
    <w:rsid w:val="00D90923"/>
    <w:rsid w:val="00D976EF"/>
    <w:rsid w:val="00DD29C8"/>
    <w:rsid w:val="00DF1144"/>
    <w:rsid w:val="00E00F8F"/>
    <w:rsid w:val="00E32EF3"/>
    <w:rsid w:val="00E40F3B"/>
    <w:rsid w:val="00E43B1B"/>
    <w:rsid w:val="00E541B9"/>
    <w:rsid w:val="00E70257"/>
    <w:rsid w:val="00E72E7A"/>
    <w:rsid w:val="00E82B51"/>
    <w:rsid w:val="00EB73DC"/>
    <w:rsid w:val="00EC0AB6"/>
    <w:rsid w:val="00EC1B6F"/>
    <w:rsid w:val="00F20116"/>
    <w:rsid w:val="00F97131"/>
    <w:rsid w:val="00FA04FF"/>
    <w:rsid w:val="00FA704A"/>
    <w:rsid w:val="00FC7A1F"/>
    <w:rsid w:val="00FE07C0"/>
    <w:rsid w:val="00FF22A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08D334F7-7951-4BA2-AD45-178079D00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3B1B"/>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E43B1B"/>
    <w:pPr>
      <w:autoSpaceDE w:val="0"/>
      <w:autoSpaceDN w:val="0"/>
      <w:adjustRightInd w:val="0"/>
      <w:spacing w:after="0" w:line="240" w:lineRule="auto"/>
    </w:pPr>
    <w:rPr>
      <w:rFonts w:ascii="Arial" w:eastAsia="Calibri" w:hAnsi="Arial" w:cs="Arial"/>
      <w:color w:val="000000"/>
      <w:sz w:val="24"/>
      <w:szCs w:val="24"/>
    </w:rPr>
  </w:style>
  <w:style w:type="paragraph" w:styleId="NormalWeb">
    <w:name w:val="Normal (Web)"/>
    <w:basedOn w:val="Normal"/>
    <w:uiPriority w:val="99"/>
    <w:unhideWhenUsed/>
    <w:rsid w:val="00E43B1B"/>
    <w:pPr>
      <w:spacing w:before="100" w:beforeAutospacing="1" w:after="100" w:afterAutospacing="1" w:line="240" w:lineRule="auto"/>
    </w:pPr>
    <w:rPr>
      <w:rFonts w:ascii="Times New Roman" w:eastAsia="Times New Roman" w:hAnsi="Times New Roman"/>
      <w:sz w:val="24"/>
      <w:szCs w:val="24"/>
      <w:lang w:eastAsia="es-ES"/>
    </w:rPr>
  </w:style>
  <w:style w:type="character" w:styleId="Hipervnculo">
    <w:name w:val="Hyperlink"/>
    <w:uiPriority w:val="99"/>
    <w:unhideWhenUsed/>
    <w:rsid w:val="00E43B1B"/>
    <w:rPr>
      <w:color w:val="0000FF"/>
      <w:u w:val="single"/>
    </w:rPr>
  </w:style>
  <w:style w:type="character" w:styleId="Refdecomentario">
    <w:name w:val="annotation reference"/>
    <w:uiPriority w:val="99"/>
    <w:semiHidden/>
    <w:unhideWhenUsed/>
    <w:rsid w:val="00E43B1B"/>
    <w:rPr>
      <w:sz w:val="16"/>
      <w:szCs w:val="16"/>
    </w:rPr>
  </w:style>
  <w:style w:type="paragraph" w:styleId="Textocomentario">
    <w:name w:val="annotation text"/>
    <w:basedOn w:val="Normal"/>
    <w:link w:val="TextocomentarioCar"/>
    <w:uiPriority w:val="99"/>
    <w:unhideWhenUsed/>
    <w:rsid w:val="00E43B1B"/>
    <w:rPr>
      <w:sz w:val="20"/>
      <w:szCs w:val="20"/>
    </w:rPr>
  </w:style>
  <w:style w:type="character" w:customStyle="1" w:styleId="TextocomentarioCar">
    <w:name w:val="Texto comentario Car"/>
    <w:basedOn w:val="Fuentedeprrafopredeter"/>
    <w:link w:val="Textocomentario"/>
    <w:uiPriority w:val="99"/>
    <w:rsid w:val="00E43B1B"/>
    <w:rPr>
      <w:rFonts w:ascii="Calibri" w:eastAsia="Calibri" w:hAnsi="Calibri" w:cs="Times New Roman"/>
      <w:sz w:val="20"/>
      <w:szCs w:val="20"/>
    </w:rPr>
  </w:style>
  <w:style w:type="paragraph" w:styleId="Textodeglobo">
    <w:name w:val="Balloon Text"/>
    <w:basedOn w:val="Normal"/>
    <w:link w:val="TextodegloboCar"/>
    <w:uiPriority w:val="99"/>
    <w:semiHidden/>
    <w:unhideWhenUsed/>
    <w:rsid w:val="00E43B1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43B1B"/>
    <w:rPr>
      <w:rFonts w:ascii="Tahoma" w:eastAsia="Calibri" w:hAnsi="Tahoma" w:cs="Tahoma"/>
      <w:sz w:val="16"/>
      <w:szCs w:val="16"/>
    </w:rPr>
  </w:style>
  <w:style w:type="character" w:customStyle="1" w:styleId="A7">
    <w:name w:val="A7"/>
    <w:uiPriority w:val="99"/>
    <w:rsid w:val="00E72E7A"/>
    <w:rPr>
      <w:color w:val="000000"/>
      <w:sz w:val="22"/>
      <w:szCs w:val="22"/>
    </w:rPr>
  </w:style>
  <w:style w:type="table" w:styleId="Tablaconcuadrcula">
    <w:name w:val="Table Grid"/>
    <w:basedOn w:val="Tablanormal"/>
    <w:uiPriority w:val="59"/>
    <w:rsid w:val="003E10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basedOn w:val="Fuentedeprrafopredeter"/>
    <w:rsid w:val="001A7A97"/>
  </w:style>
  <w:style w:type="paragraph" w:styleId="Prrafodelista">
    <w:name w:val="List Paragraph"/>
    <w:basedOn w:val="Normal"/>
    <w:uiPriority w:val="34"/>
    <w:qFormat/>
    <w:rsid w:val="001A7A97"/>
    <w:pPr>
      <w:ind w:left="720"/>
      <w:contextualSpacing/>
    </w:pPr>
  </w:style>
  <w:style w:type="paragraph" w:customStyle="1" w:styleId="Bodytext">
    <w:name w:val="Bodytext"/>
    <w:basedOn w:val="Default"/>
    <w:next w:val="Default"/>
    <w:uiPriority w:val="99"/>
    <w:rsid w:val="001A7A97"/>
    <w:rPr>
      <w:color w:val="auto"/>
    </w:rPr>
  </w:style>
  <w:style w:type="paragraph" w:customStyle="1" w:styleId="pleca">
    <w:name w:val="pleca"/>
    <w:basedOn w:val="Default"/>
    <w:next w:val="Default"/>
    <w:uiPriority w:val="99"/>
    <w:rsid w:val="001A7A97"/>
    <w:rPr>
      <w:rFonts w:ascii="Wingdings" w:hAnsi="Wingdings" w:cs="Times New Roman"/>
      <w:color w:val="auto"/>
    </w:rPr>
  </w:style>
  <w:style w:type="character" w:styleId="Textoennegrita">
    <w:name w:val="Strong"/>
    <w:uiPriority w:val="22"/>
    <w:qFormat/>
    <w:rsid w:val="001A7A97"/>
    <w:rPr>
      <w:b/>
      <w:bCs/>
    </w:rPr>
  </w:style>
  <w:style w:type="character" w:styleId="Nmerodelnea">
    <w:name w:val="line number"/>
    <w:basedOn w:val="Fuentedeprrafopredeter"/>
    <w:uiPriority w:val="99"/>
    <w:semiHidden/>
    <w:unhideWhenUsed/>
    <w:rsid w:val="001A7A97"/>
  </w:style>
  <w:style w:type="character" w:customStyle="1" w:styleId="article-title">
    <w:name w:val="article-title"/>
    <w:basedOn w:val="Fuentedeprrafopredeter"/>
    <w:rsid w:val="001A7A97"/>
  </w:style>
  <w:style w:type="character" w:styleId="nfasis">
    <w:name w:val="Emphasis"/>
    <w:uiPriority w:val="20"/>
    <w:qFormat/>
    <w:rsid w:val="001A7A97"/>
    <w:rPr>
      <w:i/>
      <w:iCs/>
    </w:rPr>
  </w:style>
  <w:style w:type="character" w:customStyle="1" w:styleId="a">
    <w:name w:val="a"/>
    <w:basedOn w:val="Fuentedeprrafopredeter"/>
    <w:rsid w:val="001A7A97"/>
  </w:style>
  <w:style w:type="paragraph" w:customStyle="1" w:styleId="Pa1">
    <w:name w:val="Pa1"/>
    <w:basedOn w:val="Default"/>
    <w:next w:val="Default"/>
    <w:uiPriority w:val="99"/>
    <w:rsid w:val="00AB382E"/>
    <w:pPr>
      <w:spacing w:line="161" w:lineRule="atLeast"/>
    </w:pPr>
    <w:rPr>
      <w:rFonts w:ascii="Times New Roman" w:eastAsiaTheme="minorHAnsi" w:hAnsi="Times New Roman" w:cs="Times New Roman"/>
      <w:color w:val="auto"/>
    </w:rPr>
  </w:style>
  <w:style w:type="character" w:customStyle="1" w:styleId="A1">
    <w:name w:val="A1"/>
    <w:uiPriority w:val="99"/>
    <w:rsid w:val="00AB382E"/>
    <w:rPr>
      <w:b/>
      <w:bCs/>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13" Type="http://schemas.openxmlformats.org/officeDocument/2006/relationships/chart" Target="charts/chart7.xml"/><Relationship Id="rId18" Type="http://schemas.openxmlformats.org/officeDocument/2006/relationships/chart" Target="charts/chart1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chart" Target="charts/chart2.xml"/><Relationship Id="rId12" Type="http://schemas.openxmlformats.org/officeDocument/2006/relationships/hyperlink" Target="http://scielo.sld.cu/img/revistas/ctr/v33n1/f0304112.gif" TargetMode="External"/><Relationship Id="rId17" Type="http://schemas.openxmlformats.org/officeDocument/2006/relationships/chart" Target="charts/chart10.xml"/><Relationship Id="rId2" Type="http://schemas.openxmlformats.org/officeDocument/2006/relationships/numbering" Target="numbering.xml"/><Relationship Id="rId16" Type="http://schemas.openxmlformats.org/officeDocument/2006/relationships/chart" Target="charts/chart9.xml"/><Relationship Id="rId20" Type="http://schemas.openxmlformats.org/officeDocument/2006/relationships/hyperlink" Target="https://dialnet.unirioja.es/ejemplar/132854" TargetMode="External"/><Relationship Id="rId1" Type="http://schemas.openxmlformats.org/officeDocument/2006/relationships/customXml" Target="../customXml/item1.xml"/><Relationship Id="rId6" Type="http://schemas.openxmlformats.org/officeDocument/2006/relationships/chart" Target="charts/chart1.xml"/><Relationship Id="rId11" Type="http://schemas.openxmlformats.org/officeDocument/2006/relationships/chart" Target="charts/chart6.xml"/><Relationship Id="rId5" Type="http://schemas.openxmlformats.org/officeDocument/2006/relationships/webSettings" Target="webSettings.xml"/><Relationship Id="rId15" Type="http://schemas.openxmlformats.org/officeDocument/2006/relationships/chart" Target="charts/chart8.xml"/><Relationship Id="rId10" Type="http://schemas.openxmlformats.org/officeDocument/2006/relationships/chart" Target="charts/chart5.xml"/><Relationship Id="rId19" Type="http://schemas.openxmlformats.org/officeDocument/2006/relationships/chart" Target="charts/chart12.xml"/><Relationship Id="rId4" Type="http://schemas.openxmlformats.org/officeDocument/2006/relationships/settings" Target="settings.xml"/><Relationship Id="rId9" Type="http://schemas.openxmlformats.org/officeDocument/2006/relationships/chart" Target="charts/chart4.xml"/><Relationship Id="rId14" Type="http://schemas.openxmlformats.org/officeDocument/2006/relationships/hyperlink" Target="http://scielo.sld.cu/img/revistas/ctr/v33n1/f0404112.gif" TargetMode="Externa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oleObject" Target="file:///J:\de%20la%20ota%20m&#225;quina\Naivy\documentos%20guardados%20en%20la%20memoria\gr&#225;ficos%20de%20art&#237;culo%2057.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J:\de%20la%20ota%20m&#225;quina\Naivy\documentos%20guardados%20en%20la%20memoria\gr&#225;ficos%20de%20art&#237;culo%2057.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file:///J:\de%20la%20ota%20m&#225;quina\Naivy\documentos%20guardados%20en%20la%20memoria\gr&#225;ficos%20de%20art&#237;culo%2057.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Users\Soto\AppData\Roaming\Microsoft\Excel\datos%20de%20TAN%20sorgo%20(Autoguardado)%20(version%201).xls"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C:\Users\Soto\AppData\Roaming\Microsoft\Excel\datos%20de%20TAN%20sorgo%20(Autoguardado)%20(version%201).xls"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embeddings/oleObject1.bin"/><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L:\datos%20de%20TAN%20sorgo%20(Autoguardado)%20(Autoguardado).xls"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L:\datos%20de%20TAN%20sorgo%20(Autoguardado)%20(Autoguardado).xls"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L:\datos%20de%20TAN%20sorgo%20(Autoguardado).xls"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L:\datos%20de%20TAN%20sorgo%20(Autoguardado).xls"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L:\datos%20de%20TAN%20sorgo%20(Autoguardado).xls" TargetMode="External"/></Relationships>
</file>

<file path=word/charts/_rels/chart12.xml.rels><?xml version="1.0" encoding="UTF-8" standalone="yes"?>
<Relationships xmlns="http://schemas.openxmlformats.org/package/2006/relationships"><Relationship Id="rId3" Type="http://schemas.openxmlformats.org/officeDocument/2006/relationships/chartUserShapes" Target="../drawings/drawing9.xml"/><Relationship Id="rId2" Type="http://schemas.openxmlformats.org/officeDocument/2006/relationships/oleObject" Target="file:///L:\datos%20de%20TAN%20sorgo%20(Autoguardado)%20(Autoguardado).xls"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w="25400">
          <a:noFill/>
        </a:ln>
      </c:spPr>
      <c:txPr>
        <a:bodyPr/>
        <a:lstStyle/>
        <a:p>
          <a:pPr>
            <a:defRPr sz="900">
              <a:latin typeface="Arial" pitchFamily="34" charset="0"/>
              <a:cs typeface="Arial" pitchFamily="34" charset="0"/>
            </a:defRPr>
          </a:pPr>
          <a:endParaRPr lang="es-ES"/>
        </a:p>
      </c:txPr>
    </c:title>
    <c:autoTitleDeleted val="0"/>
    <c:plotArea>
      <c:layout>
        <c:manualLayout>
          <c:layoutTarget val="inner"/>
          <c:xMode val="edge"/>
          <c:yMode val="edge"/>
          <c:x val="0.1230111841115402"/>
          <c:y val="0.13563359580052495"/>
          <c:w val="0.85151110888209036"/>
          <c:h val="0.64304461942257218"/>
        </c:manualLayout>
      </c:layout>
      <c:lineChart>
        <c:grouping val="standard"/>
        <c:varyColors val="0"/>
        <c:ser>
          <c:idx val="0"/>
          <c:order val="0"/>
          <c:tx>
            <c:strRef>
              <c:f>'J:\de la ota máquina\Naivy\documentos guardados en la memoria\[Gráficos de artículo 2 ok.xls]Clima'!$C$2</c:f>
              <c:strCache>
                <c:ptCount val="1"/>
                <c:pt idx="0">
                  <c:v>2008(noviembre)</c:v>
                </c:pt>
              </c:strCache>
            </c:strRef>
          </c:tx>
          <c:spPr>
            <a:ln>
              <a:solidFill>
                <a:srgbClr val="FFFF00"/>
              </a:solidFill>
            </a:ln>
          </c:spPr>
          <c:marker>
            <c:spPr>
              <a:solidFill>
                <a:schemeClr val="tx1"/>
              </a:solidFill>
            </c:spPr>
          </c:marker>
          <c:dPt>
            <c:idx val="0"/>
            <c:marker>
              <c:spPr>
                <a:solidFill>
                  <a:schemeClr val="tx1"/>
                </a:solidFill>
                <a:ln>
                  <a:solidFill>
                    <a:srgbClr val="FFFF00"/>
                  </a:solidFill>
                </a:ln>
              </c:spPr>
            </c:marker>
            <c:bubble3D val="0"/>
            <c:extLst>
              <c:ext xmlns:c16="http://schemas.microsoft.com/office/drawing/2014/chart" uri="{C3380CC4-5D6E-409C-BE32-E72D297353CC}">
                <c16:uniqueId val="{00000000-B23A-4D8F-B3C5-466CED2C850E}"/>
              </c:ext>
            </c:extLst>
          </c:dPt>
          <c:dPt>
            <c:idx val="1"/>
            <c:marker>
              <c:spPr>
                <a:solidFill>
                  <a:schemeClr val="tx1"/>
                </a:solidFill>
                <a:ln>
                  <a:solidFill>
                    <a:srgbClr val="FFFF00"/>
                  </a:solidFill>
                </a:ln>
              </c:spPr>
            </c:marker>
            <c:bubble3D val="0"/>
            <c:spPr>
              <a:ln w="31750">
                <a:solidFill>
                  <a:schemeClr val="tx1">
                    <a:alpha val="50000"/>
                  </a:schemeClr>
                </a:solidFill>
                <a:prstDash val="sysDot"/>
              </a:ln>
            </c:spPr>
            <c:extLst>
              <c:ext xmlns:c16="http://schemas.microsoft.com/office/drawing/2014/chart" uri="{C3380CC4-5D6E-409C-BE32-E72D297353CC}">
                <c16:uniqueId val="{00000002-B23A-4D8F-B3C5-466CED2C850E}"/>
              </c:ext>
            </c:extLst>
          </c:dPt>
          <c:dPt>
            <c:idx val="2"/>
            <c:marker>
              <c:spPr>
                <a:solidFill>
                  <a:schemeClr val="tx1"/>
                </a:solidFill>
                <a:ln>
                  <a:solidFill>
                    <a:srgbClr val="FFFF00"/>
                  </a:solidFill>
                </a:ln>
              </c:spPr>
            </c:marker>
            <c:bubble3D val="0"/>
            <c:spPr>
              <a:ln w="34925">
                <a:solidFill>
                  <a:schemeClr val="tx1">
                    <a:alpha val="50000"/>
                  </a:schemeClr>
                </a:solidFill>
                <a:prstDash val="sysDot"/>
              </a:ln>
            </c:spPr>
            <c:extLst>
              <c:ext xmlns:c16="http://schemas.microsoft.com/office/drawing/2014/chart" uri="{C3380CC4-5D6E-409C-BE32-E72D297353CC}">
                <c16:uniqueId val="{00000004-B23A-4D8F-B3C5-466CED2C850E}"/>
              </c:ext>
            </c:extLst>
          </c:dPt>
          <c:dPt>
            <c:idx val="3"/>
            <c:marker>
              <c:spPr>
                <a:solidFill>
                  <a:schemeClr val="tx1"/>
                </a:solidFill>
                <a:ln>
                  <a:solidFill>
                    <a:srgbClr val="FFFF00"/>
                  </a:solidFill>
                </a:ln>
              </c:spPr>
            </c:marker>
            <c:bubble3D val="0"/>
            <c:spPr>
              <a:ln w="31750">
                <a:solidFill>
                  <a:schemeClr val="tx1">
                    <a:alpha val="50000"/>
                  </a:schemeClr>
                </a:solidFill>
                <a:prstDash val="sysDot"/>
              </a:ln>
            </c:spPr>
            <c:extLst>
              <c:ext xmlns:c16="http://schemas.microsoft.com/office/drawing/2014/chart" uri="{C3380CC4-5D6E-409C-BE32-E72D297353CC}">
                <c16:uniqueId val="{00000006-B23A-4D8F-B3C5-466CED2C850E}"/>
              </c:ext>
            </c:extLst>
          </c:dPt>
          <c:dPt>
            <c:idx val="4"/>
            <c:marker>
              <c:spPr>
                <a:solidFill>
                  <a:schemeClr val="tx1"/>
                </a:solidFill>
                <a:ln>
                  <a:solidFill>
                    <a:srgbClr val="FFFF00"/>
                  </a:solidFill>
                </a:ln>
              </c:spPr>
            </c:marker>
            <c:bubble3D val="0"/>
            <c:spPr>
              <a:ln w="31750">
                <a:solidFill>
                  <a:schemeClr val="tx1">
                    <a:alpha val="50000"/>
                  </a:schemeClr>
                </a:solidFill>
                <a:prstDash val="sysDot"/>
              </a:ln>
            </c:spPr>
            <c:extLst>
              <c:ext xmlns:c16="http://schemas.microsoft.com/office/drawing/2014/chart" uri="{C3380CC4-5D6E-409C-BE32-E72D297353CC}">
                <c16:uniqueId val="{00000008-B23A-4D8F-B3C5-466CED2C850E}"/>
              </c:ext>
            </c:extLst>
          </c:dPt>
          <c:cat>
            <c:strRef>
              <c:f>'J:\de la ota máquina\Naivy\documentos guardados en la memoria\[Gráficos de artículo 2 ok.xls]Clima'!$B$3:$B$7</c:f>
              <c:strCache>
                <c:ptCount val="5"/>
                <c:pt idx="0">
                  <c:v>noviembre</c:v>
                </c:pt>
                <c:pt idx="1">
                  <c:v>diciembre</c:v>
                </c:pt>
                <c:pt idx="2">
                  <c:v>enero</c:v>
                </c:pt>
                <c:pt idx="3">
                  <c:v>febrero</c:v>
                </c:pt>
                <c:pt idx="4">
                  <c:v>marzo</c:v>
                </c:pt>
              </c:strCache>
            </c:strRef>
          </c:cat>
          <c:val>
            <c:numRef>
              <c:f>'J:\de la ota máquina\Naivy\documentos guardados en la memoria\[Gráficos de artículo 2 ok.xls]Clima'!$C$3:$C$7</c:f>
              <c:numCache>
                <c:formatCode>General</c:formatCode>
                <c:ptCount val="5"/>
                <c:pt idx="0">
                  <c:v>21.35</c:v>
                </c:pt>
                <c:pt idx="1">
                  <c:v>24.75</c:v>
                </c:pt>
                <c:pt idx="2">
                  <c:v>19.899999999999999</c:v>
                </c:pt>
                <c:pt idx="3">
                  <c:v>19.2</c:v>
                </c:pt>
                <c:pt idx="4">
                  <c:v>21.6</c:v>
                </c:pt>
              </c:numCache>
            </c:numRef>
          </c:val>
          <c:smooth val="0"/>
          <c:extLst>
            <c:ext xmlns:c16="http://schemas.microsoft.com/office/drawing/2014/chart" uri="{C3380CC4-5D6E-409C-BE32-E72D297353CC}">
              <c16:uniqueId val="{00000009-B23A-4D8F-B3C5-466CED2C850E}"/>
            </c:ext>
          </c:extLst>
        </c:ser>
        <c:dLbls>
          <c:showLegendKey val="0"/>
          <c:showVal val="0"/>
          <c:showCatName val="0"/>
          <c:showSerName val="0"/>
          <c:showPercent val="0"/>
          <c:showBubbleSize val="0"/>
        </c:dLbls>
        <c:marker val="1"/>
        <c:smooth val="0"/>
        <c:axId val="188957056"/>
        <c:axId val="188958592"/>
      </c:lineChart>
      <c:catAx>
        <c:axId val="188957056"/>
        <c:scaling>
          <c:orientation val="minMax"/>
        </c:scaling>
        <c:delete val="0"/>
        <c:axPos val="b"/>
        <c:numFmt formatCode="General" sourceLinked="1"/>
        <c:majorTickMark val="out"/>
        <c:minorTickMark val="none"/>
        <c:tickLblPos val="nextTo"/>
        <c:spPr>
          <a:ln w="28575">
            <a:solidFill>
              <a:schemeClr val="tx1"/>
            </a:solidFill>
          </a:ln>
        </c:spPr>
        <c:txPr>
          <a:bodyPr/>
          <a:lstStyle/>
          <a:p>
            <a:pPr>
              <a:defRPr sz="900"/>
            </a:pPr>
            <a:endParaRPr lang="es-ES"/>
          </a:p>
        </c:txPr>
        <c:crossAx val="188958592"/>
        <c:crosses val="autoZero"/>
        <c:auto val="1"/>
        <c:lblAlgn val="ctr"/>
        <c:lblOffset val="100"/>
        <c:noMultiLvlLbl val="0"/>
      </c:catAx>
      <c:valAx>
        <c:axId val="188958592"/>
        <c:scaling>
          <c:orientation val="minMax"/>
          <c:max val="28"/>
          <c:min val="19"/>
        </c:scaling>
        <c:delete val="0"/>
        <c:axPos val="l"/>
        <c:numFmt formatCode="General" sourceLinked="1"/>
        <c:majorTickMark val="out"/>
        <c:minorTickMark val="none"/>
        <c:tickLblPos val="nextTo"/>
        <c:spPr>
          <a:noFill/>
          <a:ln w="28575">
            <a:solidFill>
              <a:schemeClr val="tx1"/>
            </a:solidFill>
          </a:ln>
        </c:spPr>
        <c:txPr>
          <a:bodyPr/>
          <a:lstStyle/>
          <a:p>
            <a:pPr>
              <a:defRPr sz="900"/>
            </a:pPr>
            <a:endParaRPr lang="es-ES"/>
          </a:p>
        </c:txPr>
        <c:crossAx val="188957056"/>
        <c:crosses val="autoZero"/>
        <c:crossBetween val="between"/>
        <c:majorUnit val="1"/>
        <c:minorUnit val="1"/>
      </c:valAx>
      <c:spPr>
        <a:noFill/>
        <a:ln w="25400">
          <a:noFill/>
        </a:ln>
      </c:spPr>
    </c:plotArea>
    <c:plotVisOnly val="1"/>
    <c:dispBlanksAs val="gap"/>
    <c:showDLblsOverMax val="0"/>
  </c:chart>
  <c:spPr>
    <a:noFill/>
    <a:ln w="9525">
      <a:noFill/>
    </a:ln>
  </c:sp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3752678817245747"/>
          <c:y val="0"/>
        </c:manualLayout>
      </c:layout>
      <c:overlay val="0"/>
      <c:spPr>
        <a:noFill/>
        <a:ln w="25400">
          <a:noFill/>
        </a:ln>
      </c:spPr>
      <c:txPr>
        <a:bodyPr/>
        <a:lstStyle/>
        <a:p>
          <a:pPr>
            <a:defRPr sz="900">
              <a:latin typeface="Arial" pitchFamily="34" charset="0"/>
              <a:cs typeface="Arial" pitchFamily="34" charset="0"/>
            </a:defRPr>
          </a:pPr>
          <a:endParaRPr lang="es-ES"/>
        </a:p>
      </c:txPr>
    </c:title>
    <c:autoTitleDeleted val="0"/>
    <c:plotArea>
      <c:layout>
        <c:manualLayout>
          <c:layoutTarget val="inner"/>
          <c:xMode val="edge"/>
          <c:yMode val="edge"/>
          <c:x val="0.12081970522915404"/>
          <c:y val="0.15040240572943459"/>
          <c:w val="0.82789824348879471"/>
          <c:h val="0.62505229559872855"/>
        </c:manualLayout>
      </c:layout>
      <c:lineChart>
        <c:grouping val="standard"/>
        <c:varyColors val="0"/>
        <c:ser>
          <c:idx val="0"/>
          <c:order val="0"/>
          <c:tx>
            <c:strRef>
              <c:f>[1]Clima!$G$2</c:f>
              <c:strCache>
                <c:ptCount val="1"/>
                <c:pt idx="0">
                  <c:v>2009(junio)</c:v>
                </c:pt>
              </c:strCache>
            </c:strRef>
          </c:tx>
          <c:spPr>
            <a:ln w="31750" cmpd="sng">
              <a:solidFill>
                <a:schemeClr val="tx1">
                  <a:alpha val="50000"/>
                </a:schemeClr>
              </a:solidFill>
              <a:prstDash val="sysDot"/>
            </a:ln>
          </c:spPr>
          <c:marker>
            <c:symbol val="diamond"/>
            <c:size val="7"/>
            <c:spPr>
              <a:solidFill>
                <a:schemeClr val="tx1"/>
              </a:solidFill>
              <a:ln>
                <a:solidFill>
                  <a:srgbClr val="FFFF00"/>
                </a:solidFill>
              </a:ln>
            </c:spPr>
          </c:marker>
          <c:cat>
            <c:strRef>
              <c:f>[1]Clima!$F$3:$F$6</c:f>
              <c:strCache>
                <c:ptCount val="4"/>
                <c:pt idx="0">
                  <c:v>junio</c:v>
                </c:pt>
                <c:pt idx="1">
                  <c:v>julio</c:v>
                </c:pt>
                <c:pt idx="2">
                  <c:v>agosto</c:v>
                </c:pt>
                <c:pt idx="3">
                  <c:v>septiembre</c:v>
                </c:pt>
              </c:strCache>
            </c:strRef>
          </c:cat>
          <c:val>
            <c:numRef>
              <c:f>[1]Clima!$G$3:$G$6</c:f>
              <c:numCache>
                <c:formatCode>General</c:formatCode>
                <c:ptCount val="4"/>
                <c:pt idx="0">
                  <c:v>26.05</c:v>
                </c:pt>
                <c:pt idx="1">
                  <c:v>27.65</c:v>
                </c:pt>
                <c:pt idx="2">
                  <c:v>27.55</c:v>
                </c:pt>
                <c:pt idx="3">
                  <c:v>26.3</c:v>
                </c:pt>
              </c:numCache>
            </c:numRef>
          </c:val>
          <c:smooth val="0"/>
          <c:extLst>
            <c:ext xmlns:c16="http://schemas.microsoft.com/office/drawing/2014/chart" uri="{C3380CC4-5D6E-409C-BE32-E72D297353CC}">
              <c16:uniqueId val="{00000000-E1AC-43DB-AC72-6E31A23E5F87}"/>
            </c:ext>
          </c:extLst>
        </c:ser>
        <c:dLbls>
          <c:showLegendKey val="0"/>
          <c:showVal val="0"/>
          <c:showCatName val="0"/>
          <c:showSerName val="0"/>
          <c:showPercent val="0"/>
          <c:showBubbleSize val="0"/>
        </c:dLbls>
        <c:marker val="1"/>
        <c:smooth val="0"/>
        <c:axId val="185266176"/>
        <c:axId val="185267712"/>
      </c:lineChart>
      <c:catAx>
        <c:axId val="185266176"/>
        <c:scaling>
          <c:orientation val="minMax"/>
        </c:scaling>
        <c:delete val="0"/>
        <c:axPos val="b"/>
        <c:numFmt formatCode="General" sourceLinked="1"/>
        <c:majorTickMark val="out"/>
        <c:minorTickMark val="none"/>
        <c:tickLblPos val="nextTo"/>
        <c:spPr>
          <a:ln w="28575">
            <a:solidFill>
              <a:schemeClr val="tx1"/>
            </a:solidFill>
          </a:ln>
        </c:spPr>
        <c:txPr>
          <a:bodyPr/>
          <a:lstStyle/>
          <a:p>
            <a:pPr>
              <a:defRPr sz="900">
                <a:latin typeface="Arial" pitchFamily="34" charset="0"/>
                <a:cs typeface="Arial" pitchFamily="34" charset="0"/>
              </a:defRPr>
            </a:pPr>
            <a:endParaRPr lang="es-ES"/>
          </a:p>
        </c:txPr>
        <c:crossAx val="185267712"/>
        <c:crosses val="autoZero"/>
        <c:auto val="1"/>
        <c:lblAlgn val="ctr"/>
        <c:lblOffset val="100"/>
        <c:noMultiLvlLbl val="0"/>
      </c:catAx>
      <c:valAx>
        <c:axId val="185267712"/>
        <c:scaling>
          <c:orientation val="minMax"/>
          <c:max val="28"/>
          <c:min val="19"/>
        </c:scaling>
        <c:delete val="0"/>
        <c:axPos val="l"/>
        <c:numFmt formatCode="General" sourceLinked="1"/>
        <c:majorTickMark val="out"/>
        <c:minorTickMark val="none"/>
        <c:tickLblPos val="nextTo"/>
        <c:spPr>
          <a:ln w="28575">
            <a:solidFill>
              <a:schemeClr val="tx1"/>
            </a:solidFill>
          </a:ln>
        </c:spPr>
        <c:crossAx val="185266176"/>
        <c:crosses val="autoZero"/>
        <c:crossBetween val="between"/>
        <c:majorUnit val="1"/>
        <c:minorUnit val="1"/>
      </c:valAx>
      <c:spPr>
        <a:noFill/>
        <a:ln w="25400">
          <a:noFill/>
        </a:ln>
      </c:spPr>
    </c:plotArea>
    <c:plotVisOnly val="1"/>
    <c:dispBlanksAs val="gap"/>
    <c:showDLblsOverMax val="0"/>
  </c:chart>
  <c:spPr>
    <a:noFill/>
    <a:ln w="9525">
      <a:noFill/>
    </a:ln>
  </c:sp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w="25400">
          <a:noFill/>
        </a:ln>
      </c:spPr>
      <c:txPr>
        <a:bodyPr/>
        <a:lstStyle/>
        <a:p>
          <a:pPr>
            <a:defRPr sz="900">
              <a:latin typeface="Arial" pitchFamily="34" charset="0"/>
              <a:cs typeface="Arial" pitchFamily="34" charset="0"/>
            </a:defRPr>
          </a:pPr>
          <a:endParaRPr lang="es-ES"/>
        </a:p>
      </c:txPr>
    </c:title>
    <c:autoTitleDeleted val="0"/>
    <c:plotArea>
      <c:layout>
        <c:manualLayout>
          <c:layoutTarget val="inner"/>
          <c:xMode val="edge"/>
          <c:yMode val="edge"/>
          <c:x val="9.1856358864232879E-2"/>
          <c:y val="0.18818629066715498"/>
          <c:w val="0.86647697446910044"/>
          <c:h val="0.4894571201855582"/>
        </c:manualLayout>
      </c:layout>
      <c:lineChart>
        <c:grouping val="standard"/>
        <c:varyColors val="0"/>
        <c:ser>
          <c:idx val="0"/>
          <c:order val="0"/>
          <c:tx>
            <c:strRef>
              <c:f>[1]Clima!$J$2</c:f>
              <c:strCache>
                <c:ptCount val="1"/>
                <c:pt idx="0">
                  <c:v>2009(julio)</c:v>
                </c:pt>
              </c:strCache>
            </c:strRef>
          </c:tx>
          <c:spPr>
            <a:ln cmpd="sng">
              <a:solidFill>
                <a:schemeClr val="tx1">
                  <a:alpha val="50000"/>
                </a:schemeClr>
              </a:solidFill>
              <a:prstDash val="sysDot"/>
            </a:ln>
          </c:spPr>
          <c:marker>
            <c:symbol val="diamond"/>
            <c:size val="7"/>
            <c:spPr>
              <a:solidFill>
                <a:schemeClr val="tx1"/>
              </a:solidFill>
              <a:ln>
                <a:solidFill>
                  <a:srgbClr val="FFFF00"/>
                </a:solidFill>
              </a:ln>
            </c:spPr>
          </c:marker>
          <c:cat>
            <c:strRef>
              <c:f>[1]Clima!$I$3:$I$7</c:f>
              <c:strCache>
                <c:ptCount val="5"/>
                <c:pt idx="0">
                  <c:v>julio</c:v>
                </c:pt>
                <c:pt idx="1">
                  <c:v>agosto</c:v>
                </c:pt>
                <c:pt idx="2">
                  <c:v>septiembre</c:v>
                </c:pt>
                <c:pt idx="3">
                  <c:v>octubre</c:v>
                </c:pt>
                <c:pt idx="4">
                  <c:v>noviembre</c:v>
                </c:pt>
              </c:strCache>
            </c:strRef>
          </c:cat>
          <c:val>
            <c:numRef>
              <c:f>[1]Clima!$J$3:$J$7</c:f>
              <c:numCache>
                <c:formatCode>General</c:formatCode>
                <c:ptCount val="5"/>
                <c:pt idx="0">
                  <c:v>27.65</c:v>
                </c:pt>
                <c:pt idx="1">
                  <c:v>27.55</c:v>
                </c:pt>
                <c:pt idx="2">
                  <c:v>26.3</c:v>
                </c:pt>
                <c:pt idx="3">
                  <c:v>24</c:v>
                </c:pt>
                <c:pt idx="4">
                  <c:v>22.8</c:v>
                </c:pt>
              </c:numCache>
            </c:numRef>
          </c:val>
          <c:smooth val="0"/>
          <c:extLst>
            <c:ext xmlns:c16="http://schemas.microsoft.com/office/drawing/2014/chart" uri="{C3380CC4-5D6E-409C-BE32-E72D297353CC}">
              <c16:uniqueId val="{00000000-5A47-412C-B97C-BE95468723CF}"/>
            </c:ext>
          </c:extLst>
        </c:ser>
        <c:dLbls>
          <c:showLegendKey val="0"/>
          <c:showVal val="0"/>
          <c:showCatName val="0"/>
          <c:showSerName val="0"/>
          <c:showPercent val="0"/>
          <c:showBubbleSize val="0"/>
        </c:dLbls>
        <c:marker val="1"/>
        <c:smooth val="0"/>
        <c:axId val="186319232"/>
        <c:axId val="186321152"/>
      </c:lineChart>
      <c:catAx>
        <c:axId val="186319232"/>
        <c:scaling>
          <c:orientation val="minMax"/>
        </c:scaling>
        <c:delete val="0"/>
        <c:axPos val="b"/>
        <c:numFmt formatCode="General" sourceLinked="1"/>
        <c:majorTickMark val="out"/>
        <c:minorTickMark val="none"/>
        <c:tickLblPos val="nextTo"/>
        <c:spPr>
          <a:ln w="28575">
            <a:solidFill>
              <a:schemeClr val="tx1"/>
            </a:solidFill>
          </a:ln>
        </c:spPr>
        <c:txPr>
          <a:bodyPr/>
          <a:lstStyle/>
          <a:p>
            <a:pPr>
              <a:defRPr sz="900">
                <a:latin typeface="Arial" pitchFamily="34" charset="0"/>
                <a:cs typeface="Arial" pitchFamily="34" charset="0"/>
              </a:defRPr>
            </a:pPr>
            <a:endParaRPr lang="es-ES"/>
          </a:p>
        </c:txPr>
        <c:crossAx val="186321152"/>
        <c:crosses val="autoZero"/>
        <c:auto val="1"/>
        <c:lblAlgn val="ctr"/>
        <c:lblOffset val="100"/>
        <c:noMultiLvlLbl val="0"/>
      </c:catAx>
      <c:valAx>
        <c:axId val="186321152"/>
        <c:scaling>
          <c:orientation val="minMax"/>
          <c:max val="28"/>
          <c:min val="19"/>
        </c:scaling>
        <c:delete val="0"/>
        <c:axPos val="l"/>
        <c:numFmt formatCode="General" sourceLinked="1"/>
        <c:majorTickMark val="out"/>
        <c:minorTickMark val="none"/>
        <c:tickLblPos val="nextTo"/>
        <c:spPr>
          <a:noFill/>
          <a:ln w="28575">
            <a:solidFill>
              <a:schemeClr val="tx1"/>
            </a:solidFill>
          </a:ln>
        </c:spPr>
        <c:txPr>
          <a:bodyPr/>
          <a:lstStyle/>
          <a:p>
            <a:pPr>
              <a:defRPr sz="900">
                <a:latin typeface="Arial" pitchFamily="34" charset="0"/>
                <a:cs typeface="Arial" pitchFamily="34" charset="0"/>
              </a:defRPr>
            </a:pPr>
            <a:endParaRPr lang="es-ES"/>
          </a:p>
        </c:txPr>
        <c:crossAx val="186319232"/>
        <c:crosses val="autoZero"/>
        <c:crossBetween val="between"/>
        <c:majorUnit val="1"/>
        <c:minorUnit val="1"/>
      </c:valAx>
      <c:spPr>
        <a:noFill/>
        <a:ln w="25400">
          <a:noFill/>
        </a:ln>
      </c:spPr>
    </c:plotArea>
    <c:plotVisOnly val="1"/>
    <c:dispBlanksAs val="gap"/>
    <c:showDLblsOverMax val="0"/>
  </c:chart>
  <c:spPr>
    <a:noFill/>
    <a:ln w="9525">
      <a:noFill/>
    </a:ln>
  </c:sp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377641919679303"/>
          <c:y val="0.15757547029029398"/>
          <c:w val="0.67161841368878106"/>
          <c:h val="0.63488408430551535"/>
        </c:manualLayout>
      </c:layout>
      <c:scatterChart>
        <c:scatterStyle val="lineMarker"/>
        <c:varyColors val="0"/>
        <c:ser>
          <c:idx val="0"/>
          <c:order val="0"/>
          <c:tx>
            <c:strRef>
              <c:f>Hoja0!$M$3</c:f>
              <c:strCache>
                <c:ptCount val="1"/>
                <c:pt idx="0">
                  <c:v>Nov. 2008</c:v>
                </c:pt>
              </c:strCache>
            </c:strRef>
          </c:tx>
          <c:spPr>
            <a:ln w="38100">
              <a:solidFill>
                <a:schemeClr val="tx1">
                  <a:lumMod val="50000"/>
                  <a:lumOff val="50000"/>
                </a:schemeClr>
              </a:solidFill>
            </a:ln>
          </c:spPr>
          <c:marker>
            <c:symbol val="diamond"/>
            <c:size val="7"/>
            <c:spPr>
              <a:solidFill>
                <a:schemeClr val="tx1">
                  <a:lumMod val="50000"/>
                  <a:lumOff val="50000"/>
                </a:schemeClr>
              </a:solidFill>
              <a:ln w="6350">
                <a:solidFill>
                  <a:schemeClr val="tx1"/>
                </a:solidFill>
              </a:ln>
            </c:spPr>
          </c:marker>
          <c:xVal>
            <c:numRef>
              <c:f>Hoja0!$L$4:$L$24</c:f>
              <c:numCache>
                <c:formatCode>General</c:formatCode>
                <c:ptCount val="21"/>
                <c:pt idx="0">
                  <c:v>15</c:v>
                </c:pt>
                <c:pt idx="1">
                  <c:v>30</c:v>
                </c:pt>
                <c:pt idx="2">
                  <c:v>37</c:v>
                </c:pt>
                <c:pt idx="3">
                  <c:v>40</c:v>
                </c:pt>
                <c:pt idx="4">
                  <c:v>43</c:v>
                </c:pt>
                <c:pt idx="5">
                  <c:v>45</c:v>
                </c:pt>
                <c:pt idx="6">
                  <c:v>50</c:v>
                </c:pt>
                <c:pt idx="7">
                  <c:v>54</c:v>
                </c:pt>
                <c:pt idx="8">
                  <c:v>57</c:v>
                </c:pt>
                <c:pt idx="9">
                  <c:v>60</c:v>
                </c:pt>
                <c:pt idx="10">
                  <c:v>69</c:v>
                </c:pt>
                <c:pt idx="11">
                  <c:v>71</c:v>
                </c:pt>
                <c:pt idx="12">
                  <c:v>75</c:v>
                </c:pt>
                <c:pt idx="13">
                  <c:v>78</c:v>
                </c:pt>
                <c:pt idx="14">
                  <c:v>85</c:v>
                </c:pt>
                <c:pt idx="15">
                  <c:v>90</c:v>
                </c:pt>
                <c:pt idx="16">
                  <c:v>93</c:v>
                </c:pt>
                <c:pt idx="17">
                  <c:v>99</c:v>
                </c:pt>
                <c:pt idx="18">
                  <c:v>105</c:v>
                </c:pt>
                <c:pt idx="19">
                  <c:v>113</c:v>
                </c:pt>
                <c:pt idx="20">
                  <c:v>120</c:v>
                </c:pt>
              </c:numCache>
            </c:numRef>
          </c:xVal>
          <c:yVal>
            <c:numRef>
              <c:f>Hoja0!$M$4:$M$24</c:f>
              <c:numCache>
                <c:formatCode>0.00</c:formatCode>
                <c:ptCount val="21"/>
                <c:pt idx="0">
                  <c:v>0.91475409359116999</c:v>
                </c:pt>
                <c:pt idx="1">
                  <c:v>11.6802572267994</c:v>
                </c:pt>
                <c:pt idx="2">
                  <c:v>29.948642560147199</c:v>
                </c:pt>
                <c:pt idx="3">
                  <c:v>42.729946602235302</c:v>
                </c:pt>
                <c:pt idx="4">
                  <c:v>59.230937601210897</c:v>
                </c:pt>
                <c:pt idx="5">
                  <c:v>72.464732845626401</c:v>
                </c:pt>
                <c:pt idx="6">
                  <c:v>113.420256036198</c:v>
                </c:pt>
                <c:pt idx="7">
                  <c:v>153.20179899120799</c:v>
                </c:pt>
                <c:pt idx="8">
                  <c:v>185.59446542517199</c:v>
                </c:pt>
                <c:pt idx="9">
                  <c:v>218.43751476023101</c:v>
                </c:pt>
                <c:pt idx="10">
                  <c:v>299.48849416314101</c:v>
                </c:pt>
                <c:pt idx="11">
                  <c:v>310.10656609391901</c:v>
                </c:pt>
                <c:pt idx="12">
                  <c:v>319.929289159679</c:v>
                </c:pt>
                <c:pt idx="13">
                  <c:v>316.65219662056302</c:v>
                </c:pt>
                <c:pt idx="14">
                  <c:v>276.30352784043703</c:v>
                </c:pt>
                <c:pt idx="15">
                  <c:v>227.67063472573599</c:v>
                </c:pt>
                <c:pt idx="16">
                  <c:v>195.047671906327</c:v>
                </c:pt>
                <c:pt idx="17">
                  <c:v>131.27784088423601</c:v>
                </c:pt>
                <c:pt idx="18">
                  <c:v>78.720216264289505</c:v>
                </c:pt>
                <c:pt idx="19">
                  <c:v>33.260283583792301</c:v>
                </c:pt>
                <c:pt idx="20">
                  <c:v>13.224881269863801</c:v>
                </c:pt>
              </c:numCache>
            </c:numRef>
          </c:yVal>
          <c:smooth val="1"/>
          <c:extLst>
            <c:ext xmlns:c16="http://schemas.microsoft.com/office/drawing/2014/chart" uri="{C3380CC4-5D6E-409C-BE32-E72D297353CC}">
              <c16:uniqueId val="{00000000-965D-4E2F-B866-75184E2F8CF7}"/>
            </c:ext>
          </c:extLst>
        </c:ser>
        <c:ser>
          <c:idx val="1"/>
          <c:order val="1"/>
          <c:tx>
            <c:strRef>
              <c:f>Hoja0!$N$3</c:f>
              <c:strCache>
                <c:ptCount val="1"/>
                <c:pt idx="0">
                  <c:v>Jun. 2009</c:v>
                </c:pt>
              </c:strCache>
            </c:strRef>
          </c:tx>
          <c:spPr>
            <a:ln w="38100">
              <a:solidFill>
                <a:schemeClr val="bg1">
                  <a:lumMod val="75000"/>
                </a:schemeClr>
              </a:solidFill>
            </a:ln>
          </c:spPr>
          <c:marker>
            <c:symbol val="star"/>
            <c:size val="7"/>
            <c:spPr>
              <a:noFill/>
              <a:ln cap="rnd">
                <a:solidFill>
                  <a:schemeClr val="tx1"/>
                </a:solidFill>
                <a:prstDash val="sysDot"/>
                <a:bevel/>
              </a:ln>
            </c:spPr>
          </c:marker>
          <c:xVal>
            <c:numRef>
              <c:f>Hoja0!$L$4:$L$24</c:f>
              <c:numCache>
                <c:formatCode>General</c:formatCode>
                <c:ptCount val="21"/>
                <c:pt idx="0">
                  <c:v>15</c:v>
                </c:pt>
                <c:pt idx="1">
                  <c:v>30</c:v>
                </c:pt>
                <c:pt idx="2">
                  <c:v>37</c:v>
                </c:pt>
                <c:pt idx="3">
                  <c:v>40</c:v>
                </c:pt>
                <c:pt idx="4">
                  <c:v>43</c:v>
                </c:pt>
                <c:pt idx="5">
                  <c:v>45</c:v>
                </c:pt>
                <c:pt idx="6">
                  <c:v>50</c:v>
                </c:pt>
                <c:pt idx="7">
                  <c:v>54</c:v>
                </c:pt>
                <c:pt idx="8">
                  <c:v>57</c:v>
                </c:pt>
                <c:pt idx="9">
                  <c:v>60</c:v>
                </c:pt>
                <c:pt idx="10">
                  <c:v>69</c:v>
                </c:pt>
                <c:pt idx="11">
                  <c:v>71</c:v>
                </c:pt>
                <c:pt idx="12">
                  <c:v>75</c:v>
                </c:pt>
                <c:pt idx="13">
                  <c:v>78</c:v>
                </c:pt>
                <c:pt idx="14">
                  <c:v>85</c:v>
                </c:pt>
                <c:pt idx="15">
                  <c:v>90</c:v>
                </c:pt>
                <c:pt idx="16">
                  <c:v>93</c:v>
                </c:pt>
                <c:pt idx="17">
                  <c:v>99</c:v>
                </c:pt>
                <c:pt idx="18">
                  <c:v>105</c:v>
                </c:pt>
                <c:pt idx="19">
                  <c:v>113</c:v>
                </c:pt>
                <c:pt idx="20">
                  <c:v>120</c:v>
                </c:pt>
              </c:numCache>
            </c:numRef>
          </c:xVal>
          <c:yVal>
            <c:numRef>
              <c:f>Hoja0!$N$4:$N$24</c:f>
              <c:numCache>
                <c:formatCode>0.00</c:formatCode>
                <c:ptCount val="21"/>
                <c:pt idx="0">
                  <c:v>2.1114501789178601</c:v>
                </c:pt>
                <c:pt idx="1">
                  <c:v>13.523785175053799</c:v>
                </c:pt>
                <c:pt idx="2">
                  <c:v>27.754528054047899</c:v>
                </c:pt>
                <c:pt idx="3">
                  <c:v>36.6990181024142</c:v>
                </c:pt>
                <c:pt idx="4">
                  <c:v>47.695592824052198</c:v>
                </c:pt>
                <c:pt idx="5">
                  <c:v>56.259504741927998</c:v>
                </c:pt>
                <c:pt idx="6">
                  <c:v>82.207784539076599</c:v>
                </c:pt>
                <c:pt idx="7">
                  <c:v>107.570451962338</c:v>
                </c:pt>
                <c:pt idx="8">
                  <c:v>128.98279198518199</c:v>
                </c:pt>
                <c:pt idx="9">
                  <c:v>152.01056119825299</c:v>
                </c:pt>
                <c:pt idx="10">
                  <c:v>224.346335851048</c:v>
                </c:pt>
                <c:pt idx="11">
                  <c:v>239.50900133334099</c:v>
                </c:pt>
                <c:pt idx="12">
                  <c:v>266.76683507521199</c:v>
                </c:pt>
                <c:pt idx="13">
                  <c:v>283.46084478610999</c:v>
                </c:pt>
                <c:pt idx="14">
                  <c:v>305.38552658657397</c:v>
                </c:pt>
                <c:pt idx="15">
                  <c:v>304.06758628439798</c:v>
                </c:pt>
                <c:pt idx="16">
                  <c:v>296.37898793455702</c:v>
                </c:pt>
                <c:pt idx="17">
                  <c:v>267.36934042563701</c:v>
                </c:pt>
                <c:pt idx="18">
                  <c:v>225.10680984786001</c:v>
                </c:pt>
                <c:pt idx="19">
                  <c:v>160.735314049712</c:v>
                </c:pt>
                <c:pt idx="20">
                  <c:v>108.23989350677201</c:v>
                </c:pt>
              </c:numCache>
            </c:numRef>
          </c:yVal>
          <c:smooth val="1"/>
          <c:extLst>
            <c:ext xmlns:c16="http://schemas.microsoft.com/office/drawing/2014/chart" uri="{C3380CC4-5D6E-409C-BE32-E72D297353CC}">
              <c16:uniqueId val="{00000001-965D-4E2F-B866-75184E2F8CF7}"/>
            </c:ext>
          </c:extLst>
        </c:ser>
        <c:ser>
          <c:idx val="2"/>
          <c:order val="2"/>
          <c:tx>
            <c:strRef>
              <c:f>Hoja0!$O$3</c:f>
              <c:strCache>
                <c:ptCount val="1"/>
                <c:pt idx="0">
                  <c:v>Jul. 2009</c:v>
                </c:pt>
              </c:strCache>
            </c:strRef>
          </c:tx>
          <c:spPr>
            <a:ln w="38100">
              <a:solidFill>
                <a:schemeClr val="tx1"/>
              </a:solidFill>
              <a:prstDash val="solid"/>
            </a:ln>
          </c:spPr>
          <c:marker>
            <c:spPr>
              <a:solidFill>
                <a:schemeClr val="tx1"/>
              </a:solidFill>
              <a:ln>
                <a:solidFill>
                  <a:schemeClr val="tx1"/>
                </a:solidFill>
              </a:ln>
            </c:spPr>
          </c:marker>
          <c:dPt>
            <c:idx val="18"/>
            <c:bubble3D val="0"/>
            <c:extLst>
              <c:ext xmlns:c16="http://schemas.microsoft.com/office/drawing/2014/chart" uri="{C3380CC4-5D6E-409C-BE32-E72D297353CC}">
                <c16:uniqueId val="{00000002-965D-4E2F-B866-75184E2F8CF7}"/>
              </c:ext>
            </c:extLst>
          </c:dPt>
          <c:xVal>
            <c:numRef>
              <c:f>Hoja0!$L$4:$L$24</c:f>
              <c:numCache>
                <c:formatCode>General</c:formatCode>
                <c:ptCount val="21"/>
                <c:pt idx="0">
                  <c:v>15</c:v>
                </c:pt>
                <c:pt idx="1">
                  <c:v>30</c:v>
                </c:pt>
                <c:pt idx="2">
                  <c:v>37</c:v>
                </c:pt>
                <c:pt idx="3">
                  <c:v>40</c:v>
                </c:pt>
                <c:pt idx="4">
                  <c:v>43</c:v>
                </c:pt>
                <c:pt idx="5">
                  <c:v>45</c:v>
                </c:pt>
                <c:pt idx="6">
                  <c:v>50</c:v>
                </c:pt>
                <c:pt idx="7">
                  <c:v>54</c:v>
                </c:pt>
                <c:pt idx="8">
                  <c:v>57</c:v>
                </c:pt>
                <c:pt idx="9">
                  <c:v>60</c:v>
                </c:pt>
                <c:pt idx="10">
                  <c:v>69</c:v>
                </c:pt>
                <c:pt idx="11">
                  <c:v>71</c:v>
                </c:pt>
                <c:pt idx="12">
                  <c:v>75</c:v>
                </c:pt>
                <c:pt idx="13">
                  <c:v>78</c:v>
                </c:pt>
                <c:pt idx="14">
                  <c:v>85</c:v>
                </c:pt>
                <c:pt idx="15">
                  <c:v>90</c:v>
                </c:pt>
                <c:pt idx="16">
                  <c:v>93</c:v>
                </c:pt>
                <c:pt idx="17">
                  <c:v>99</c:v>
                </c:pt>
                <c:pt idx="18">
                  <c:v>105</c:v>
                </c:pt>
                <c:pt idx="19">
                  <c:v>113</c:v>
                </c:pt>
                <c:pt idx="20">
                  <c:v>120</c:v>
                </c:pt>
              </c:numCache>
            </c:numRef>
          </c:xVal>
          <c:yVal>
            <c:numRef>
              <c:f>Hoja0!$O$4:$O$24</c:f>
              <c:numCache>
                <c:formatCode>0.00</c:formatCode>
                <c:ptCount val="21"/>
                <c:pt idx="0">
                  <c:v>2.2919890010564798</c:v>
                </c:pt>
                <c:pt idx="1">
                  <c:v>11.9039466929272</c:v>
                </c:pt>
                <c:pt idx="2">
                  <c:v>23.033645618953301</c:v>
                </c:pt>
                <c:pt idx="3">
                  <c:v>29.924274284337098</c:v>
                </c:pt>
                <c:pt idx="4">
                  <c:v>38.385354745066699</c:v>
                </c:pt>
                <c:pt idx="5">
                  <c:v>44.998088000956102</c:v>
                </c:pt>
                <c:pt idx="6">
                  <c:v>65.318153553657993</c:v>
                </c:pt>
                <c:pt idx="7">
                  <c:v>85.796138529718206</c:v>
                </c:pt>
                <c:pt idx="8">
                  <c:v>103.718033417904</c:v>
                </c:pt>
                <c:pt idx="9">
                  <c:v>123.80032680142</c:v>
                </c:pt>
                <c:pt idx="10">
                  <c:v>195.07888203057499</c:v>
                </c:pt>
                <c:pt idx="11">
                  <c:v>212.49617750693</c:v>
                </c:pt>
                <c:pt idx="12">
                  <c:v>247.898651665367</c:v>
                </c:pt>
                <c:pt idx="13">
                  <c:v>274.17483860795602</c:v>
                </c:pt>
                <c:pt idx="14">
                  <c:v>330.10804171054701</c:v>
                </c:pt>
                <c:pt idx="15">
                  <c:v>361.28604030479602</c:v>
                </c:pt>
                <c:pt idx="16">
                  <c:v>374.981240730325</c:v>
                </c:pt>
                <c:pt idx="17">
                  <c:v>388.838464881037</c:v>
                </c:pt>
                <c:pt idx="18">
                  <c:v>383.22412469510601</c:v>
                </c:pt>
                <c:pt idx="19">
                  <c:v>347.28855326745702</c:v>
                </c:pt>
                <c:pt idx="20">
                  <c:v>295.855156969993</c:v>
                </c:pt>
              </c:numCache>
            </c:numRef>
          </c:yVal>
          <c:smooth val="1"/>
          <c:extLst>
            <c:ext xmlns:c16="http://schemas.microsoft.com/office/drawing/2014/chart" uri="{C3380CC4-5D6E-409C-BE32-E72D297353CC}">
              <c16:uniqueId val="{00000003-965D-4E2F-B866-75184E2F8CF7}"/>
            </c:ext>
          </c:extLst>
        </c:ser>
        <c:dLbls>
          <c:showLegendKey val="0"/>
          <c:showVal val="0"/>
          <c:showCatName val="0"/>
          <c:showSerName val="0"/>
          <c:showPercent val="0"/>
          <c:showBubbleSize val="0"/>
        </c:dLbls>
        <c:axId val="186353920"/>
        <c:axId val="186364288"/>
      </c:scatterChart>
      <c:valAx>
        <c:axId val="186353920"/>
        <c:scaling>
          <c:orientation val="minMax"/>
        </c:scaling>
        <c:delete val="0"/>
        <c:axPos val="b"/>
        <c:numFmt formatCode="General" sourceLinked="1"/>
        <c:majorTickMark val="out"/>
        <c:minorTickMark val="none"/>
        <c:tickLblPos val="nextTo"/>
        <c:txPr>
          <a:bodyPr rot="0" vert="horz"/>
          <a:lstStyle/>
          <a:p>
            <a:pPr>
              <a:defRPr sz="1000" b="0" i="0" u="none" strike="noStrike" baseline="0">
                <a:solidFill>
                  <a:srgbClr val="000000"/>
                </a:solidFill>
                <a:latin typeface="Calibri"/>
                <a:ea typeface="Calibri"/>
                <a:cs typeface="Calibri"/>
              </a:defRPr>
            </a:pPr>
            <a:endParaRPr lang="es-ES"/>
          </a:p>
        </c:txPr>
        <c:crossAx val="186364288"/>
        <c:crossesAt val="0"/>
        <c:crossBetween val="midCat"/>
        <c:majorUnit val="20"/>
      </c:valAx>
      <c:valAx>
        <c:axId val="186364288"/>
        <c:scaling>
          <c:orientation val="minMax"/>
        </c:scaling>
        <c:delete val="0"/>
        <c:axPos val="l"/>
        <c:numFmt formatCode="0.00" sourceLinked="1"/>
        <c:majorTickMark val="out"/>
        <c:minorTickMark val="none"/>
        <c:tickLblPos val="nextTo"/>
        <c:txPr>
          <a:bodyPr rot="0" vert="horz"/>
          <a:lstStyle/>
          <a:p>
            <a:pPr>
              <a:defRPr/>
            </a:pPr>
            <a:endParaRPr lang="es-ES"/>
          </a:p>
        </c:txPr>
        <c:crossAx val="186353920"/>
        <c:crossesAt val="0"/>
        <c:crossBetween val="midCat"/>
      </c:valAx>
      <c:spPr>
        <a:noFill/>
        <a:ln w="25400">
          <a:noFill/>
        </a:ln>
      </c:spPr>
    </c:plotArea>
    <c:legend>
      <c:legendPos val="b"/>
      <c:layout>
        <c:manualLayout>
          <c:xMode val="edge"/>
          <c:yMode val="edge"/>
          <c:x val="0.15092583991160724"/>
          <c:y val="0.91583001957531229"/>
          <c:w val="0.66663266559699796"/>
          <c:h val="7.5251362810417916E-2"/>
        </c:manualLayout>
      </c:layout>
      <c:overlay val="0"/>
      <c:txPr>
        <a:bodyPr/>
        <a:lstStyle/>
        <a:p>
          <a:pPr>
            <a:defRPr sz="900"/>
          </a:pPr>
          <a:endParaRPr lang="es-ES"/>
        </a:p>
      </c:txPr>
    </c:legend>
    <c:plotVisOnly val="1"/>
    <c:dispBlanksAs val="gap"/>
    <c:showDLblsOverMax val="0"/>
  </c:chart>
  <c:spPr>
    <a:noFill/>
    <a:ln>
      <a:noFill/>
    </a:ln>
  </c:sp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2970724546781578"/>
          <c:y val="0.17617933748741438"/>
          <c:w val="0.75795704240585005"/>
          <c:h val="0.53051752491709414"/>
        </c:manualLayout>
      </c:layout>
      <c:scatterChart>
        <c:scatterStyle val="lineMarker"/>
        <c:varyColors val="0"/>
        <c:ser>
          <c:idx val="0"/>
          <c:order val="0"/>
          <c:tx>
            <c:strRef>
              <c:f>Hoja0!$M$51</c:f>
              <c:strCache>
                <c:ptCount val="1"/>
                <c:pt idx="0">
                  <c:v>Nov. 2008</c:v>
                </c:pt>
              </c:strCache>
            </c:strRef>
          </c:tx>
          <c:spPr>
            <a:ln w="38100">
              <a:solidFill>
                <a:schemeClr val="tx1">
                  <a:lumMod val="50000"/>
                  <a:lumOff val="50000"/>
                </a:schemeClr>
              </a:solidFill>
            </a:ln>
          </c:spPr>
          <c:marker>
            <c:symbol val="diamond"/>
            <c:size val="7"/>
            <c:spPr>
              <a:solidFill>
                <a:schemeClr val="tx1">
                  <a:lumMod val="50000"/>
                  <a:lumOff val="50000"/>
                </a:schemeClr>
              </a:solidFill>
              <a:ln w="9525">
                <a:solidFill>
                  <a:schemeClr val="tx1"/>
                </a:solidFill>
              </a:ln>
            </c:spPr>
          </c:marker>
          <c:xVal>
            <c:numRef>
              <c:f>Hoja0!$L$52:$L$72</c:f>
              <c:numCache>
                <c:formatCode>General</c:formatCode>
                <c:ptCount val="21"/>
                <c:pt idx="0">
                  <c:v>15</c:v>
                </c:pt>
                <c:pt idx="1">
                  <c:v>30</c:v>
                </c:pt>
                <c:pt idx="2">
                  <c:v>37</c:v>
                </c:pt>
                <c:pt idx="3">
                  <c:v>40</c:v>
                </c:pt>
                <c:pt idx="4">
                  <c:v>43</c:v>
                </c:pt>
                <c:pt idx="5">
                  <c:v>45</c:v>
                </c:pt>
                <c:pt idx="6">
                  <c:v>50</c:v>
                </c:pt>
                <c:pt idx="7">
                  <c:v>54</c:v>
                </c:pt>
                <c:pt idx="8">
                  <c:v>57</c:v>
                </c:pt>
                <c:pt idx="9">
                  <c:v>60</c:v>
                </c:pt>
                <c:pt idx="10">
                  <c:v>69</c:v>
                </c:pt>
                <c:pt idx="11">
                  <c:v>71</c:v>
                </c:pt>
                <c:pt idx="12">
                  <c:v>75</c:v>
                </c:pt>
                <c:pt idx="13">
                  <c:v>78</c:v>
                </c:pt>
                <c:pt idx="14">
                  <c:v>85</c:v>
                </c:pt>
                <c:pt idx="15">
                  <c:v>90</c:v>
                </c:pt>
                <c:pt idx="16">
                  <c:v>93</c:v>
                </c:pt>
                <c:pt idx="17">
                  <c:v>99</c:v>
                </c:pt>
                <c:pt idx="18">
                  <c:v>105</c:v>
                </c:pt>
                <c:pt idx="19">
                  <c:v>113</c:v>
                </c:pt>
                <c:pt idx="20">
                  <c:v>120</c:v>
                </c:pt>
              </c:numCache>
            </c:numRef>
          </c:xVal>
          <c:yVal>
            <c:numRef>
              <c:f>Hoja0!$M$52:$M$72</c:f>
              <c:numCache>
                <c:formatCode>0.00</c:formatCode>
                <c:ptCount val="21"/>
                <c:pt idx="0">
                  <c:v>0.27162984594338302</c:v>
                </c:pt>
                <c:pt idx="1">
                  <c:v>5.51217895708802</c:v>
                </c:pt>
                <c:pt idx="2">
                  <c:v>17.2683785585427</c:v>
                </c:pt>
                <c:pt idx="3">
                  <c:v>26.764061532632599</c:v>
                </c:pt>
                <c:pt idx="4">
                  <c:v>40.226138670080701</c:v>
                </c:pt>
                <c:pt idx="5">
                  <c:v>51.887867708341901</c:v>
                </c:pt>
                <c:pt idx="6">
                  <c:v>92.366097394105097</c:v>
                </c:pt>
                <c:pt idx="7">
                  <c:v>137.77859325064099</c:v>
                </c:pt>
                <c:pt idx="8">
                  <c:v>179.417770517403</c:v>
                </c:pt>
                <c:pt idx="9">
                  <c:v>226.57137121726299</c:v>
                </c:pt>
                <c:pt idx="10">
                  <c:v>379.45385680634803</c:v>
                </c:pt>
                <c:pt idx="11">
                  <c:v>409.84252477343</c:v>
                </c:pt>
                <c:pt idx="12">
                  <c:v>458.92417484592301</c:v>
                </c:pt>
                <c:pt idx="13">
                  <c:v>481.96524228088799</c:v>
                </c:pt>
                <c:pt idx="14">
                  <c:v>479.47176100345303</c:v>
                </c:pt>
                <c:pt idx="15">
                  <c:v>431.194817181877</c:v>
                </c:pt>
                <c:pt idx="16">
                  <c:v>388.35388551336001</c:v>
                </c:pt>
                <c:pt idx="17">
                  <c:v>287.27875035832602</c:v>
                </c:pt>
                <c:pt idx="18">
                  <c:v>187.93290296425599</c:v>
                </c:pt>
                <c:pt idx="19">
                  <c:v>88.153269646049495</c:v>
                </c:pt>
                <c:pt idx="20">
                  <c:v>37.995206232793997</c:v>
                </c:pt>
              </c:numCache>
            </c:numRef>
          </c:yVal>
          <c:smooth val="1"/>
          <c:extLst>
            <c:ext xmlns:c16="http://schemas.microsoft.com/office/drawing/2014/chart" uri="{C3380CC4-5D6E-409C-BE32-E72D297353CC}">
              <c16:uniqueId val="{00000000-383A-431A-95B7-37B3F85701D1}"/>
            </c:ext>
          </c:extLst>
        </c:ser>
        <c:ser>
          <c:idx val="1"/>
          <c:order val="1"/>
          <c:tx>
            <c:strRef>
              <c:f>Hoja0!$N$51</c:f>
              <c:strCache>
                <c:ptCount val="1"/>
                <c:pt idx="0">
                  <c:v>Jun. 2009</c:v>
                </c:pt>
              </c:strCache>
            </c:strRef>
          </c:tx>
          <c:spPr>
            <a:ln w="38100">
              <a:solidFill>
                <a:schemeClr val="bg1">
                  <a:lumMod val="75000"/>
                </a:schemeClr>
              </a:solidFill>
              <a:prstDash val="solid"/>
            </a:ln>
          </c:spPr>
          <c:marker>
            <c:symbol val="star"/>
            <c:size val="8"/>
            <c:spPr>
              <a:noFill/>
              <a:ln>
                <a:solidFill>
                  <a:schemeClr val="tx1"/>
                </a:solidFill>
                <a:prstDash val="sysDot"/>
              </a:ln>
            </c:spPr>
          </c:marker>
          <c:xVal>
            <c:numRef>
              <c:f>Hoja0!$L$52:$L$72</c:f>
              <c:numCache>
                <c:formatCode>General</c:formatCode>
                <c:ptCount val="21"/>
                <c:pt idx="0">
                  <c:v>15</c:v>
                </c:pt>
                <c:pt idx="1">
                  <c:v>30</c:v>
                </c:pt>
                <c:pt idx="2">
                  <c:v>37</c:v>
                </c:pt>
                <c:pt idx="3">
                  <c:v>40</c:v>
                </c:pt>
                <c:pt idx="4">
                  <c:v>43</c:v>
                </c:pt>
                <c:pt idx="5">
                  <c:v>45</c:v>
                </c:pt>
                <c:pt idx="6">
                  <c:v>50</c:v>
                </c:pt>
                <c:pt idx="7">
                  <c:v>54</c:v>
                </c:pt>
                <c:pt idx="8">
                  <c:v>57</c:v>
                </c:pt>
                <c:pt idx="9">
                  <c:v>60</c:v>
                </c:pt>
                <c:pt idx="10">
                  <c:v>69</c:v>
                </c:pt>
                <c:pt idx="11">
                  <c:v>71</c:v>
                </c:pt>
                <c:pt idx="12">
                  <c:v>75</c:v>
                </c:pt>
                <c:pt idx="13">
                  <c:v>78</c:v>
                </c:pt>
                <c:pt idx="14">
                  <c:v>85</c:v>
                </c:pt>
                <c:pt idx="15">
                  <c:v>90</c:v>
                </c:pt>
                <c:pt idx="16">
                  <c:v>93</c:v>
                </c:pt>
                <c:pt idx="17">
                  <c:v>99</c:v>
                </c:pt>
                <c:pt idx="18">
                  <c:v>105</c:v>
                </c:pt>
                <c:pt idx="19">
                  <c:v>113</c:v>
                </c:pt>
                <c:pt idx="20">
                  <c:v>120</c:v>
                </c:pt>
              </c:numCache>
            </c:numRef>
          </c:xVal>
          <c:yVal>
            <c:numRef>
              <c:f>Hoja0!$N$52:$N$72</c:f>
              <c:numCache>
                <c:formatCode>0.00</c:formatCode>
                <c:ptCount val="21"/>
                <c:pt idx="0">
                  <c:v>0.88026260610384</c:v>
                </c:pt>
                <c:pt idx="1">
                  <c:v>11.3253095009741</c:v>
                </c:pt>
                <c:pt idx="2">
                  <c:v>30.420751783886001</c:v>
                </c:pt>
                <c:pt idx="3">
                  <c:v>44.649361182619899</c:v>
                </c:pt>
                <c:pt idx="4">
                  <c:v>63.988603679758597</c:v>
                </c:pt>
                <c:pt idx="5">
                  <c:v>80.267515509892803</c:v>
                </c:pt>
                <c:pt idx="6">
                  <c:v>135.049313915516</c:v>
                </c:pt>
                <c:pt idx="7">
                  <c:v>195.22641742674301</c:v>
                </c:pt>
                <c:pt idx="8">
                  <c:v>250.31622035658299</c:v>
                </c:pt>
                <c:pt idx="9">
                  <c:v>313.38736085734001</c:v>
                </c:pt>
                <c:pt idx="10">
                  <c:v>532.98058627317096</c:v>
                </c:pt>
                <c:pt idx="11">
                  <c:v>582.50921205412499</c:v>
                </c:pt>
                <c:pt idx="12">
                  <c:v>674.02351565532297</c:v>
                </c:pt>
                <c:pt idx="13">
                  <c:v>731.34112048994405</c:v>
                </c:pt>
                <c:pt idx="14">
                  <c:v>806.38798689296902</c:v>
                </c:pt>
                <c:pt idx="15">
                  <c:v>798.58387273202698</c:v>
                </c:pt>
                <c:pt idx="16">
                  <c:v>769.08769444998495</c:v>
                </c:pt>
                <c:pt idx="17">
                  <c:v>664.06829625974001</c:v>
                </c:pt>
                <c:pt idx="18">
                  <c:v>521.21623810828703</c:v>
                </c:pt>
                <c:pt idx="19">
                  <c:v>325.31859680073399</c:v>
                </c:pt>
                <c:pt idx="20">
                  <c:v>187.39899370137201</c:v>
                </c:pt>
              </c:numCache>
            </c:numRef>
          </c:yVal>
          <c:smooth val="1"/>
          <c:extLst>
            <c:ext xmlns:c16="http://schemas.microsoft.com/office/drawing/2014/chart" uri="{C3380CC4-5D6E-409C-BE32-E72D297353CC}">
              <c16:uniqueId val="{00000001-383A-431A-95B7-37B3F85701D1}"/>
            </c:ext>
          </c:extLst>
        </c:ser>
        <c:ser>
          <c:idx val="2"/>
          <c:order val="2"/>
          <c:tx>
            <c:strRef>
              <c:f>Hoja0!$O$51</c:f>
              <c:strCache>
                <c:ptCount val="1"/>
                <c:pt idx="0">
                  <c:v>Jul. 2009</c:v>
                </c:pt>
              </c:strCache>
            </c:strRef>
          </c:tx>
          <c:spPr>
            <a:ln w="38100">
              <a:solidFill>
                <a:schemeClr val="tx1"/>
              </a:solidFill>
            </a:ln>
          </c:spPr>
          <c:marker>
            <c:symbol val="triangle"/>
            <c:size val="8"/>
            <c:spPr>
              <a:solidFill>
                <a:schemeClr val="tx1"/>
              </a:solidFill>
              <a:ln>
                <a:solidFill>
                  <a:schemeClr val="tx1">
                    <a:lumMod val="50000"/>
                    <a:lumOff val="50000"/>
                  </a:schemeClr>
                </a:solidFill>
              </a:ln>
            </c:spPr>
          </c:marker>
          <c:xVal>
            <c:numRef>
              <c:f>Hoja0!$L$52:$L$72</c:f>
              <c:numCache>
                <c:formatCode>General</c:formatCode>
                <c:ptCount val="21"/>
                <c:pt idx="0">
                  <c:v>15</c:v>
                </c:pt>
                <c:pt idx="1">
                  <c:v>30</c:v>
                </c:pt>
                <c:pt idx="2">
                  <c:v>37</c:v>
                </c:pt>
                <c:pt idx="3">
                  <c:v>40</c:v>
                </c:pt>
                <c:pt idx="4">
                  <c:v>43</c:v>
                </c:pt>
                <c:pt idx="5">
                  <c:v>45</c:v>
                </c:pt>
                <c:pt idx="6">
                  <c:v>50</c:v>
                </c:pt>
                <c:pt idx="7">
                  <c:v>54</c:v>
                </c:pt>
                <c:pt idx="8">
                  <c:v>57</c:v>
                </c:pt>
                <c:pt idx="9">
                  <c:v>60</c:v>
                </c:pt>
                <c:pt idx="10">
                  <c:v>69</c:v>
                </c:pt>
                <c:pt idx="11">
                  <c:v>71</c:v>
                </c:pt>
                <c:pt idx="12">
                  <c:v>75</c:v>
                </c:pt>
                <c:pt idx="13">
                  <c:v>78</c:v>
                </c:pt>
                <c:pt idx="14">
                  <c:v>85</c:v>
                </c:pt>
                <c:pt idx="15">
                  <c:v>90</c:v>
                </c:pt>
                <c:pt idx="16">
                  <c:v>93</c:v>
                </c:pt>
                <c:pt idx="17">
                  <c:v>99</c:v>
                </c:pt>
                <c:pt idx="18">
                  <c:v>105</c:v>
                </c:pt>
                <c:pt idx="19">
                  <c:v>113</c:v>
                </c:pt>
                <c:pt idx="20">
                  <c:v>120</c:v>
                </c:pt>
              </c:numCache>
            </c:numRef>
          </c:xVal>
          <c:yVal>
            <c:numRef>
              <c:f>Hoja0!$O$52:$O$72</c:f>
              <c:numCache>
                <c:formatCode>0.00</c:formatCode>
                <c:ptCount val="21"/>
                <c:pt idx="0">
                  <c:v>0.63686982541492498</c:v>
                </c:pt>
                <c:pt idx="1">
                  <c:v>9.0798711319866108</c:v>
                </c:pt>
                <c:pt idx="2">
                  <c:v>25.3315334229491</c:v>
                </c:pt>
                <c:pt idx="3">
                  <c:v>37.715079454063201</c:v>
                </c:pt>
                <c:pt idx="4">
                  <c:v>54.764928598769799</c:v>
                </c:pt>
                <c:pt idx="5">
                  <c:v>69.256014965290106</c:v>
                </c:pt>
                <c:pt idx="6">
                  <c:v>118.636002156847</c:v>
                </c:pt>
                <c:pt idx="7">
                  <c:v>173.57677348743701</c:v>
                </c:pt>
                <c:pt idx="8">
                  <c:v>224.26984679264899</c:v>
                </c:pt>
                <c:pt idx="9">
                  <c:v>282.60778001431999</c:v>
                </c:pt>
                <c:pt idx="10">
                  <c:v>486.66207935160799</c:v>
                </c:pt>
                <c:pt idx="11">
                  <c:v>532.59964135802102</c:v>
                </c:pt>
                <c:pt idx="12">
                  <c:v>616.96358332511295</c:v>
                </c:pt>
                <c:pt idx="13">
                  <c:v>669.07756827075605</c:v>
                </c:pt>
                <c:pt idx="14">
                  <c:v>733.48709228641599</c:v>
                </c:pt>
                <c:pt idx="15">
                  <c:v>720.582562905911</c:v>
                </c:pt>
                <c:pt idx="16">
                  <c:v>689.55743965000897</c:v>
                </c:pt>
                <c:pt idx="17">
                  <c:v>585.79505915304696</c:v>
                </c:pt>
                <c:pt idx="18">
                  <c:v>450.25315893983702</c:v>
                </c:pt>
                <c:pt idx="19">
                  <c:v>271.30672298821497</c:v>
                </c:pt>
                <c:pt idx="20">
                  <c:v>150.51458653638801</c:v>
                </c:pt>
              </c:numCache>
            </c:numRef>
          </c:yVal>
          <c:smooth val="1"/>
          <c:extLst>
            <c:ext xmlns:c16="http://schemas.microsoft.com/office/drawing/2014/chart" uri="{C3380CC4-5D6E-409C-BE32-E72D297353CC}">
              <c16:uniqueId val="{00000002-383A-431A-95B7-37B3F85701D1}"/>
            </c:ext>
          </c:extLst>
        </c:ser>
        <c:dLbls>
          <c:showLegendKey val="0"/>
          <c:showVal val="0"/>
          <c:showCatName val="0"/>
          <c:showSerName val="0"/>
          <c:showPercent val="0"/>
          <c:showBubbleSize val="0"/>
        </c:dLbls>
        <c:axId val="186385152"/>
        <c:axId val="186387072"/>
      </c:scatterChart>
      <c:valAx>
        <c:axId val="186385152"/>
        <c:scaling>
          <c:orientation val="minMax"/>
          <c:max val="150"/>
          <c:min val="0"/>
        </c:scaling>
        <c:delete val="0"/>
        <c:axPos val="b"/>
        <c:numFmt formatCode="General" sourceLinked="1"/>
        <c:majorTickMark val="out"/>
        <c:minorTickMark val="none"/>
        <c:tickLblPos val="nextTo"/>
        <c:txPr>
          <a:bodyPr rot="0" vert="horz"/>
          <a:lstStyle/>
          <a:p>
            <a:pPr>
              <a:defRPr sz="1000" b="0" i="0" u="none" strike="noStrike" baseline="0">
                <a:solidFill>
                  <a:srgbClr val="000000"/>
                </a:solidFill>
                <a:latin typeface="Calibri"/>
                <a:ea typeface="Calibri"/>
                <a:cs typeface="Calibri"/>
              </a:defRPr>
            </a:pPr>
            <a:endParaRPr lang="es-ES"/>
          </a:p>
        </c:txPr>
        <c:crossAx val="186387072"/>
        <c:crossesAt val="0"/>
        <c:crossBetween val="midCat"/>
        <c:majorUnit val="20"/>
        <c:minorUnit val="10"/>
      </c:valAx>
      <c:valAx>
        <c:axId val="186387072"/>
        <c:scaling>
          <c:orientation val="minMax"/>
        </c:scaling>
        <c:delete val="0"/>
        <c:axPos val="l"/>
        <c:numFmt formatCode="0.00" sourceLinked="1"/>
        <c:majorTickMark val="out"/>
        <c:minorTickMark val="none"/>
        <c:tickLblPos val="nextTo"/>
        <c:txPr>
          <a:bodyPr rot="0" vert="horz"/>
          <a:lstStyle/>
          <a:p>
            <a:pPr>
              <a:defRPr/>
            </a:pPr>
            <a:endParaRPr lang="es-ES"/>
          </a:p>
        </c:txPr>
        <c:crossAx val="186385152"/>
        <c:crossesAt val="0"/>
        <c:crossBetween val="midCat"/>
      </c:valAx>
      <c:spPr>
        <a:noFill/>
        <a:ln w="25400">
          <a:noFill/>
        </a:ln>
      </c:spPr>
    </c:plotArea>
    <c:legend>
      <c:legendPos val="b"/>
      <c:layout>
        <c:manualLayout>
          <c:xMode val="edge"/>
          <c:yMode val="edge"/>
          <c:x val="0.14600174978127733"/>
          <c:y val="0.9093624349587881"/>
          <c:w val="0.78568858379882001"/>
          <c:h val="8.6759074090566823E-2"/>
        </c:manualLayout>
      </c:layout>
      <c:overlay val="0"/>
      <c:txPr>
        <a:bodyPr/>
        <a:lstStyle/>
        <a:p>
          <a:pPr>
            <a:defRPr sz="900"/>
          </a:pPr>
          <a:endParaRPr lang="es-ES"/>
        </a:p>
      </c:txPr>
    </c:legend>
    <c:plotVisOnly val="1"/>
    <c:dispBlanksAs val="gap"/>
    <c:showDLblsOverMax val="0"/>
  </c:chart>
  <c:spPr>
    <a:noFill/>
    <a:ln>
      <a:noFill/>
    </a:ln>
  </c:sp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2038834951456311"/>
          <c:y val="0.14387602930687934"/>
          <c:w val="0.7597644119786231"/>
          <c:h val="0.67351620627881748"/>
        </c:manualLayout>
      </c:layout>
      <c:scatterChart>
        <c:scatterStyle val="lineMarker"/>
        <c:varyColors val="0"/>
        <c:ser>
          <c:idx val="0"/>
          <c:order val="0"/>
          <c:tx>
            <c:strRef>
              <c:f>Hoja0!$M$82</c:f>
              <c:strCache>
                <c:ptCount val="1"/>
                <c:pt idx="0">
                  <c:v>Nov. 2008</c:v>
                </c:pt>
              </c:strCache>
            </c:strRef>
          </c:tx>
          <c:spPr>
            <a:ln w="38100">
              <a:solidFill>
                <a:schemeClr val="tx1">
                  <a:lumMod val="50000"/>
                  <a:lumOff val="50000"/>
                </a:schemeClr>
              </a:solidFill>
            </a:ln>
          </c:spPr>
          <c:marker>
            <c:symbol val="diamond"/>
            <c:size val="7"/>
            <c:spPr>
              <a:solidFill>
                <a:schemeClr val="tx1">
                  <a:lumMod val="50000"/>
                  <a:lumOff val="50000"/>
                </a:schemeClr>
              </a:solidFill>
              <a:ln>
                <a:solidFill>
                  <a:schemeClr val="tx1"/>
                </a:solidFill>
              </a:ln>
            </c:spPr>
          </c:marker>
          <c:xVal>
            <c:numRef>
              <c:f>Hoja0!$L$83:$L$94</c:f>
              <c:numCache>
                <c:formatCode>General</c:formatCode>
                <c:ptCount val="12"/>
                <c:pt idx="0">
                  <c:v>60</c:v>
                </c:pt>
                <c:pt idx="1">
                  <c:v>69</c:v>
                </c:pt>
                <c:pt idx="2">
                  <c:v>71</c:v>
                </c:pt>
                <c:pt idx="3">
                  <c:v>75</c:v>
                </c:pt>
                <c:pt idx="4">
                  <c:v>78</c:v>
                </c:pt>
                <c:pt idx="5">
                  <c:v>85</c:v>
                </c:pt>
                <c:pt idx="6">
                  <c:v>90</c:v>
                </c:pt>
                <c:pt idx="7">
                  <c:v>93</c:v>
                </c:pt>
                <c:pt idx="8">
                  <c:v>99</c:v>
                </c:pt>
                <c:pt idx="9">
                  <c:v>105</c:v>
                </c:pt>
                <c:pt idx="10">
                  <c:v>113</c:v>
                </c:pt>
                <c:pt idx="11">
                  <c:v>120</c:v>
                </c:pt>
              </c:numCache>
            </c:numRef>
          </c:xVal>
          <c:yVal>
            <c:numRef>
              <c:f>Hoja0!$M$83:$M$94</c:f>
              <c:numCache>
                <c:formatCode>0.00</c:formatCode>
                <c:ptCount val="12"/>
                <c:pt idx="0">
                  <c:v>94.377245437369893</c:v>
                </c:pt>
                <c:pt idx="1">
                  <c:v>171.65626192274701</c:v>
                </c:pt>
                <c:pt idx="2">
                  <c:v>193.29431972824</c:v>
                </c:pt>
                <c:pt idx="3">
                  <c:v>241.32630973835799</c:v>
                </c:pt>
                <c:pt idx="4">
                  <c:v>281.19151915374499</c:v>
                </c:pt>
                <c:pt idx="5">
                  <c:v>383.96446145093</c:v>
                </c:pt>
                <c:pt idx="6">
                  <c:v>461.41598975277901</c:v>
                </c:pt>
                <c:pt idx="7">
                  <c:v>507.27131574927398</c:v>
                </c:pt>
                <c:pt idx="8">
                  <c:v>592.08724657706205</c:v>
                </c:pt>
                <c:pt idx="9">
                  <c:v>659.67678805321702</c:v>
                </c:pt>
                <c:pt idx="10">
                  <c:v>708.76640417884596</c:v>
                </c:pt>
                <c:pt idx="11">
                  <c:v>705.21308121200002</c:v>
                </c:pt>
              </c:numCache>
            </c:numRef>
          </c:yVal>
          <c:smooth val="1"/>
          <c:extLst>
            <c:ext xmlns:c16="http://schemas.microsoft.com/office/drawing/2014/chart" uri="{C3380CC4-5D6E-409C-BE32-E72D297353CC}">
              <c16:uniqueId val="{00000000-56B9-4636-B125-04B8BAC975DB}"/>
            </c:ext>
          </c:extLst>
        </c:ser>
        <c:ser>
          <c:idx val="1"/>
          <c:order val="1"/>
          <c:tx>
            <c:strRef>
              <c:f>Hoja0!$N$82</c:f>
              <c:strCache>
                <c:ptCount val="1"/>
                <c:pt idx="0">
                  <c:v>Jun. 2009</c:v>
                </c:pt>
              </c:strCache>
            </c:strRef>
          </c:tx>
          <c:spPr>
            <a:ln w="38100">
              <a:solidFill>
                <a:schemeClr val="bg1">
                  <a:lumMod val="75000"/>
                </a:schemeClr>
              </a:solidFill>
            </a:ln>
          </c:spPr>
          <c:marker>
            <c:symbol val="star"/>
            <c:size val="7"/>
            <c:spPr>
              <a:noFill/>
              <a:ln>
                <a:solidFill>
                  <a:schemeClr val="tx1"/>
                </a:solidFill>
                <a:prstDash val="sysDot"/>
              </a:ln>
            </c:spPr>
          </c:marker>
          <c:xVal>
            <c:numRef>
              <c:f>Hoja0!$L$83:$L$94</c:f>
              <c:numCache>
                <c:formatCode>General</c:formatCode>
                <c:ptCount val="12"/>
                <c:pt idx="0">
                  <c:v>60</c:v>
                </c:pt>
                <c:pt idx="1">
                  <c:v>69</c:v>
                </c:pt>
                <c:pt idx="2">
                  <c:v>71</c:v>
                </c:pt>
                <c:pt idx="3">
                  <c:v>75</c:v>
                </c:pt>
                <c:pt idx="4">
                  <c:v>78</c:v>
                </c:pt>
                <c:pt idx="5">
                  <c:v>85</c:v>
                </c:pt>
                <c:pt idx="6">
                  <c:v>90</c:v>
                </c:pt>
                <c:pt idx="7">
                  <c:v>93</c:v>
                </c:pt>
                <c:pt idx="8">
                  <c:v>99</c:v>
                </c:pt>
                <c:pt idx="9">
                  <c:v>105</c:v>
                </c:pt>
                <c:pt idx="10">
                  <c:v>113</c:v>
                </c:pt>
                <c:pt idx="11">
                  <c:v>120</c:v>
                </c:pt>
              </c:numCache>
            </c:numRef>
          </c:xVal>
          <c:yVal>
            <c:numRef>
              <c:f>Hoja0!$N$83:$N$94</c:f>
              <c:numCache>
                <c:formatCode>0.00</c:formatCode>
                <c:ptCount val="12"/>
                <c:pt idx="0">
                  <c:v>50.866268372955901</c:v>
                </c:pt>
                <c:pt idx="1">
                  <c:v>188.71350151992601</c:v>
                </c:pt>
                <c:pt idx="2">
                  <c:v>238.657626552061</c:v>
                </c:pt>
                <c:pt idx="3">
                  <c:v>358.866337421455</c:v>
                </c:pt>
                <c:pt idx="4">
                  <c:v>461.70215636891101</c:v>
                </c:pt>
                <c:pt idx="5">
                  <c:v>694.33183871796302</c:v>
                </c:pt>
                <c:pt idx="6">
                  <c:v>796.47839176575201</c:v>
                </c:pt>
                <c:pt idx="7">
                  <c:v>813.11292577960899</c:v>
                </c:pt>
                <c:pt idx="8">
                  <c:v>737.62089484997</c:v>
                </c:pt>
                <c:pt idx="9">
                  <c:v>556.10103757595402</c:v>
                </c:pt>
                <c:pt idx="10">
                  <c:v>286.13679480981398</c:v>
                </c:pt>
                <c:pt idx="11">
                  <c:v>122.14391736194</c:v>
                </c:pt>
              </c:numCache>
            </c:numRef>
          </c:yVal>
          <c:smooth val="1"/>
          <c:extLst>
            <c:ext xmlns:c16="http://schemas.microsoft.com/office/drawing/2014/chart" uri="{C3380CC4-5D6E-409C-BE32-E72D297353CC}">
              <c16:uniqueId val="{00000001-56B9-4636-B125-04B8BAC975DB}"/>
            </c:ext>
          </c:extLst>
        </c:ser>
        <c:ser>
          <c:idx val="2"/>
          <c:order val="2"/>
          <c:tx>
            <c:strRef>
              <c:f>Hoja0!$O$82</c:f>
              <c:strCache>
                <c:ptCount val="1"/>
                <c:pt idx="0">
                  <c:v>Jul. 2009</c:v>
                </c:pt>
              </c:strCache>
            </c:strRef>
          </c:tx>
          <c:spPr>
            <a:ln w="38100">
              <a:solidFill>
                <a:schemeClr val="tx1"/>
              </a:solidFill>
            </a:ln>
          </c:spPr>
          <c:marker>
            <c:symbol val="triangle"/>
            <c:size val="7"/>
            <c:spPr>
              <a:solidFill>
                <a:schemeClr val="tx1"/>
              </a:solidFill>
              <a:ln>
                <a:solidFill>
                  <a:schemeClr val="tx1">
                    <a:lumMod val="50000"/>
                    <a:lumOff val="50000"/>
                  </a:schemeClr>
                </a:solidFill>
              </a:ln>
            </c:spPr>
          </c:marker>
          <c:xVal>
            <c:numRef>
              <c:f>Hoja0!$L$83:$L$94</c:f>
              <c:numCache>
                <c:formatCode>General</c:formatCode>
                <c:ptCount val="12"/>
                <c:pt idx="0">
                  <c:v>60</c:v>
                </c:pt>
                <c:pt idx="1">
                  <c:v>69</c:v>
                </c:pt>
                <c:pt idx="2">
                  <c:v>71</c:v>
                </c:pt>
                <c:pt idx="3">
                  <c:v>75</c:v>
                </c:pt>
                <c:pt idx="4">
                  <c:v>78</c:v>
                </c:pt>
                <c:pt idx="5">
                  <c:v>85</c:v>
                </c:pt>
                <c:pt idx="6">
                  <c:v>90</c:v>
                </c:pt>
                <c:pt idx="7">
                  <c:v>93</c:v>
                </c:pt>
                <c:pt idx="8">
                  <c:v>99</c:v>
                </c:pt>
                <c:pt idx="9">
                  <c:v>105</c:v>
                </c:pt>
                <c:pt idx="10">
                  <c:v>113</c:v>
                </c:pt>
                <c:pt idx="11">
                  <c:v>120</c:v>
                </c:pt>
              </c:numCache>
            </c:numRef>
          </c:xVal>
          <c:yVal>
            <c:numRef>
              <c:f>Hoja0!$O$83:$O$94</c:f>
              <c:numCache>
                <c:formatCode>0.00</c:formatCode>
                <c:ptCount val="12"/>
                <c:pt idx="0">
                  <c:v>63.745589670107201</c:v>
                </c:pt>
                <c:pt idx="1">
                  <c:v>282.74459528647202</c:v>
                </c:pt>
                <c:pt idx="2">
                  <c:v>361.35613659573602</c:v>
                </c:pt>
                <c:pt idx="3">
                  <c:v>537.53829286300004</c:v>
                </c:pt>
                <c:pt idx="4">
                  <c:v>667.16407155048705</c:v>
                </c:pt>
                <c:pt idx="5">
                  <c:v>840.838829408214</c:v>
                </c:pt>
                <c:pt idx="6">
                  <c:v>785.16979990249797</c:v>
                </c:pt>
                <c:pt idx="7">
                  <c:v>686.28706342554301</c:v>
                </c:pt>
                <c:pt idx="8">
                  <c:v>424.83633472853501</c:v>
                </c:pt>
                <c:pt idx="9">
                  <c:v>198.66102890507801</c:v>
                </c:pt>
                <c:pt idx="10">
                  <c:v>46.608177100618697</c:v>
                </c:pt>
                <c:pt idx="11">
                  <c:v>8.7067623034811792</c:v>
                </c:pt>
              </c:numCache>
            </c:numRef>
          </c:yVal>
          <c:smooth val="1"/>
          <c:extLst>
            <c:ext xmlns:c16="http://schemas.microsoft.com/office/drawing/2014/chart" uri="{C3380CC4-5D6E-409C-BE32-E72D297353CC}">
              <c16:uniqueId val="{00000002-56B9-4636-B125-04B8BAC975DB}"/>
            </c:ext>
          </c:extLst>
        </c:ser>
        <c:dLbls>
          <c:showLegendKey val="0"/>
          <c:showVal val="0"/>
          <c:showCatName val="0"/>
          <c:showSerName val="0"/>
          <c:showPercent val="0"/>
          <c:showBubbleSize val="0"/>
        </c:dLbls>
        <c:axId val="186525568"/>
        <c:axId val="186544128"/>
      </c:scatterChart>
      <c:valAx>
        <c:axId val="186525568"/>
        <c:scaling>
          <c:orientation val="minMax"/>
          <c:max val="140"/>
          <c:min val="55"/>
        </c:scaling>
        <c:delete val="0"/>
        <c:axPos val="b"/>
        <c:numFmt formatCode="General" sourceLinked="1"/>
        <c:majorTickMark val="out"/>
        <c:minorTickMark val="none"/>
        <c:tickLblPos val="nextTo"/>
        <c:txPr>
          <a:bodyPr rot="0" vert="horz"/>
          <a:lstStyle/>
          <a:p>
            <a:pPr>
              <a:defRPr sz="1000" b="0" i="0" u="none" strike="noStrike" baseline="0">
                <a:solidFill>
                  <a:srgbClr val="000000"/>
                </a:solidFill>
                <a:latin typeface="Calibri"/>
                <a:ea typeface="Calibri"/>
                <a:cs typeface="Calibri"/>
              </a:defRPr>
            </a:pPr>
            <a:endParaRPr lang="es-ES"/>
          </a:p>
        </c:txPr>
        <c:crossAx val="186544128"/>
        <c:crossesAt val="0"/>
        <c:crossBetween val="midCat"/>
        <c:majorUnit val="10"/>
        <c:minorUnit val="3.3333333333333335"/>
      </c:valAx>
      <c:valAx>
        <c:axId val="186544128"/>
        <c:scaling>
          <c:orientation val="minMax"/>
        </c:scaling>
        <c:delete val="0"/>
        <c:axPos val="l"/>
        <c:numFmt formatCode="0.00" sourceLinked="1"/>
        <c:majorTickMark val="out"/>
        <c:minorTickMark val="none"/>
        <c:tickLblPos val="nextTo"/>
        <c:txPr>
          <a:bodyPr rot="0" vert="horz"/>
          <a:lstStyle/>
          <a:p>
            <a:pPr>
              <a:defRPr/>
            </a:pPr>
            <a:endParaRPr lang="es-ES"/>
          </a:p>
        </c:txPr>
        <c:crossAx val="186525568"/>
        <c:crossesAt val="0"/>
        <c:crossBetween val="midCat"/>
      </c:valAx>
      <c:spPr>
        <a:noFill/>
        <a:ln w="25400">
          <a:noFill/>
        </a:ln>
      </c:spPr>
    </c:plotArea>
    <c:legend>
      <c:legendPos val="b"/>
      <c:layout>
        <c:manualLayout>
          <c:xMode val="edge"/>
          <c:yMode val="edge"/>
          <c:x val="0.13668374718929499"/>
          <c:y val="0.92193404422258596"/>
          <c:w val="0.71085931297305882"/>
          <c:h val="7.8066038436861884E-2"/>
        </c:manualLayout>
      </c:layout>
      <c:overlay val="0"/>
      <c:txPr>
        <a:bodyPr/>
        <a:lstStyle/>
        <a:p>
          <a:pPr>
            <a:defRPr sz="900"/>
          </a:pPr>
          <a:endParaRPr lang="es-ES"/>
        </a:p>
      </c:txPr>
    </c:legend>
    <c:plotVisOnly val="1"/>
    <c:dispBlanksAs val="gap"/>
    <c:showDLblsOverMax val="0"/>
  </c:chart>
  <c:spPr>
    <a:noFill/>
    <a:ln>
      <a:noFill/>
    </a:ln>
  </c:sp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4058573928258969"/>
          <c:y val="0.12547462817147856"/>
          <c:w val="0.69940048118985132"/>
          <c:h val="0.70700021872265961"/>
        </c:manualLayout>
      </c:layout>
      <c:scatterChart>
        <c:scatterStyle val="smoothMarker"/>
        <c:varyColors val="0"/>
        <c:ser>
          <c:idx val="0"/>
          <c:order val="0"/>
          <c:tx>
            <c:strRef>
              <c:f>Hoja7!$D$63</c:f>
              <c:strCache>
                <c:ptCount val="1"/>
                <c:pt idx="0">
                  <c:v>nov-08</c:v>
                </c:pt>
              </c:strCache>
            </c:strRef>
          </c:tx>
          <c:spPr>
            <a:ln w="38100">
              <a:solidFill>
                <a:schemeClr val="tx1">
                  <a:lumMod val="50000"/>
                  <a:lumOff val="50000"/>
                </a:schemeClr>
              </a:solidFill>
            </a:ln>
          </c:spPr>
          <c:marker>
            <c:symbol val="diamond"/>
            <c:size val="7"/>
            <c:spPr>
              <a:solidFill>
                <a:schemeClr val="tx1">
                  <a:lumMod val="50000"/>
                  <a:lumOff val="50000"/>
                </a:schemeClr>
              </a:solidFill>
              <a:ln>
                <a:solidFill>
                  <a:schemeClr val="tx1"/>
                </a:solidFill>
              </a:ln>
            </c:spPr>
          </c:marker>
          <c:xVal>
            <c:numRef>
              <c:f>Hoja7!$C$64:$C$71</c:f>
              <c:numCache>
                <c:formatCode>General</c:formatCode>
                <c:ptCount val="8"/>
                <c:pt idx="0">
                  <c:v>15</c:v>
                </c:pt>
                <c:pt idx="1">
                  <c:v>30</c:v>
                </c:pt>
                <c:pt idx="2">
                  <c:v>45</c:v>
                </c:pt>
                <c:pt idx="3">
                  <c:v>60</c:v>
                </c:pt>
                <c:pt idx="4">
                  <c:v>75</c:v>
                </c:pt>
                <c:pt idx="5">
                  <c:v>90</c:v>
                </c:pt>
                <c:pt idx="6">
                  <c:v>105</c:v>
                </c:pt>
                <c:pt idx="7">
                  <c:v>120</c:v>
                </c:pt>
              </c:numCache>
            </c:numRef>
          </c:xVal>
          <c:yVal>
            <c:numRef>
              <c:f>Hoja7!$D$64:$D$71</c:f>
              <c:numCache>
                <c:formatCode>0.00</c:formatCode>
                <c:ptCount val="8"/>
                <c:pt idx="0">
                  <c:v>13.782802221810613</c:v>
                </c:pt>
                <c:pt idx="1">
                  <c:v>15.124875876240365</c:v>
                </c:pt>
                <c:pt idx="2">
                  <c:v>13.958324270873501</c:v>
                </c:pt>
                <c:pt idx="3">
                  <c:v>11.107431910276601</c:v>
                </c:pt>
                <c:pt idx="4">
                  <c:v>5.5715962179459879</c:v>
                </c:pt>
                <c:pt idx="5">
                  <c:v>-5.092426375518424</c:v>
                </c:pt>
                <c:pt idx="6">
                  <c:v>-17.1151144715115</c:v>
                </c:pt>
                <c:pt idx="7">
                  <c:v>-33.115114471511475</c:v>
                </c:pt>
              </c:numCache>
            </c:numRef>
          </c:yVal>
          <c:smooth val="1"/>
          <c:extLst>
            <c:ext xmlns:c16="http://schemas.microsoft.com/office/drawing/2014/chart" uri="{C3380CC4-5D6E-409C-BE32-E72D297353CC}">
              <c16:uniqueId val="{00000000-1ABD-466B-BB8F-EEDE2E0D190B}"/>
            </c:ext>
          </c:extLst>
        </c:ser>
        <c:ser>
          <c:idx val="1"/>
          <c:order val="1"/>
          <c:tx>
            <c:strRef>
              <c:f>Hoja7!$E$63</c:f>
              <c:strCache>
                <c:ptCount val="1"/>
                <c:pt idx="0">
                  <c:v>jun-09</c:v>
                </c:pt>
              </c:strCache>
            </c:strRef>
          </c:tx>
          <c:spPr>
            <a:ln w="38100"/>
          </c:spPr>
          <c:marker>
            <c:symbol val="star"/>
            <c:size val="7"/>
            <c:spPr>
              <a:noFill/>
              <a:ln>
                <a:solidFill>
                  <a:schemeClr val="tx1"/>
                </a:solidFill>
                <a:prstDash val="sysDot"/>
              </a:ln>
            </c:spPr>
          </c:marker>
          <c:xVal>
            <c:numRef>
              <c:f>Hoja7!$C$64:$C$71</c:f>
              <c:numCache>
                <c:formatCode>General</c:formatCode>
                <c:ptCount val="8"/>
                <c:pt idx="0">
                  <c:v>15</c:v>
                </c:pt>
                <c:pt idx="1">
                  <c:v>30</c:v>
                </c:pt>
                <c:pt idx="2">
                  <c:v>45</c:v>
                </c:pt>
                <c:pt idx="3">
                  <c:v>60</c:v>
                </c:pt>
                <c:pt idx="4">
                  <c:v>75</c:v>
                </c:pt>
                <c:pt idx="5">
                  <c:v>90</c:v>
                </c:pt>
                <c:pt idx="6">
                  <c:v>105</c:v>
                </c:pt>
                <c:pt idx="7">
                  <c:v>120</c:v>
                </c:pt>
              </c:numCache>
            </c:numRef>
          </c:xVal>
          <c:yVal>
            <c:numRef>
              <c:f>Hoja7!$E$64:$E$71</c:f>
              <c:numCache>
                <c:formatCode>General</c:formatCode>
                <c:ptCount val="8"/>
                <c:pt idx="0">
                  <c:v>15.103008339577485</c:v>
                </c:pt>
                <c:pt idx="1">
                  <c:v>18.060184749464078</c:v>
                </c:pt>
                <c:pt idx="2">
                  <c:v>18.801895798321372</c:v>
                </c:pt>
                <c:pt idx="3">
                  <c:v>16.141102243448099</c:v>
                </c:pt>
                <c:pt idx="4">
                  <c:v>9.5915354154525563</c:v>
                </c:pt>
                <c:pt idx="5">
                  <c:v>-0.22086629516711498</c:v>
                </c:pt>
                <c:pt idx="6">
                  <c:v>-11.555096301641823</c:v>
                </c:pt>
                <c:pt idx="7">
                  <c:v>-22.047289821525144</c:v>
                </c:pt>
              </c:numCache>
            </c:numRef>
          </c:yVal>
          <c:smooth val="1"/>
          <c:extLst>
            <c:ext xmlns:c16="http://schemas.microsoft.com/office/drawing/2014/chart" uri="{C3380CC4-5D6E-409C-BE32-E72D297353CC}">
              <c16:uniqueId val="{00000001-1ABD-466B-BB8F-EEDE2E0D190B}"/>
            </c:ext>
          </c:extLst>
        </c:ser>
        <c:ser>
          <c:idx val="2"/>
          <c:order val="2"/>
          <c:tx>
            <c:strRef>
              <c:f>Hoja7!$F$63</c:f>
              <c:strCache>
                <c:ptCount val="1"/>
                <c:pt idx="0">
                  <c:v>jul-09</c:v>
                </c:pt>
              </c:strCache>
            </c:strRef>
          </c:tx>
          <c:spPr>
            <a:ln w="38100">
              <a:solidFill>
                <a:schemeClr val="tx1"/>
              </a:solidFill>
            </a:ln>
          </c:spPr>
          <c:marker>
            <c:symbol val="triangle"/>
            <c:size val="7"/>
            <c:spPr>
              <a:solidFill>
                <a:schemeClr val="tx1"/>
              </a:solidFill>
              <a:ln>
                <a:solidFill>
                  <a:schemeClr val="tx1">
                    <a:lumMod val="50000"/>
                    <a:lumOff val="50000"/>
                  </a:schemeClr>
                </a:solidFill>
              </a:ln>
            </c:spPr>
          </c:marker>
          <c:xVal>
            <c:numRef>
              <c:f>Hoja7!$C$64:$C$71</c:f>
              <c:numCache>
                <c:formatCode>General</c:formatCode>
                <c:ptCount val="8"/>
                <c:pt idx="0">
                  <c:v>15</c:v>
                </c:pt>
                <c:pt idx="1">
                  <c:v>30</c:v>
                </c:pt>
                <c:pt idx="2">
                  <c:v>45</c:v>
                </c:pt>
                <c:pt idx="3">
                  <c:v>60</c:v>
                </c:pt>
                <c:pt idx="4">
                  <c:v>75</c:v>
                </c:pt>
                <c:pt idx="5">
                  <c:v>90</c:v>
                </c:pt>
                <c:pt idx="6">
                  <c:v>105</c:v>
                </c:pt>
                <c:pt idx="7">
                  <c:v>120</c:v>
                </c:pt>
              </c:numCache>
            </c:numRef>
          </c:xVal>
          <c:yVal>
            <c:numRef>
              <c:f>Hoja7!$F$64:$F$71</c:f>
              <c:numCache>
                <c:formatCode>General</c:formatCode>
                <c:ptCount val="8"/>
                <c:pt idx="0">
                  <c:v>11.584729132970445</c:v>
                </c:pt>
                <c:pt idx="1">
                  <c:v>14.109405487225763</c:v>
                </c:pt>
                <c:pt idx="2">
                  <c:v>15.310761237262493</c:v>
                </c:pt>
                <c:pt idx="3">
                  <c:v>14.382445477659298</c:v>
                </c:pt>
                <c:pt idx="4">
                  <c:v>10.91185705133296</c:v>
                </c:pt>
                <c:pt idx="5">
                  <c:v>5.1468011565339697</c:v>
                </c:pt>
                <c:pt idx="6">
                  <c:v>-1.9627376860735979</c:v>
                </c:pt>
                <c:pt idx="7">
                  <c:v>-9.0120161390711768</c:v>
                </c:pt>
              </c:numCache>
            </c:numRef>
          </c:yVal>
          <c:smooth val="1"/>
          <c:extLst>
            <c:ext xmlns:c16="http://schemas.microsoft.com/office/drawing/2014/chart" uri="{C3380CC4-5D6E-409C-BE32-E72D297353CC}">
              <c16:uniqueId val="{00000002-1ABD-466B-BB8F-EEDE2E0D190B}"/>
            </c:ext>
          </c:extLst>
        </c:ser>
        <c:dLbls>
          <c:showLegendKey val="0"/>
          <c:showVal val="0"/>
          <c:showCatName val="0"/>
          <c:showSerName val="0"/>
          <c:showPercent val="0"/>
          <c:showBubbleSize val="0"/>
        </c:dLbls>
        <c:axId val="186606720"/>
        <c:axId val="186608640"/>
      </c:scatterChart>
      <c:valAx>
        <c:axId val="186606720"/>
        <c:scaling>
          <c:orientation val="minMax"/>
          <c:max val="135"/>
          <c:min val="0"/>
        </c:scaling>
        <c:delete val="0"/>
        <c:axPos val="b"/>
        <c:numFmt formatCode="General" sourceLinked="1"/>
        <c:majorTickMark val="out"/>
        <c:minorTickMark val="none"/>
        <c:tickLblPos val="nextTo"/>
        <c:txPr>
          <a:bodyPr rot="0" vert="horz"/>
          <a:lstStyle/>
          <a:p>
            <a:pPr>
              <a:defRPr/>
            </a:pPr>
            <a:endParaRPr lang="es-ES"/>
          </a:p>
        </c:txPr>
        <c:crossAx val="186608640"/>
        <c:crosses val="autoZero"/>
        <c:crossBetween val="midCat"/>
        <c:majorUnit val="15"/>
        <c:minorUnit val="10"/>
      </c:valAx>
      <c:valAx>
        <c:axId val="186608640"/>
        <c:scaling>
          <c:orientation val="minMax"/>
        </c:scaling>
        <c:delete val="0"/>
        <c:axPos val="l"/>
        <c:numFmt formatCode="0.00" sourceLinked="1"/>
        <c:majorTickMark val="out"/>
        <c:minorTickMark val="none"/>
        <c:tickLblPos val="nextTo"/>
        <c:crossAx val="186606720"/>
        <c:crosses val="autoZero"/>
        <c:crossBetween val="midCat"/>
      </c:valAx>
      <c:spPr>
        <a:noFill/>
      </c:spPr>
    </c:plotArea>
    <c:legend>
      <c:legendPos val="b"/>
      <c:overlay val="0"/>
    </c:legend>
    <c:plotVisOnly val="1"/>
    <c:dispBlanksAs val="gap"/>
    <c:showDLblsOverMax val="0"/>
  </c:chart>
  <c:spPr>
    <a:noFill/>
    <a:ln>
      <a:noFill/>
    </a:ln>
  </c:spPr>
  <c:externalData r:id="rId2">
    <c:autoUpdate val="0"/>
  </c:externalData>
  <c:userShapes r:id="rId3"/>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489888546540378"/>
          <c:y val="0.13720807312878991"/>
          <c:w val="0.718779072615923"/>
          <c:h val="0.6354566024074576"/>
        </c:manualLayout>
      </c:layout>
      <c:scatterChart>
        <c:scatterStyle val="lineMarker"/>
        <c:varyColors val="0"/>
        <c:ser>
          <c:idx val="0"/>
          <c:order val="0"/>
          <c:tx>
            <c:strRef>
              <c:f>RAF!$T$2</c:f>
              <c:strCache>
                <c:ptCount val="1"/>
                <c:pt idx="0">
                  <c:v>nov-08</c:v>
                </c:pt>
              </c:strCache>
            </c:strRef>
          </c:tx>
          <c:spPr>
            <a:ln w="38100">
              <a:solidFill>
                <a:schemeClr val="tx1">
                  <a:lumMod val="50000"/>
                  <a:lumOff val="50000"/>
                </a:schemeClr>
              </a:solidFill>
            </a:ln>
          </c:spPr>
          <c:marker>
            <c:symbol val="diamond"/>
            <c:size val="7"/>
            <c:spPr>
              <a:ln>
                <a:solidFill>
                  <a:schemeClr val="tx1"/>
                </a:solidFill>
              </a:ln>
            </c:spPr>
          </c:marker>
          <c:xVal>
            <c:numRef>
              <c:f>RAF!$S$3:$S$10</c:f>
              <c:numCache>
                <c:formatCode>General</c:formatCode>
                <c:ptCount val="8"/>
                <c:pt idx="0">
                  <c:v>15</c:v>
                </c:pt>
                <c:pt idx="1">
                  <c:v>30</c:v>
                </c:pt>
                <c:pt idx="2">
                  <c:v>45</c:v>
                </c:pt>
                <c:pt idx="3">
                  <c:v>60</c:v>
                </c:pt>
                <c:pt idx="4">
                  <c:v>75</c:v>
                </c:pt>
                <c:pt idx="5">
                  <c:v>90</c:v>
                </c:pt>
                <c:pt idx="6">
                  <c:v>105</c:v>
                </c:pt>
                <c:pt idx="7">
                  <c:v>120</c:v>
                </c:pt>
              </c:numCache>
            </c:numRef>
          </c:xVal>
          <c:yVal>
            <c:numRef>
              <c:f>RAF!$T$3:$T$10</c:f>
              <c:numCache>
                <c:formatCode>General</c:formatCode>
                <c:ptCount val="8"/>
                <c:pt idx="0">
                  <c:v>1.0711900063861244E-2</c:v>
                </c:pt>
                <c:pt idx="1">
                  <c:v>1.0246695660058789E-2</c:v>
                </c:pt>
                <c:pt idx="2">
                  <c:v>8.8459106517466413E-3</c:v>
                </c:pt>
                <c:pt idx="3">
                  <c:v>6.8919583746266987E-3</c:v>
                </c:pt>
                <c:pt idx="4">
                  <c:v>4.8460080278311616E-3</c:v>
                </c:pt>
                <c:pt idx="5">
                  <c:v>3.0751549154023408E-3</c:v>
                </c:pt>
                <c:pt idx="6">
                  <c:v>1.7611293492635204E-3</c:v>
                </c:pt>
                <c:pt idx="7">
                  <c:v>9.1024205437934902E-4</c:v>
                </c:pt>
              </c:numCache>
            </c:numRef>
          </c:yVal>
          <c:smooth val="1"/>
          <c:extLst>
            <c:ext xmlns:c16="http://schemas.microsoft.com/office/drawing/2014/chart" uri="{C3380CC4-5D6E-409C-BE32-E72D297353CC}">
              <c16:uniqueId val="{00000000-5777-4980-96E2-56139AACCFFD}"/>
            </c:ext>
          </c:extLst>
        </c:ser>
        <c:ser>
          <c:idx val="1"/>
          <c:order val="1"/>
          <c:tx>
            <c:strRef>
              <c:f>RAF!$U$2</c:f>
              <c:strCache>
                <c:ptCount val="1"/>
                <c:pt idx="0">
                  <c:v>jun-09</c:v>
                </c:pt>
              </c:strCache>
            </c:strRef>
          </c:tx>
          <c:spPr>
            <a:ln w="38100">
              <a:solidFill>
                <a:schemeClr val="bg1">
                  <a:lumMod val="75000"/>
                </a:schemeClr>
              </a:solidFill>
            </a:ln>
          </c:spPr>
          <c:marker>
            <c:symbol val="star"/>
            <c:size val="7"/>
            <c:spPr>
              <a:ln>
                <a:solidFill>
                  <a:schemeClr val="tx1"/>
                </a:solidFill>
                <a:prstDash val="sysDot"/>
              </a:ln>
            </c:spPr>
          </c:marker>
          <c:xVal>
            <c:numRef>
              <c:f>RAF!$S$3:$S$10</c:f>
              <c:numCache>
                <c:formatCode>General</c:formatCode>
                <c:ptCount val="8"/>
                <c:pt idx="0">
                  <c:v>15</c:v>
                </c:pt>
                <c:pt idx="1">
                  <c:v>30</c:v>
                </c:pt>
                <c:pt idx="2">
                  <c:v>45</c:v>
                </c:pt>
                <c:pt idx="3">
                  <c:v>60</c:v>
                </c:pt>
                <c:pt idx="4">
                  <c:v>75</c:v>
                </c:pt>
                <c:pt idx="5">
                  <c:v>90</c:v>
                </c:pt>
                <c:pt idx="6">
                  <c:v>105</c:v>
                </c:pt>
                <c:pt idx="7">
                  <c:v>120</c:v>
                </c:pt>
              </c:numCache>
            </c:numRef>
          </c:xVal>
          <c:yVal>
            <c:numRef>
              <c:f>RAF!$U$3:$U$10</c:f>
              <c:numCache>
                <c:formatCode>General</c:formatCode>
                <c:ptCount val="8"/>
                <c:pt idx="0">
                  <c:v>1.1088519335657406E-2</c:v>
                </c:pt>
                <c:pt idx="1">
                  <c:v>7.4107769027097915E-3</c:v>
                </c:pt>
                <c:pt idx="2">
                  <c:v>5.3297816919582507E-3</c:v>
                </c:pt>
                <c:pt idx="3">
                  <c:v>4.1248731961304411E-3</c:v>
                </c:pt>
                <c:pt idx="4">
                  <c:v>3.4353206835806001E-3</c:v>
                </c:pt>
                <c:pt idx="5">
                  <c:v>3.0787857399677157E-3</c:v>
                </c:pt>
                <c:pt idx="6">
                  <c:v>2.969252622769143E-3</c:v>
                </c:pt>
                <c:pt idx="7">
                  <c:v>3.0815578944160755E-3</c:v>
                </c:pt>
              </c:numCache>
            </c:numRef>
          </c:yVal>
          <c:smooth val="1"/>
          <c:extLst>
            <c:ext xmlns:c16="http://schemas.microsoft.com/office/drawing/2014/chart" uri="{C3380CC4-5D6E-409C-BE32-E72D297353CC}">
              <c16:uniqueId val="{00000001-5777-4980-96E2-56139AACCFFD}"/>
            </c:ext>
          </c:extLst>
        </c:ser>
        <c:ser>
          <c:idx val="2"/>
          <c:order val="2"/>
          <c:tx>
            <c:strRef>
              <c:f>RAF!$V$2</c:f>
              <c:strCache>
                <c:ptCount val="1"/>
                <c:pt idx="0">
                  <c:v>jul-09</c:v>
                </c:pt>
              </c:strCache>
            </c:strRef>
          </c:tx>
          <c:spPr>
            <a:ln w="38100">
              <a:solidFill>
                <a:schemeClr val="tx1"/>
              </a:solidFill>
            </a:ln>
          </c:spPr>
          <c:marker>
            <c:symbol val="triangle"/>
            <c:size val="7"/>
            <c:spPr>
              <a:solidFill>
                <a:schemeClr val="tx1"/>
              </a:solidFill>
              <a:ln>
                <a:solidFill>
                  <a:schemeClr val="tx1">
                    <a:lumMod val="50000"/>
                    <a:lumOff val="50000"/>
                  </a:schemeClr>
                </a:solidFill>
              </a:ln>
            </c:spPr>
          </c:marker>
          <c:xVal>
            <c:numRef>
              <c:f>RAF!$S$3:$S$10</c:f>
              <c:numCache>
                <c:formatCode>General</c:formatCode>
                <c:ptCount val="8"/>
                <c:pt idx="0">
                  <c:v>15</c:v>
                </c:pt>
                <c:pt idx="1">
                  <c:v>30</c:v>
                </c:pt>
                <c:pt idx="2">
                  <c:v>45</c:v>
                </c:pt>
                <c:pt idx="3">
                  <c:v>60</c:v>
                </c:pt>
                <c:pt idx="4">
                  <c:v>75</c:v>
                </c:pt>
                <c:pt idx="5">
                  <c:v>90</c:v>
                </c:pt>
                <c:pt idx="6">
                  <c:v>105</c:v>
                </c:pt>
                <c:pt idx="7">
                  <c:v>120</c:v>
                </c:pt>
              </c:numCache>
            </c:numRef>
          </c:xVal>
          <c:yVal>
            <c:numRef>
              <c:f>RAF!$V$3:$V$10</c:f>
              <c:numCache>
                <c:formatCode>General</c:formatCode>
                <c:ptCount val="8"/>
                <c:pt idx="0">
                  <c:v>1.2898877331082198E-2</c:v>
                </c:pt>
                <c:pt idx="1">
                  <c:v>8.7431040316820214E-3</c:v>
                </c:pt>
                <c:pt idx="2">
                  <c:v>6.3543542017506548E-3</c:v>
                </c:pt>
                <c:pt idx="3">
                  <c:v>4.9518699800133606E-3</c:v>
                </c:pt>
                <c:pt idx="4">
                  <c:v>4.1377008320031645E-3</c:v>
                </c:pt>
                <c:pt idx="5">
                  <c:v>3.7071570126189029E-3</c:v>
                </c:pt>
                <c:pt idx="6">
                  <c:v>3.5613521101657232E-3</c:v>
                </c:pt>
                <c:pt idx="7">
                  <c:v>3.6684355076407279E-3</c:v>
                </c:pt>
              </c:numCache>
            </c:numRef>
          </c:yVal>
          <c:smooth val="1"/>
          <c:extLst>
            <c:ext xmlns:c16="http://schemas.microsoft.com/office/drawing/2014/chart" uri="{C3380CC4-5D6E-409C-BE32-E72D297353CC}">
              <c16:uniqueId val="{00000002-5777-4980-96E2-56139AACCFFD}"/>
            </c:ext>
          </c:extLst>
        </c:ser>
        <c:dLbls>
          <c:showLegendKey val="0"/>
          <c:showVal val="0"/>
          <c:showCatName val="0"/>
          <c:showSerName val="0"/>
          <c:showPercent val="0"/>
          <c:showBubbleSize val="0"/>
        </c:dLbls>
        <c:axId val="186659200"/>
        <c:axId val="186661120"/>
      </c:scatterChart>
      <c:valAx>
        <c:axId val="186659200"/>
        <c:scaling>
          <c:orientation val="minMax"/>
          <c:max val="140"/>
          <c:min val="0"/>
        </c:scaling>
        <c:delete val="0"/>
        <c:axPos val="b"/>
        <c:numFmt formatCode="General" sourceLinked="1"/>
        <c:majorTickMark val="out"/>
        <c:minorTickMark val="none"/>
        <c:tickLblPos val="nextTo"/>
        <c:txPr>
          <a:bodyPr rot="0" vert="horz"/>
          <a:lstStyle/>
          <a:p>
            <a:pPr>
              <a:defRPr/>
            </a:pPr>
            <a:endParaRPr lang="es-ES"/>
          </a:p>
        </c:txPr>
        <c:crossAx val="186661120"/>
        <c:crossesAt val="0"/>
        <c:crossBetween val="midCat"/>
        <c:majorUnit val="15"/>
        <c:minorUnit val="5"/>
      </c:valAx>
      <c:valAx>
        <c:axId val="186661120"/>
        <c:scaling>
          <c:orientation val="minMax"/>
          <c:max val="1.5000000000000003E-2"/>
          <c:min val="0"/>
        </c:scaling>
        <c:delete val="0"/>
        <c:axPos val="l"/>
        <c:numFmt formatCode="General" sourceLinked="1"/>
        <c:majorTickMark val="out"/>
        <c:minorTickMark val="none"/>
        <c:tickLblPos val="nextTo"/>
        <c:txPr>
          <a:bodyPr rot="0" vert="horz"/>
          <a:lstStyle/>
          <a:p>
            <a:pPr>
              <a:defRPr/>
            </a:pPr>
            <a:endParaRPr lang="es-ES"/>
          </a:p>
        </c:txPr>
        <c:crossAx val="186659200"/>
        <c:crossesAt val="0"/>
        <c:crossBetween val="midCat"/>
        <c:majorUnit val="2.0000000000000005E-3"/>
        <c:minorUnit val="1.0000000000000002E-3"/>
      </c:valAx>
      <c:spPr>
        <a:noFill/>
      </c:spPr>
    </c:plotArea>
    <c:legend>
      <c:legendPos val="b"/>
      <c:layout>
        <c:manualLayout>
          <c:xMode val="edge"/>
          <c:yMode val="edge"/>
          <c:x val="0.15334413633078475"/>
          <c:y val="0.89783664753770187"/>
          <c:w val="0.63784678915135606"/>
          <c:h val="8.3139831658973665E-2"/>
        </c:manualLayout>
      </c:layout>
      <c:overlay val="0"/>
    </c:legend>
    <c:plotVisOnly val="1"/>
    <c:dispBlanksAs val="gap"/>
    <c:showDLblsOverMax val="0"/>
  </c:chart>
  <c:spPr>
    <a:noFill/>
    <a:ln>
      <a:noFill/>
    </a:ln>
  </c:sp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25"/>
    </mc:Choice>
    <mc:Fallback>
      <c:style val="25"/>
    </mc:Fallback>
  </mc:AlternateContent>
  <c:chart>
    <c:autoTitleDeleted val="0"/>
    <c:plotArea>
      <c:layout>
        <c:manualLayout>
          <c:layoutTarget val="inner"/>
          <c:xMode val="edge"/>
          <c:yMode val="edge"/>
          <c:x val="0.13168383291941807"/>
          <c:y val="0.13936351706036745"/>
          <c:w val="0.84469797021093651"/>
          <c:h val="0.66571741032370957"/>
        </c:manualLayout>
      </c:layout>
      <c:barChart>
        <c:barDir val="col"/>
        <c:grouping val="clustered"/>
        <c:varyColors val="0"/>
        <c:ser>
          <c:idx val="0"/>
          <c:order val="0"/>
          <c:tx>
            <c:strRef>
              <c:f>Hoja8!$B$2</c:f>
              <c:strCache>
                <c:ptCount val="1"/>
                <c:pt idx="0">
                  <c:v>Potencia de la fuente</c:v>
                </c:pt>
              </c:strCache>
            </c:strRef>
          </c:tx>
          <c:invertIfNegative val="0"/>
          <c:cat>
            <c:numRef>
              <c:f>Hoja8!$A$3:$A$10</c:f>
              <c:numCache>
                <c:formatCode>General</c:formatCode>
                <c:ptCount val="8"/>
                <c:pt idx="0">
                  <c:v>15</c:v>
                </c:pt>
                <c:pt idx="1">
                  <c:v>30</c:v>
                </c:pt>
                <c:pt idx="2">
                  <c:v>45</c:v>
                </c:pt>
                <c:pt idx="3">
                  <c:v>60</c:v>
                </c:pt>
                <c:pt idx="4">
                  <c:v>75</c:v>
                </c:pt>
                <c:pt idx="5">
                  <c:v>90</c:v>
                </c:pt>
                <c:pt idx="6">
                  <c:v>105</c:v>
                </c:pt>
                <c:pt idx="7">
                  <c:v>120</c:v>
                </c:pt>
              </c:numCache>
            </c:numRef>
          </c:cat>
          <c:val>
            <c:numRef>
              <c:f>Hoja8!$B$3:$B$10</c:f>
              <c:numCache>
                <c:formatCode>General</c:formatCode>
                <c:ptCount val="8"/>
                <c:pt idx="0">
                  <c:v>0.23717474591422891</c:v>
                </c:pt>
                <c:pt idx="1">
                  <c:v>2.6183407021563649</c:v>
                </c:pt>
                <c:pt idx="2">
                  <c:v>14.088328114770299</c:v>
                </c:pt>
                <c:pt idx="3">
                  <c:v>34.208391721919192</c:v>
                </c:pt>
                <c:pt idx="4">
                  <c:v>27.375038294517985</c:v>
                </c:pt>
                <c:pt idx="5">
                  <c:v>-17.286993735881623</c:v>
                </c:pt>
                <c:pt idx="6">
                  <c:v>-36.963827847685444</c:v>
                </c:pt>
                <c:pt idx="7">
                  <c:v>-19.378558026336858</c:v>
                </c:pt>
              </c:numCache>
            </c:numRef>
          </c:val>
          <c:extLst>
            <c:ext xmlns:c16="http://schemas.microsoft.com/office/drawing/2014/chart" uri="{C3380CC4-5D6E-409C-BE32-E72D297353CC}">
              <c16:uniqueId val="{00000000-04D1-4336-A5B3-ECC314219C70}"/>
            </c:ext>
          </c:extLst>
        </c:ser>
        <c:ser>
          <c:idx val="1"/>
          <c:order val="1"/>
          <c:tx>
            <c:strRef>
              <c:f>Hoja8!$C$2</c:f>
              <c:strCache>
                <c:ptCount val="1"/>
                <c:pt idx="0">
                  <c:v>Potencia de la Demanda</c:v>
                </c:pt>
              </c:strCache>
            </c:strRef>
          </c:tx>
          <c:invertIfNegative val="0"/>
          <c:cat>
            <c:numRef>
              <c:f>Hoja8!$A$3:$A$10</c:f>
              <c:numCache>
                <c:formatCode>General</c:formatCode>
                <c:ptCount val="8"/>
                <c:pt idx="0">
                  <c:v>15</c:v>
                </c:pt>
                <c:pt idx="1">
                  <c:v>30</c:v>
                </c:pt>
                <c:pt idx="2">
                  <c:v>45</c:v>
                </c:pt>
                <c:pt idx="3">
                  <c:v>60</c:v>
                </c:pt>
                <c:pt idx="4">
                  <c:v>75</c:v>
                </c:pt>
                <c:pt idx="5">
                  <c:v>90</c:v>
                </c:pt>
                <c:pt idx="6">
                  <c:v>105</c:v>
                </c:pt>
                <c:pt idx="7">
                  <c:v>120</c:v>
                </c:pt>
              </c:numCache>
            </c:numRef>
          </c:cat>
          <c:val>
            <c:numRef>
              <c:f>Hoja8!$C$3:$C$10</c:f>
              <c:numCache>
                <c:formatCode>General</c:formatCode>
                <c:ptCount val="8"/>
                <c:pt idx="3">
                  <c:v>6.8215873002130953</c:v>
                </c:pt>
                <c:pt idx="4">
                  <c:v>12.766161785159134</c:v>
                </c:pt>
                <c:pt idx="5">
                  <c:v>15.46666397651315</c:v>
                </c:pt>
                <c:pt idx="6">
                  <c:v>9.3278297830724792</c:v>
                </c:pt>
                <c:pt idx="7">
                  <c:v>-3.6953165455508765</c:v>
                </c:pt>
              </c:numCache>
            </c:numRef>
          </c:val>
          <c:extLst>
            <c:ext xmlns:c16="http://schemas.microsoft.com/office/drawing/2014/chart" uri="{C3380CC4-5D6E-409C-BE32-E72D297353CC}">
              <c16:uniqueId val="{00000001-04D1-4336-A5B3-ECC314219C70}"/>
            </c:ext>
          </c:extLst>
        </c:ser>
        <c:dLbls>
          <c:showLegendKey val="0"/>
          <c:showVal val="0"/>
          <c:showCatName val="0"/>
          <c:showSerName val="0"/>
          <c:showPercent val="0"/>
          <c:showBubbleSize val="0"/>
        </c:dLbls>
        <c:gapWidth val="150"/>
        <c:axId val="186670464"/>
        <c:axId val="187049088"/>
      </c:barChart>
      <c:catAx>
        <c:axId val="186670464"/>
        <c:scaling>
          <c:orientation val="minMax"/>
        </c:scaling>
        <c:delete val="0"/>
        <c:axPos val="b"/>
        <c:numFmt formatCode="General" sourceLinked="1"/>
        <c:majorTickMark val="out"/>
        <c:minorTickMark val="none"/>
        <c:tickLblPos val="nextTo"/>
        <c:crossAx val="187049088"/>
        <c:crosses val="autoZero"/>
        <c:auto val="1"/>
        <c:lblAlgn val="ctr"/>
        <c:lblOffset val="100"/>
        <c:noMultiLvlLbl val="0"/>
      </c:catAx>
      <c:valAx>
        <c:axId val="187049088"/>
        <c:scaling>
          <c:orientation val="minMax"/>
        </c:scaling>
        <c:delete val="0"/>
        <c:axPos val="l"/>
        <c:numFmt formatCode="General" sourceLinked="0"/>
        <c:majorTickMark val="out"/>
        <c:minorTickMark val="none"/>
        <c:tickLblPos val="nextTo"/>
        <c:crossAx val="186670464"/>
        <c:crosses val="autoZero"/>
        <c:crossBetween val="between"/>
      </c:valAx>
    </c:plotArea>
    <c:legend>
      <c:legendPos val="r"/>
      <c:layout>
        <c:manualLayout>
          <c:xMode val="edge"/>
          <c:yMode val="edge"/>
          <c:x val="8.1495998819218499E-2"/>
          <c:y val="0.85609762321376492"/>
          <c:w val="0.87116647093929878"/>
          <c:h val="7.021216097987748E-2"/>
        </c:manualLayout>
      </c:layout>
      <c:overlay val="0"/>
    </c:legend>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25"/>
    </mc:Choice>
    <mc:Fallback>
      <c:style val="25"/>
    </mc:Fallback>
  </mc:AlternateContent>
  <c:chart>
    <c:autoTitleDeleted val="0"/>
    <c:plotArea>
      <c:layout>
        <c:manualLayout>
          <c:layoutTarget val="inner"/>
          <c:xMode val="edge"/>
          <c:yMode val="edge"/>
          <c:x val="9.9919422572178479E-2"/>
          <c:y val="0.11158573928258968"/>
          <c:w val="0.82890083230949285"/>
          <c:h val="0.73516185476815399"/>
        </c:manualLayout>
      </c:layout>
      <c:barChart>
        <c:barDir val="col"/>
        <c:grouping val="clustered"/>
        <c:varyColors val="0"/>
        <c:ser>
          <c:idx val="0"/>
          <c:order val="0"/>
          <c:tx>
            <c:strRef>
              <c:f>Hoja8!$B$14</c:f>
              <c:strCache>
                <c:ptCount val="1"/>
                <c:pt idx="0">
                  <c:v>Potencia de la fuente</c:v>
                </c:pt>
              </c:strCache>
            </c:strRef>
          </c:tx>
          <c:invertIfNegative val="0"/>
          <c:cat>
            <c:numRef>
              <c:f>Hoja8!$A$15:$A$22</c:f>
              <c:numCache>
                <c:formatCode>General</c:formatCode>
                <c:ptCount val="8"/>
                <c:pt idx="0">
                  <c:v>15</c:v>
                </c:pt>
                <c:pt idx="1">
                  <c:v>30</c:v>
                </c:pt>
                <c:pt idx="2">
                  <c:v>45</c:v>
                </c:pt>
                <c:pt idx="3">
                  <c:v>60</c:v>
                </c:pt>
                <c:pt idx="4">
                  <c:v>75</c:v>
                </c:pt>
                <c:pt idx="5">
                  <c:v>90</c:v>
                </c:pt>
                <c:pt idx="6">
                  <c:v>105</c:v>
                </c:pt>
                <c:pt idx="7">
                  <c:v>120</c:v>
                </c:pt>
              </c:numCache>
            </c:numRef>
          </c:cat>
          <c:val>
            <c:numRef>
              <c:f>Hoja8!$B$15:$B$22</c:f>
              <c:numCache>
                <c:formatCode>General</c:formatCode>
                <c:ptCount val="8"/>
                <c:pt idx="0">
                  <c:v>0.46558711904183675</c:v>
                </c:pt>
                <c:pt idx="1">
                  <c:v>3.5651630091812372</c:v>
                </c:pt>
                <c:pt idx="2">
                  <c:v>15.443801185820012</c:v>
                </c:pt>
                <c:pt idx="3">
                  <c:v>35.847325192160326</c:v>
                </c:pt>
                <c:pt idx="4">
                  <c:v>37.424702534583233</c:v>
                </c:pt>
                <c:pt idx="5">
                  <c:v>-0.98383433012957333</c:v>
                </c:pt>
                <c:pt idx="6">
                  <c:v>-38.182472601231545</c:v>
                </c:pt>
                <c:pt idx="7">
                  <c:v>-35.117152409666502</c:v>
                </c:pt>
              </c:numCache>
            </c:numRef>
          </c:val>
          <c:extLst>
            <c:ext xmlns:c16="http://schemas.microsoft.com/office/drawing/2014/chart" uri="{C3380CC4-5D6E-409C-BE32-E72D297353CC}">
              <c16:uniqueId val="{00000000-BEA8-489A-A3BA-428A9045F536}"/>
            </c:ext>
          </c:extLst>
        </c:ser>
        <c:ser>
          <c:idx val="1"/>
          <c:order val="1"/>
          <c:tx>
            <c:strRef>
              <c:f>Hoja8!$C$14</c:f>
              <c:strCache>
                <c:ptCount val="1"/>
                <c:pt idx="0">
                  <c:v>Potencia de la Demanda</c:v>
                </c:pt>
              </c:strCache>
            </c:strRef>
          </c:tx>
          <c:invertIfNegative val="0"/>
          <c:cat>
            <c:numRef>
              <c:f>Hoja8!$A$15:$A$22</c:f>
              <c:numCache>
                <c:formatCode>General</c:formatCode>
                <c:ptCount val="8"/>
                <c:pt idx="0">
                  <c:v>15</c:v>
                </c:pt>
                <c:pt idx="1">
                  <c:v>30</c:v>
                </c:pt>
                <c:pt idx="2">
                  <c:v>45</c:v>
                </c:pt>
                <c:pt idx="3">
                  <c:v>60</c:v>
                </c:pt>
                <c:pt idx="4">
                  <c:v>75</c:v>
                </c:pt>
                <c:pt idx="5">
                  <c:v>90</c:v>
                </c:pt>
                <c:pt idx="6">
                  <c:v>105</c:v>
                </c:pt>
                <c:pt idx="7">
                  <c:v>120</c:v>
                </c:pt>
              </c:numCache>
            </c:numRef>
          </c:cat>
          <c:val>
            <c:numRef>
              <c:f>Hoja8!$C$15:$C$22</c:f>
              <c:numCache>
                <c:formatCode>General</c:formatCode>
                <c:ptCount val="8"/>
                <c:pt idx="3">
                  <c:v>8.5862261013549599</c:v>
                </c:pt>
                <c:pt idx="4">
                  <c:v>32.908043141547445</c:v>
                </c:pt>
                <c:pt idx="5">
                  <c:v>11.628584519780025</c:v>
                </c:pt>
                <c:pt idx="6">
                  <c:v>-34.756314848497098</c:v>
                </c:pt>
                <c:pt idx="7">
                  <c:v>-17.051290863726809</c:v>
                </c:pt>
              </c:numCache>
            </c:numRef>
          </c:val>
          <c:extLst>
            <c:ext xmlns:c16="http://schemas.microsoft.com/office/drawing/2014/chart" uri="{C3380CC4-5D6E-409C-BE32-E72D297353CC}">
              <c16:uniqueId val="{00000001-BEA8-489A-A3BA-428A9045F536}"/>
            </c:ext>
          </c:extLst>
        </c:ser>
        <c:dLbls>
          <c:showLegendKey val="0"/>
          <c:showVal val="0"/>
          <c:showCatName val="0"/>
          <c:showSerName val="0"/>
          <c:showPercent val="0"/>
          <c:showBubbleSize val="0"/>
        </c:dLbls>
        <c:gapWidth val="150"/>
        <c:axId val="187296768"/>
        <c:axId val="187462400"/>
      </c:barChart>
      <c:catAx>
        <c:axId val="187296768"/>
        <c:scaling>
          <c:orientation val="minMax"/>
        </c:scaling>
        <c:delete val="0"/>
        <c:axPos val="b"/>
        <c:numFmt formatCode="General" sourceLinked="1"/>
        <c:majorTickMark val="out"/>
        <c:minorTickMark val="none"/>
        <c:tickLblPos val="nextTo"/>
        <c:crossAx val="187462400"/>
        <c:crosses val="autoZero"/>
        <c:auto val="1"/>
        <c:lblAlgn val="ctr"/>
        <c:lblOffset val="100"/>
        <c:noMultiLvlLbl val="0"/>
      </c:catAx>
      <c:valAx>
        <c:axId val="187462400"/>
        <c:scaling>
          <c:orientation val="minMax"/>
        </c:scaling>
        <c:delete val="0"/>
        <c:axPos val="l"/>
        <c:numFmt formatCode="General" sourceLinked="1"/>
        <c:majorTickMark val="out"/>
        <c:minorTickMark val="none"/>
        <c:tickLblPos val="nextTo"/>
        <c:crossAx val="187296768"/>
        <c:crosses val="autoZero"/>
        <c:crossBetween val="between"/>
      </c:valAx>
    </c:plotArea>
    <c:legend>
      <c:legendPos val="r"/>
      <c:layout>
        <c:manualLayout>
          <c:xMode val="edge"/>
          <c:yMode val="edge"/>
          <c:x val="7.5469569073948861E-2"/>
          <c:y val="0.8342721222347208"/>
          <c:w val="0.90616634267350005"/>
          <c:h val="7.4841790609507131E-2"/>
        </c:manualLayout>
      </c:layout>
      <c:overlay val="0"/>
    </c:legend>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25"/>
    </mc:Choice>
    <mc:Fallback>
      <c:style val="25"/>
    </mc:Fallback>
  </mc:AlternateContent>
  <c:chart>
    <c:autoTitleDeleted val="0"/>
    <c:plotArea>
      <c:layout>
        <c:manualLayout>
          <c:layoutTarget val="inner"/>
          <c:xMode val="edge"/>
          <c:yMode val="edge"/>
          <c:x val="0.11157595017846418"/>
          <c:y val="0.11351971826306521"/>
          <c:w val="0.83829457050516487"/>
          <c:h val="0.68886555847185771"/>
        </c:manualLayout>
      </c:layout>
      <c:barChart>
        <c:barDir val="col"/>
        <c:grouping val="clustered"/>
        <c:varyColors val="0"/>
        <c:ser>
          <c:idx val="0"/>
          <c:order val="0"/>
          <c:tx>
            <c:strRef>
              <c:f>Hoja8!$B$26:$B$27</c:f>
              <c:strCache>
                <c:ptCount val="1"/>
                <c:pt idx="0">
                  <c:v>Potencia de la fuente</c:v>
                </c:pt>
              </c:strCache>
            </c:strRef>
          </c:tx>
          <c:invertIfNegative val="0"/>
          <c:cat>
            <c:numRef>
              <c:f>Hoja8!$A$28:$A$35</c:f>
              <c:numCache>
                <c:formatCode>General</c:formatCode>
                <c:ptCount val="8"/>
                <c:pt idx="0">
                  <c:v>15</c:v>
                </c:pt>
                <c:pt idx="1">
                  <c:v>30</c:v>
                </c:pt>
                <c:pt idx="2">
                  <c:v>45</c:v>
                </c:pt>
                <c:pt idx="3">
                  <c:v>60</c:v>
                </c:pt>
                <c:pt idx="4">
                  <c:v>75</c:v>
                </c:pt>
                <c:pt idx="5">
                  <c:v>90</c:v>
                </c:pt>
                <c:pt idx="6">
                  <c:v>105</c:v>
                </c:pt>
                <c:pt idx="7">
                  <c:v>120</c:v>
                </c:pt>
              </c:numCache>
            </c:numRef>
          </c:cat>
          <c:val>
            <c:numRef>
              <c:f>Hoja8!$B$28:$B$35</c:f>
              <c:numCache>
                <c:formatCode>General</c:formatCode>
                <c:ptCount val="8"/>
                <c:pt idx="0">
                  <c:v>0.38148176665421785</c:v>
                </c:pt>
                <c:pt idx="1">
                  <c:v>2.4363758574731098</c:v>
                </c:pt>
                <c:pt idx="2">
                  <c:v>10.054053937188533</c:v>
                </c:pt>
                <c:pt idx="3">
                  <c:v>26.046369681887853</c:v>
                </c:pt>
                <c:pt idx="4">
                  <c:v>39.522494897355131</c:v>
                </c:pt>
                <c:pt idx="5">
                  <c:v>27.038056863563661</c:v>
                </c:pt>
                <c:pt idx="6">
                  <c:v>-10.84560877930566</c:v>
                </c:pt>
                <c:pt idx="7">
                  <c:v>-37.986423265947778</c:v>
                </c:pt>
              </c:numCache>
            </c:numRef>
          </c:val>
          <c:extLst>
            <c:ext xmlns:c16="http://schemas.microsoft.com/office/drawing/2014/chart" uri="{C3380CC4-5D6E-409C-BE32-E72D297353CC}">
              <c16:uniqueId val="{00000000-9457-4E70-BA35-214A6471DE9F}"/>
            </c:ext>
          </c:extLst>
        </c:ser>
        <c:ser>
          <c:idx val="1"/>
          <c:order val="1"/>
          <c:tx>
            <c:strRef>
              <c:f>Hoja8!$C$26:$C$27</c:f>
              <c:strCache>
                <c:ptCount val="1"/>
                <c:pt idx="0">
                  <c:v>Potencia de la Demanda</c:v>
                </c:pt>
              </c:strCache>
            </c:strRef>
          </c:tx>
          <c:invertIfNegative val="0"/>
          <c:cat>
            <c:numRef>
              <c:f>Hoja8!$A$28:$A$35</c:f>
              <c:numCache>
                <c:formatCode>General</c:formatCode>
                <c:ptCount val="8"/>
                <c:pt idx="0">
                  <c:v>15</c:v>
                </c:pt>
                <c:pt idx="1">
                  <c:v>30</c:v>
                </c:pt>
                <c:pt idx="2">
                  <c:v>45</c:v>
                </c:pt>
                <c:pt idx="3">
                  <c:v>60</c:v>
                </c:pt>
                <c:pt idx="4">
                  <c:v>75</c:v>
                </c:pt>
                <c:pt idx="5">
                  <c:v>90</c:v>
                </c:pt>
                <c:pt idx="6">
                  <c:v>105</c:v>
                </c:pt>
                <c:pt idx="7">
                  <c:v>120</c:v>
                </c:pt>
              </c:numCache>
            </c:numRef>
          </c:cat>
          <c:val>
            <c:numRef>
              <c:f>Hoja8!$C$28:$C$35</c:f>
              <c:numCache>
                <c:formatCode>General</c:formatCode>
                <c:ptCount val="8"/>
                <c:pt idx="3">
                  <c:v>12.786090376030101</c:v>
                </c:pt>
                <c:pt idx="4">
                  <c:v>44.9919551126331</c:v>
                </c:pt>
                <c:pt idx="5">
                  <c:v>-26.051933960764874</c:v>
                </c:pt>
                <c:pt idx="6">
                  <c:v>-29.811073997495999</c:v>
                </c:pt>
                <c:pt idx="7">
                  <c:v>-2.3241831292912667</c:v>
                </c:pt>
              </c:numCache>
            </c:numRef>
          </c:val>
          <c:extLst>
            <c:ext xmlns:c16="http://schemas.microsoft.com/office/drawing/2014/chart" uri="{C3380CC4-5D6E-409C-BE32-E72D297353CC}">
              <c16:uniqueId val="{00000001-9457-4E70-BA35-214A6471DE9F}"/>
            </c:ext>
          </c:extLst>
        </c:ser>
        <c:dLbls>
          <c:showLegendKey val="0"/>
          <c:showVal val="0"/>
          <c:showCatName val="0"/>
          <c:showSerName val="0"/>
          <c:showPercent val="0"/>
          <c:showBubbleSize val="0"/>
        </c:dLbls>
        <c:gapWidth val="150"/>
        <c:axId val="187516416"/>
        <c:axId val="187517952"/>
      </c:barChart>
      <c:catAx>
        <c:axId val="187516416"/>
        <c:scaling>
          <c:orientation val="minMax"/>
        </c:scaling>
        <c:delete val="0"/>
        <c:axPos val="b"/>
        <c:numFmt formatCode="General" sourceLinked="1"/>
        <c:majorTickMark val="out"/>
        <c:minorTickMark val="none"/>
        <c:tickLblPos val="nextTo"/>
        <c:crossAx val="187517952"/>
        <c:crosses val="autoZero"/>
        <c:auto val="1"/>
        <c:lblAlgn val="ctr"/>
        <c:lblOffset val="100"/>
        <c:noMultiLvlLbl val="0"/>
      </c:catAx>
      <c:valAx>
        <c:axId val="187517952"/>
        <c:scaling>
          <c:orientation val="minMax"/>
        </c:scaling>
        <c:delete val="0"/>
        <c:axPos val="l"/>
        <c:numFmt formatCode="General" sourceLinked="1"/>
        <c:majorTickMark val="out"/>
        <c:minorTickMark val="none"/>
        <c:tickLblPos val="nextTo"/>
        <c:crossAx val="187516416"/>
        <c:crosses val="autoZero"/>
        <c:crossBetween val="between"/>
      </c:valAx>
    </c:plotArea>
    <c:legend>
      <c:legendPos val="r"/>
      <c:layout>
        <c:manualLayout>
          <c:xMode val="edge"/>
          <c:yMode val="edge"/>
          <c:x val="0.10799166364367056"/>
          <c:y val="0.77812045618191539"/>
          <c:w val="0.88823674675626985"/>
          <c:h val="8.8971062161533609E-2"/>
        </c:manualLayout>
      </c:layout>
      <c:overlay val="0"/>
    </c:legend>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8.0099238315671631E-2"/>
          <c:y val="0.18253035889850161"/>
          <c:w val="0.87763371077174435"/>
          <c:h val="0.67502950378131921"/>
        </c:manualLayout>
      </c:layout>
      <c:barChart>
        <c:barDir val="col"/>
        <c:grouping val="clustered"/>
        <c:varyColors val="0"/>
        <c:ser>
          <c:idx val="0"/>
          <c:order val="0"/>
          <c:spPr>
            <a:solidFill>
              <a:schemeClr val="bg1">
                <a:lumMod val="65000"/>
              </a:schemeClr>
            </a:solidFill>
            <a:ln w="22225">
              <a:solidFill>
                <a:schemeClr val="tx1"/>
              </a:solidFill>
            </a:ln>
            <a:effectLst>
              <a:glow rad="63500">
                <a:schemeClr val="tx1">
                  <a:lumMod val="65000"/>
                  <a:lumOff val="35000"/>
                  <a:alpha val="40000"/>
                </a:schemeClr>
              </a:glow>
              <a:innerShdw blurRad="63500" dist="50800" dir="13500000">
                <a:prstClr val="black">
                  <a:alpha val="50000"/>
                </a:prstClr>
              </a:innerShdw>
            </a:effectLst>
            <a:scene3d>
              <a:camera prst="orthographicFront"/>
              <a:lightRig rig="threePt" dir="t"/>
            </a:scene3d>
            <a:sp3d>
              <a:bevelT/>
            </a:sp3d>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red!$B$4:$B$6</c:f>
              <c:strCache>
                <c:ptCount val="3"/>
                <c:pt idx="0">
                  <c:v>2008 (nov)</c:v>
                </c:pt>
                <c:pt idx="1">
                  <c:v>2009 (jun)</c:v>
                </c:pt>
                <c:pt idx="2">
                  <c:v>2009 (jul)</c:v>
                </c:pt>
              </c:strCache>
            </c:strRef>
          </c:cat>
          <c:val>
            <c:numRef>
              <c:f>red!$C$4:$C$6</c:f>
              <c:numCache>
                <c:formatCode>General</c:formatCode>
                <c:ptCount val="3"/>
                <c:pt idx="0">
                  <c:v>4.2</c:v>
                </c:pt>
                <c:pt idx="1">
                  <c:v>4.9000000000000004</c:v>
                </c:pt>
                <c:pt idx="2">
                  <c:v>5.0999999999999996</c:v>
                </c:pt>
              </c:numCache>
            </c:numRef>
          </c:val>
          <c:extLst>
            <c:ext xmlns:c16="http://schemas.microsoft.com/office/drawing/2014/chart" uri="{C3380CC4-5D6E-409C-BE32-E72D297353CC}">
              <c16:uniqueId val="{00000000-1D22-4CF2-8D55-DBDDDD79A4D9}"/>
            </c:ext>
          </c:extLst>
        </c:ser>
        <c:dLbls>
          <c:showLegendKey val="0"/>
          <c:showVal val="0"/>
          <c:showCatName val="0"/>
          <c:showSerName val="0"/>
          <c:showPercent val="0"/>
          <c:showBubbleSize val="0"/>
        </c:dLbls>
        <c:gapWidth val="150"/>
        <c:axId val="188841984"/>
        <c:axId val="188843520"/>
      </c:barChart>
      <c:catAx>
        <c:axId val="188841984"/>
        <c:scaling>
          <c:orientation val="minMax"/>
        </c:scaling>
        <c:delete val="0"/>
        <c:axPos val="b"/>
        <c:numFmt formatCode="General" sourceLinked="0"/>
        <c:majorTickMark val="out"/>
        <c:minorTickMark val="none"/>
        <c:tickLblPos val="nextTo"/>
        <c:crossAx val="188843520"/>
        <c:crosses val="autoZero"/>
        <c:auto val="1"/>
        <c:lblAlgn val="ctr"/>
        <c:lblOffset val="100"/>
        <c:noMultiLvlLbl val="0"/>
      </c:catAx>
      <c:valAx>
        <c:axId val="188843520"/>
        <c:scaling>
          <c:orientation val="minMax"/>
        </c:scaling>
        <c:delete val="0"/>
        <c:axPos val="l"/>
        <c:numFmt formatCode="General" sourceLinked="1"/>
        <c:majorTickMark val="out"/>
        <c:minorTickMark val="none"/>
        <c:tickLblPos val="nextTo"/>
        <c:crossAx val="188841984"/>
        <c:crosses val="autoZero"/>
        <c:crossBetween val="between"/>
      </c:valAx>
      <c:spPr>
        <a:noFill/>
        <a:ln>
          <a:noFill/>
        </a:ln>
      </c:spPr>
    </c:plotArea>
    <c:plotVisOnly val="1"/>
    <c:dispBlanksAs val="gap"/>
    <c:showDLblsOverMax val="0"/>
  </c:chart>
  <c:spPr>
    <a:noFill/>
    <a:ln>
      <a:noFill/>
    </a:ln>
  </c:spPr>
  <c:externalData r:id="rId2">
    <c:autoUpdate val="0"/>
  </c:externalData>
  <c:userShapes r:id="rId3"/>
</c:chartSpace>
</file>

<file path=word/drawings/_rels/drawing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drawings/_rels/drawing2.xml.rels><?xml version="1.0" encoding="UTF-8" standalone="yes"?>
<Relationships xmlns="http://schemas.openxmlformats.org/package/2006/relationships"><Relationship Id="rId1" Type="http://schemas.openxmlformats.org/officeDocument/2006/relationships/image" Target="../media/image2.png"/></Relationships>
</file>

<file path=word/drawings/_rels/drawing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drawings/_rels/drawing4.xml.rels><?xml version="1.0" encoding="UTF-8" standalone="yes"?>
<Relationships xmlns="http://schemas.openxmlformats.org/package/2006/relationships"><Relationship Id="rId1" Type="http://schemas.openxmlformats.org/officeDocument/2006/relationships/image" Target="../media/image3.png"/></Relationships>
</file>

<file path=word/drawings/_rels/drawing7.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2.png"/></Relationships>
</file>

<file path=word/drawings/_rels/drawing8.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4.png"/></Relationships>
</file>

<file path=word/drawings/drawing1.xml><?xml version="1.0" encoding="utf-8"?>
<c:userShapes xmlns:c="http://schemas.openxmlformats.org/drawingml/2006/chart">
  <cdr:relSizeAnchor xmlns:cdr="http://schemas.openxmlformats.org/drawingml/2006/chartDrawing">
    <cdr:from>
      <cdr:x>0.02987</cdr:x>
      <cdr:y>0.02606</cdr:y>
    </cdr:from>
    <cdr:to>
      <cdr:x>0.17132</cdr:x>
      <cdr:y>0.13005</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120337" y="74212"/>
          <a:ext cx="569963" cy="296158"/>
        </a:xfrm>
        <a:prstGeom xmlns:a="http://schemas.openxmlformats.org/drawingml/2006/main" prst="rect">
          <a:avLst/>
        </a:prstGeom>
      </cdr:spPr>
    </cdr:pic>
  </cdr:relSizeAnchor>
  <cdr:relSizeAnchor xmlns:cdr="http://schemas.openxmlformats.org/drawingml/2006/chartDrawing">
    <cdr:from>
      <cdr:x>0.84782</cdr:x>
      <cdr:y>0.79079</cdr:y>
    </cdr:from>
    <cdr:to>
      <cdr:x>0.9371</cdr:x>
      <cdr:y>0.90591</cdr:y>
    </cdr:to>
    <cdr:pic>
      <cdr:nvPicPr>
        <cdr:cNvPr id="3" name="chart"/>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416097" y="2252147"/>
          <a:ext cx="359734" cy="327859"/>
        </a:xfrm>
        <a:prstGeom xmlns:a="http://schemas.openxmlformats.org/drawingml/2006/main" prst="rect">
          <a:avLst/>
        </a:prstGeom>
      </cdr:spPr>
    </cdr:pic>
  </cdr:relSizeAnchor>
  <cdr:relSizeAnchor xmlns:cdr="http://schemas.openxmlformats.org/drawingml/2006/chartDrawing">
    <cdr:from>
      <cdr:x>0.28129</cdr:x>
      <cdr:y>0.04473</cdr:y>
    </cdr:from>
    <cdr:to>
      <cdr:x>0.72971</cdr:x>
      <cdr:y>0.14558</cdr:y>
    </cdr:to>
    <cdr:sp macro="" textlink="">
      <cdr:nvSpPr>
        <cdr:cNvPr id="4" name="3 CuadroTexto"/>
        <cdr:cNvSpPr txBox="1"/>
      </cdr:nvSpPr>
      <cdr:spPr>
        <a:xfrm xmlns:a="http://schemas.openxmlformats.org/drawingml/2006/main">
          <a:off x="1286922" y="116079"/>
          <a:ext cx="2051539" cy="26167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es-ES" sz="1100"/>
            <a:t>Masa seca de las hojas</a:t>
          </a:r>
        </a:p>
      </cdr:txBody>
    </cdr:sp>
  </cdr:relSizeAnchor>
</c:userShapes>
</file>

<file path=word/drawings/drawing2.xml><?xml version="1.0" encoding="utf-8"?>
<c:userShapes xmlns:c="http://schemas.openxmlformats.org/drawingml/2006/chart">
  <cdr:relSizeAnchor xmlns:cdr="http://schemas.openxmlformats.org/drawingml/2006/chartDrawing">
    <cdr:from>
      <cdr:x>0.02534</cdr:x>
      <cdr:y>0.03048</cdr:y>
    </cdr:from>
    <cdr:to>
      <cdr:x>0.17812</cdr:x>
      <cdr:y>0.14097</cdr:y>
    </cdr:to>
    <cdr:sp macro="" textlink="">
      <cdr:nvSpPr>
        <cdr:cNvPr id="2" name="1 CuadroTexto"/>
        <cdr:cNvSpPr txBox="1"/>
      </cdr:nvSpPr>
      <cdr:spPr>
        <a:xfrm xmlns:a="http://schemas.openxmlformats.org/drawingml/2006/main">
          <a:off x="100368" y="83737"/>
          <a:ext cx="605109" cy="30353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s-ES" sz="1100"/>
            <a:t>g.m</a:t>
          </a:r>
          <a:r>
            <a:rPr lang="es-ES" sz="1100" baseline="30000"/>
            <a:t>2</a:t>
          </a:r>
        </a:p>
      </cdr:txBody>
    </cdr:sp>
  </cdr:relSizeAnchor>
  <cdr:relSizeAnchor xmlns:cdr="http://schemas.openxmlformats.org/drawingml/2006/chartDrawing">
    <cdr:from>
      <cdr:x>0.91053</cdr:x>
      <cdr:y>0.69017</cdr:y>
    </cdr:from>
    <cdr:to>
      <cdr:x>1</cdr:x>
      <cdr:y>0.79891</cdr:y>
    </cdr:to>
    <cdr:pic>
      <cdr:nvPicPr>
        <cdr:cNvPr id="3"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3044152" y="1873556"/>
          <a:ext cx="299123" cy="295188"/>
        </a:xfrm>
        <a:prstGeom xmlns:a="http://schemas.openxmlformats.org/drawingml/2006/main" prst="rect">
          <a:avLst/>
        </a:prstGeom>
      </cdr:spPr>
    </cdr:pic>
  </cdr:relSizeAnchor>
  <cdr:relSizeAnchor xmlns:cdr="http://schemas.openxmlformats.org/drawingml/2006/chartDrawing">
    <cdr:from>
      <cdr:x>0.27768</cdr:x>
      <cdr:y>0.03322</cdr:y>
    </cdr:from>
    <cdr:to>
      <cdr:x>0.72245</cdr:x>
      <cdr:y>0.1361</cdr:y>
    </cdr:to>
    <cdr:sp macro="" textlink="">
      <cdr:nvSpPr>
        <cdr:cNvPr id="6" name="5 CuadroTexto"/>
        <cdr:cNvSpPr txBox="1"/>
      </cdr:nvSpPr>
      <cdr:spPr>
        <a:xfrm xmlns:a="http://schemas.openxmlformats.org/drawingml/2006/main">
          <a:off x="1267766" y="91273"/>
          <a:ext cx="2030605" cy="28261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es-ES" sz="1100"/>
            <a:t>Masa seca del tallo</a:t>
          </a:r>
        </a:p>
      </cdr:txBody>
    </cdr:sp>
  </cdr:relSizeAnchor>
</c:userShapes>
</file>

<file path=word/drawings/drawing3.xml><?xml version="1.0" encoding="utf-8"?>
<c:userShapes xmlns:c="http://schemas.openxmlformats.org/drawingml/2006/chart">
  <cdr:relSizeAnchor xmlns:cdr="http://schemas.openxmlformats.org/drawingml/2006/chartDrawing">
    <cdr:from>
      <cdr:x>0.02978</cdr:x>
      <cdr:y>0</cdr:y>
    </cdr:from>
    <cdr:to>
      <cdr:x>0.11652</cdr:x>
      <cdr:y>0.12436</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146539" y="0"/>
          <a:ext cx="426757" cy="341406"/>
        </a:xfrm>
        <a:prstGeom xmlns:a="http://schemas.openxmlformats.org/drawingml/2006/main" prst="rect">
          <a:avLst/>
        </a:prstGeom>
      </cdr:spPr>
    </cdr:pic>
  </cdr:relSizeAnchor>
  <cdr:relSizeAnchor xmlns:cdr="http://schemas.openxmlformats.org/drawingml/2006/chartDrawing">
    <cdr:from>
      <cdr:x>0.2788</cdr:x>
      <cdr:y>0.03325</cdr:y>
    </cdr:from>
    <cdr:to>
      <cdr:x>0.83133</cdr:x>
      <cdr:y>0.13619</cdr:y>
    </cdr:to>
    <cdr:sp macro="" textlink="">
      <cdr:nvSpPr>
        <cdr:cNvPr id="3" name="2 CuadroTexto"/>
        <cdr:cNvSpPr txBox="1"/>
      </cdr:nvSpPr>
      <cdr:spPr>
        <a:xfrm xmlns:a="http://schemas.openxmlformats.org/drawingml/2006/main">
          <a:off x="881649" y="78226"/>
          <a:ext cx="1747251" cy="24218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s-ES" sz="1100"/>
            <a:t>Masa seca de la espiga</a:t>
          </a:r>
        </a:p>
      </cdr:txBody>
    </cdr:sp>
  </cdr:relSizeAnchor>
  <cdr:relSizeAnchor xmlns:cdr="http://schemas.openxmlformats.org/drawingml/2006/chartDrawing">
    <cdr:from>
      <cdr:x>0.90541</cdr:x>
      <cdr:y>0.82199</cdr:y>
    </cdr:from>
    <cdr:to>
      <cdr:x>1</cdr:x>
      <cdr:y>0.94746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2923208" y="1933881"/>
          <a:ext cx="299123" cy="295188"/>
        </a:xfrm>
        <a:prstGeom xmlns:a="http://schemas.openxmlformats.org/drawingml/2006/main" prst="rect">
          <a:avLst/>
        </a:prstGeom>
      </cdr:spPr>
    </cdr:pic>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0.13868</cdr:x>
      <cdr:y>0.09779</cdr:y>
    </cdr:to>
    <cdr:pic>
      <cdr:nvPicPr>
        <cdr:cNvPr id="3"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634039" cy="268247"/>
        </a:xfrm>
        <a:prstGeom xmlns:a="http://schemas.openxmlformats.org/drawingml/2006/main" prst="rect">
          <a:avLst/>
        </a:prstGeom>
      </cdr:spPr>
    </cdr:pic>
  </cdr:relSizeAnchor>
  <cdr:relSizeAnchor xmlns:cdr="http://schemas.openxmlformats.org/drawingml/2006/chartDrawing">
    <cdr:from>
      <cdr:x>0.36458</cdr:x>
      <cdr:y>0</cdr:y>
    </cdr:from>
    <cdr:to>
      <cdr:x>0.54167</cdr:x>
      <cdr:y>0.11111</cdr:y>
    </cdr:to>
    <cdr:sp macro="" textlink="">
      <cdr:nvSpPr>
        <cdr:cNvPr id="4" name="3 CuadroTexto"/>
        <cdr:cNvSpPr txBox="1"/>
      </cdr:nvSpPr>
      <cdr:spPr>
        <a:xfrm xmlns:a="http://schemas.openxmlformats.org/drawingml/2006/main">
          <a:off x="1666875" y="0"/>
          <a:ext cx="809625" cy="3048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es-ES" sz="1100"/>
            <a:t>TAN</a:t>
          </a:r>
        </a:p>
      </cdr:txBody>
    </cdr:sp>
  </cdr:relSizeAnchor>
</c:userShapes>
</file>

<file path=word/drawings/drawing5.xml><?xml version="1.0" encoding="utf-8"?>
<c:userShapes xmlns:c="http://schemas.openxmlformats.org/drawingml/2006/chart">
  <cdr:relSizeAnchor xmlns:cdr="http://schemas.openxmlformats.org/drawingml/2006/chartDrawing">
    <cdr:from>
      <cdr:x>0.36232</cdr:x>
      <cdr:y>0</cdr:y>
    </cdr:from>
    <cdr:to>
      <cdr:x>0.62319</cdr:x>
      <cdr:y>0.10593</cdr:y>
    </cdr:to>
    <cdr:sp macro="" textlink="">
      <cdr:nvSpPr>
        <cdr:cNvPr id="2" name="1 CuadroTexto"/>
        <cdr:cNvSpPr txBox="1"/>
      </cdr:nvSpPr>
      <cdr:spPr>
        <a:xfrm xmlns:a="http://schemas.openxmlformats.org/drawingml/2006/main">
          <a:off x="1190625" y="0"/>
          <a:ext cx="857250" cy="2381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es-ES" sz="1100"/>
            <a:t>RAF</a:t>
          </a:r>
        </a:p>
      </cdr:txBody>
    </cdr:sp>
  </cdr:relSizeAnchor>
  <cdr:relSizeAnchor xmlns:cdr="http://schemas.openxmlformats.org/drawingml/2006/chartDrawing">
    <cdr:from>
      <cdr:x>0.84638</cdr:x>
      <cdr:y>0.79661</cdr:y>
    </cdr:from>
    <cdr:to>
      <cdr:x>1</cdr:x>
      <cdr:y>0.91949</cdr:y>
    </cdr:to>
    <cdr:sp macro="" textlink="">
      <cdr:nvSpPr>
        <cdr:cNvPr id="3" name="2 CuadroTexto"/>
        <cdr:cNvSpPr txBox="1"/>
      </cdr:nvSpPr>
      <cdr:spPr>
        <a:xfrm xmlns:a="http://schemas.openxmlformats.org/drawingml/2006/main">
          <a:off x="2781300" y="1790700"/>
          <a:ext cx="504825" cy="2762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r"/>
          <a:r>
            <a:rPr lang="es-ES" sz="1100"/>
            <a:t>DDE</a:t>
          </a:r>
        </a:p>
      </cdr:txBody>
    </cdr:sp>
  </cdr:relSizeAnchor>
</c:userShapes>
</file>

<file path=word/drawings/drawing6.xml><?xml version="1.0" encoding="utf-8"?>
<c:userShapes xmlns:c="http://schemas.openxmlformats.org/drawingml/2006/chart">
  <cdr:relSizeAnchor xmlns:cdr="http://schemas.openxmlformats.org/drawingml/2006/chartDrawing">
    <cdr:from>
      <cdr:x>0.2445</cdr:x>
      <cdr:y>0.02257</cdr:y>
    </cdr:from>
    <cdr:to>
      <cdr:x>0.87258</cdr:x>
      <cdr:y>0.12442</cdr:y>
    </cdr:to>
    <cdr:sp macro="" textlink="">
      <cdr:nvSpPr>
        <cdr:cNvPr id="2" name="1 CuadroTexto"/>
        <cdr:cNvSpPr txBox="1"/>
      </cdr:nvSpPr>
      <cdr:spPr>
        <a:xfrm xmlns:a="http://schemas.openxmlformats.org/drawingml/2006/main">
          <a:off x="840719" y="46650"/>
          <a:ext cx="2159656" cy="2105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s-ES" sz="1100"/>
            <a:t>Siembra de Noviembre</a:t>
          </a:r>
          <a:r>
            <a:rPr lang="es-ES" sz="1100" baseline="0"/>
            <a:t> de  2008</a:t>
          </a:r>
          <a:endParaRPr lang="es-ES" sz="1100"/>
        </a:p>
      </cdr:txBody>
    </cdr:sp>
  </cdr:relSizeAnchor>
  <cdr:relSizeAnchor xmlns:cdr="http://schemas.openxmlformats.org/drawingml/2006/chartDrawing">
    <cdr:from>
      <cdr:x>2.56692E-7</cdr:x>
      <cdr:y>0.02951</cdr:y>
    </cdr:from>
    <cdr:to>
      <cdr:x>0.13692</cdr:x>
      <cdr:y>0.11632</cdr:y>
    </cdr:to>
    <cdr:sp macro="" textlink="">
      <cdr:nvSpPr>
        <cdr:cNvPr id="3" name="2 CuadroTexto"/>
        <cdr:cNvSpPr txBox="1"/>
      </cdr:nvSpPr>
      <cdr:spPr>
        <a:xfrm xmlns:a="http://schemas.openxmlformats.org/drawingml/2006/main">
          <a:off x="1" y="80963"/>
          <a:ext cx="533400" cy="2381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s-ES" sz="1100"/>
            <a:t>g.día</a:t>
          </a:r>
          <a:r>
            <a:rPr lang="es-ES" sz="1100" baseline="30000"/>
            <a:t>-1</a:t>
          </a:r>
        </a:p>
      </cdr:txBody>
    </cdr:sp>
  </cdr:relSizeAnchor>
  <cdr:relSizeAnchor xmlns:cdr="http://schemas.openxmlformats.org/drawingml/2006/chartDrawing">
    <cdr:from>
      <cdr:x>0.467</cdr:x>
      <cdr:y>0.88267</cdr:y>
    </cdr:from>
    <cdr:to>
      <cdr:x>0.60881</cdr:x>
      <cdr:y>1</cdr:y>
    </cdr:to>
    <cdr:sp macro="" textlink="">
      <cdr:nvSpPr>
        <cdr:cNvPr id="4" name="3 CuadroTexto"/>
        <cdr:cNvSpPr txBox="1"/>
      </cdr:nvSpPr>
      <cdr:spPr>
        <a:xfrm xmlns:a="http://schemas.openxmlformats.org/drawingml/2006/main">
          <a:off x="1454561" y="1824417"/>
          <a:ext cx="441692" cy="24250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s-ES" sz="1100"/>
            <a:t>DDE</a:t>
          </a:r>
        </a:p>
      </cdr:txBody>
    </cdr:sp>
  </cdr:relSizeAnchor>
</c:userShapes>
</file>

<file path=word/drawings/drawing7.xml><?xml version="1.0" encoding="utf-8"?>
<c:userShapes xmlns:c="http://schemas.openxmlformats.org/drawingml/2006/chart">
  <cdr:relSizeAnchor xmlns:cdr="http://schemas.openxmlformats.org/drawingml/2006/chartDrawing">
    <cdr:from>
      <cdr:x>0.23833</cdr:x>
      <cdr:y>0.00463</cdr:y>
    </cdr:from>
    <cdr:to>
      <cdr:x>0.79833</cdr:x>
      <cdr:y>0.09838</cdr:y>
    </cdr:to>
    <cdr:sp macro="" textlink="">
      <cdr:nvSpPr>
        <cdr:cNvPr id="2" name="1 CuadroTexto"/>
        <cdr:cNvSpPr txBox="1"/>
      </cdr:nvSpPr>
      <cdr:spPr>
        <a:xfrm xmlns:a="http://schemas.openxmlformats.org/drawingml/2006/main">
          <a:off x="908050" y="12700"/>
          <a:ext cx="2133600" cy="257174"/>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s-ES" sz="1100"/>
            <a:t>Siembra de Junio </a:t>
          </a:r>
          <a:r>
            <a:rPr lang="es-ES" sz="1100" baseline="0"/>
            <a:t>de 2009</a:t>
          </a:r>
          <a:endParaRPr lang="es-ES" sz="1100"/>
        </a:p>
      </cdr:txBody>
    </cdr:sp>
  </cdr:relSizeAnchor>
  <cdr:relSizeAnchor xmlns:cdr="http://schemas.openxmlformats.org/drawingml/2006/chartDrawing">
    <cdr:from>
      <cdr:x>0.445</cdr:x>
      <cdr:y>0.87946</cdr:y>
    </cdr:from>
    <cdr:to>
      <cdr:x>0.58</cdr:x>
      <cdr:y>1</cdr:y>
    </cdr:to>
    <cdr:pic>
      <cdr:nvPicPr>
        <cdr:cNvPr id="3"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1530144" y="1876425"/>
          <a:ext cx="464201" cy="257175"/>
        </a:xfrm>
        <a:prstGeom xmlns:a="http://schemas.openxmlformats.org/drawingml/2006/main" prst="rect">
          <a:avLst/>
        </a:prstGeom>
      </cdr:spPr>
    </cdr:pic>
  </cdr:relSizeAnchor>
  <cdr:relSizeAnchor xmlns:cdr="http://schemas.openxmlformats.org/drawingml/2006/chartDrawing">
    <cdr:from>
      <cdr:x>0</cdr:x>
      <cdr:y>0</cdr:y>
    </cdr:from>
    <cdr:to>
      <cdr:x>0.13601</cdr:x>
      <cdr:y>0.11488</cdr:y>
    </cdr:to>
    <cdr:pic>
      <cdr:nvPicPr>
        <cdr:cNvPr id="5" name="chart"/>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0" y="0"/>
          <a:ext cx="518205" cy="341406"/>
        </a:xfrm>
        <a:prstGeom xmlns:a="http://schemas.openxmlformats.org/drawingml/2006/main" prst="rect">
          <a:avLst/>
        </a:prstGeom>
      </cdr:spPr>
    </cdr:pic>
  </cdr:relSizeAnchor>
</c:userShapes>
</file>

<file path=word/drawings/drawing8.xml><?xml version="1.0" encoding="utf-8"?>
<c:userShapes xmlns:c="http://schemas.openxmlformats.org/drawingml/2006/chart">
  <cdr:relSizeAnchor xmlns:cdr="http://schemas.openxmlformats.org/drawingml/2006/chartDrawing">
    <cdr:from>
      <cdr:x>0</cdr:x>
      <cdr:y>0</cdr:y>
    </cdr:from>
    <cdr:to>
      <cdr:x>0.13986</cdr:x>
      <cdr:y>0.12446</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518205" cy="341406"/>
        </a:xfrm>
        <a:prstGeom xmlns:a="http://schemas.openxmlformats.org/drawingml/2006/main" prst="rect">
          <a:avLst/>
        </a:prstGeom>
      </cdr:spPr>
    </cdr:pic>
  </cdr:relSizeAnchor>
  <cdr:relSizeAnchor xmlns:cdr="http://schemas.openxmlformats.org/drawingml/2006/chartDrawing">
    <cdr:from>
      <cdr:x>0.46101</cdr:x>
      <cdr:y>0.87611</cdr:y>
    </cdr:from>
    <cdr:to>
      <cdr:x>0.59983</cdr:x>
      <cdr:y>1</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1620323" y="1885950"/>
          <a:ext cx="487914" cy="266700"/>
        </a:xfrm>
        <a:prstGeom xmlns:a="http://schemas.openxmlformats.org/drawingml/2006/main" prst="rect">
          <a:avLst/>
        </a:prstGeom>
      </cdr:spPr>
    </cdr:pic>
  </cdr:relSizeAnchor>
  <cdr:relSizeAnchor xmlns:cdr="http://schemas.openxmlformats.org/drawingml/2006/chartDrawing">
    <cdr:from>
      <cdr:x>0.30591</cdr:x>
      <cdr:y>0</cdr:y>
    </cdr:from>
    <cdr:to>
      <cdr:x>0.85347</cdr:x>
      <cdr:y>0.08861</cdr:y>
    </cdr:to>
    <cdr:sp macro="" textlink="">
      <cdr:nvSpPr>
        <cdr:cNvPr id="6" name="5 CuadroTexto"/>
        <cdr:cNvSpPr txBox="1"/>
      </cdr:nvSpPr>
      <cdr:spPr>
        <a:xfrm xmlns:a="http://schemas.openxmlformats.org/drawingml/2006/main">
          <a:off x="1133475" y="0"/>
          <a:ext cx="2028825" cy="2667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s-ES" sz="1100"/>
            <a:t>Siembra</a:t>
          </a:r>
          <a:r>
            <a:rPr lang="es-ES" sz="1100" baseline="0"/>
            <a:t> de Julio de 2009</a:t>
          </a:r>
          <a:endParaRPr lang="es-ES" sz="1100"/>
        </a:p>
      </cdr:txBody>
    </cdr:sp>
  </cdr:relSizeAnchor>
</c:userShapes>
</file>

<file path=word/drawings/drawing9.xml><?xml version="1.0" encoding="utf-8"?>
<c:userShapes xmlns:c="http://schemas.openxmlformats.org/drawingml/2006/chart">
  <cdr:relSizeAnchor xmlns:cdr="http://schemas.openxmlformats.org/drawingml/2006/chartDrawing">
    <cdr:from>
      <cdr:x>0</cdr:x>
      <cdr:y>0.01279</cdr:y>
    </cdr:from>
    <cdr:to>
      <cdr:x>0.21326</cdr:x>
      <cdr:y>0.11087</cdr:y>
    </cdr:to>
    <cdr:sp macro="" textlink="">
      <cdr:nvSpPr>
        <cdr:cNvPr id="2" name="1 CuadroTexto"/>
        <cdr:cNvSpPr txBox="1"/>
      </cdr:nvSpPr>
      <cdr:spPr>
        <a:xfrm xmlns:a="http://schemas.openxmlformats.org/drawingml/2006/main">
          <a:off x="0" y="28574"/>
          <a:ext cx="704850" cy="2190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s-ES" sz="1100"/>
            <a:t>t.ha</a:t>
          </a:r>
          <a:r>
            <a:rPr lang="es-ES" sz="1100" baseline="30000"/>
            <a:t>-1</a:t>
          </a:r>
        </a:p>
      </cdr:txBody>
    </cdr:sp>
  </cdr:relSizeAnchor>
</c:userShape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40C427-20B5-4AB3-BFCD-413BA412B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4951</Words>
  <Characters>27232</Characters>
  <Application>Microsoft Office Word</Application>
  <DocSecurity>0</DocSecurity>
  <Lines>226</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Soto</dc:creator>
  <cp:lastModifiedBy>Florido</cp:lastModifiedBy>
  <cp:revision>2</cp:revision>
  <dcterms:created xsi:type="dcterms:W3CDTF">2017-03-30T06:35:00Z</dcterms:created>
  <dcterms:modified xsi:type="dcterms:W3CDTF">2017-03-30T06:35:00Z</dcterms:modified>
</cp:coreProperties>
</file>