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5FA" w:rsidRDefault="007F107D">
      <w:r>
        <w:t>Calibración y validación de APSIM-Trigo y CERES-Trigo para primavera</w:t>
      </w:r>
      <w:r>
        <w:br/>
        <w:t>Trigo bajo condiciones de secano: Evaluación y aplicación de modelos</w:t>
      </w:r>
    </w:p>
    <w:p w:rsidR="007F107D" w:rsidRDefault="007F107D"/>
    <w:p w:rsidR="007F107D" w:rsidRDefault="007F107D">
      <w:r>
        <w:t>Resumen</w:t>
      </w:r>
    </w:p>
    <w:p w:rsidR="007F107D" w:rsidRDefault="007F107D">
      <w:r>
        <w:t xml:space="preserve">El crecimiento de los cultivos en los modelos de cultivo basados ​​en procesos se controla mediante diferentes parámetros. La calibración del modelo es </w:t>
      </w:r>
      <w:proofErr w:type="spellStart"/>
      <w:r>
        <w:t>necesariaPara</w:t>
      </w:r>
      <w:proofErr w:type="spellEnd"/>
      <w:r>
        <w:t xml:space="preserve"> su aplicación a nuevos cultivares y medio ambiente. Aplicamos un método manual para calibrar APSIM-Trigo y CERES-Trigo para el día de floración, día de madurez, índice de área foliar, biomasa y grano De cinco cultivares de trigo de primavera bajo condiciones de secano en Pakistán. Cinco cultivares de trigo de diferentes </w:t>
      </w:r>
      <w:proofErr w:type="spellStart"/>
      <w:r>
        <w:t>Tatara</w:t>
      </w:r>
      <w:proofErr w:type="spellEnd"/>
      <w:r>
        <w:t>, NARC-2009, Sehar-2006, SKD-1 y F-</w:t>
      </w:r>
      <w:proofErr w:type="spellStart"/>
      <w:r>
        <w:t>Sarhad</w:t>
      </w:r>
      <w:proofErr w:type="spellEnd"/>
      <w:r>
        <w:t xml:space="preserve"> fueron plantadas el 19 de noviembre, al Islamabad en los años 2007-2011. </w:t>
      </w:r>
      <w:proofErr w:type="gramStart"/>
      <w:r>
        <w:t xml:space="preserve">Los experimentos se expusieron en </w:t>
      </w:r>
      <w:proofErr w:type="spellStart"/>
      <w:r>
        <w:t>Randomized</w:t>
      </w:r>
      <w:proofErr w:type="spellEnd"/>
      <w:r>
        <w:t xml:space="preserve"> Complete Block Diseño (RCBD) se replicó cuatro veces con un tamaño de parcela individual de 5 m?</w:t>
      </w:r>
      <w:proofErr w:type="gramEnd"/>
      <w:r>
        <w:t xml:space="preserve"> 3 m. APSIM-Trigo y </w:t>
      </w:r>
      <w:proofErr w:type="spellStart"/>
      <w:r>
        <w:t>CERESWheat</w:t>
      </w:r>
      <w:proofErr w:type="spellEnd"/>
      <w:r>
        <w:t xml:space="preserve"> Fueron calibrados para los cinco cultivares de trigo utilizando coeficientes genéticos estimados sobre la base de medidas Durante el año de cultivo 2008-09 y se validaron con conjuntos de datos independientes (datos 2009-10 y 2010-11) que no se utilizaron para la calibración de los modelos. Ambos modelos fueron Capaz de simular con precisión los días de antesis y madurez, máximo índice de área foliar, biomasa y </w:t>
      </w:r>
      <w:proofErr w:type="gramStart"/>
      <w:r>
        <w:t>grano ,</w:t>
      </w:r>
      <w:proofErr w:type="gramEnd"/>
      <w:r>
        <w:t xml:space="preserve"> Con un error cuadrático medio (RMSE) normalizado inferior al 10%, índice D mayor que 0,80 y Eficiencia del modelo superior al 80% en la mayoría de los casos. Los cambios temporales en la acumulación máxima de LAI para todos Los cultivares indican que tanto los valores medidos como los simulados coinciden entre sí. Evaluación con la medida Los datos mostraron que el rendimiento de ambos modelos era realista como lo indica la simulación precisa De la fenología de los cultivos, LAI, biomasa y rendimiento de grano frente a los datos medidos. Resultados de la variabilidad climática Mostró que un aumento en la temperatura de 0 ◦ C a 5 ◦ C dio como resultado un descenso medio del 60% en el rendimiento De los cultivares de trigo, mientras que el aumento de CO2 aumentó el rendimiento, similar al efecto combinado del aumento de la temperatura Y CO2. Llegamos a la conclusión de </w:t>
      </w:r>
      <w:proofErr w:type="gramStart"/>
      <w:r>
        <w:t>que</w:t>
      </w:r>
      <w:proofErr w:type="gramEnd"/>
      <w:r>
        <w:t xml:space="preserve"> para lograr la precisión en la simulación resultados de los modelos, nuevos cultivares Debe ser calibrado para minimizar la incertidumbre para permitir recomendaciones juiciosas en respuesta a Variabilidad climática.</w:t>
      </w:r>
    </w:p>
    <w:p w:rsidR="00A70BEC" w:rsidRDefault="00A70BEC">
      <w:r>
        <w:t>Introducción</w:t>
      </w:r>
    </w:p>
    <w:p w:rsidR="000B4582" w:rsidRDefault="00A70BEC" w:rsidP="000B4582">
      <w:pPr>
        <w:jc w:val="both"/>
      </w:pPr>
      <w:r>
        <w:t>Los modelos son representaciones matemáticas de sistemas reales y</w:t>
      </w:r>
      <w:r w:rsidR="000B4582">
        <w:t xml:space="preserve"> </w:t>
      </w:r>
      <w:r>
        <w:t>Proporcionan una manera eficiente de estudiar complejos estudios biofísicos</w:t>
      </w:r>
      <w:r w:rsidR="000B4582">
        <w:t xml:space="preserve"> </w:t>
      </w:r>
      <w:r>
        <w:t>(</w:t>
      </w:r>
      <w:proofErr w:type="spellStart"/>
      <w:r>
        <w:t>Holzworth</w:t>
      </w:r>
      <w:proofErr w:type="spellEnd"/>
      <w:r>
        <w:t xml:space="preserve"> et al., 2011). Aplicación cuantitativa de los cultivos</w:t>
      </w:r>
      <w:r>
        <w:br/>
        <w:t>Se llama modelado de simulación de cultivos. Puede ser</w:t>
      </w:r>
      <w:r w:rsidR="000B4582">
        <w:t xml:space="preserve"> </w:t>
      </w:r>
      <w:r>
        <w:t>Explicadas como representaciones matemáticas o estadísticas de</w:t>
      </w:r>
      <w:r w:rsidR="000B4582">
        <w:t xml:space="preserve"> </w:t>
      </w:r>
      <w:r>
        <w:t>Biológica (</w:t>
      </w:r>
      <w:proofErr w:type="spellStart"/>
      <w:r>
        <w:t>Haghverdi</w:t>
      </w:r>
      <w:proofErr w:type="spellEnd"/>
      <w:r>
        <w:t xml:space="preserve"> et al., 2014, </w:t>
      </w:r>
      <w:proofErr w:type="spellStart"/>
      <w:r>
        <w:t>Porter</w:t>
      </w:r>
      <w:proofErr w:type="spellEnd"/>
      <w:r>
        <w:t xml:space="preserve"> y </w:t>
      </w:r>
      <w:proofErr w:type="spellStart"/>
      <w:r>
        <w:t>Semenov</w:t>
      </w:r>
      <w:proofErr w:type="spellEnd"/>
      <w:r>
        <w:t>,</w:t>
      </w:r>
      <w:r w:rsidR="000B4582">
        <w:t xml:space="preserve"> </w:t>
      </w:r>
      <w:r>
        <w:t>2005). El modelado de los cultivos facilita el desarrollo de estrategias innovadoras de manejo de cultivos y sostenibilidad agrícola</w:t>
      </w:r>
      <w:r w:rsidR="000B4582">
        <w:t xml:space="preserve"> </w:t>
      </w:r>
      <w:r>
        <w:t>Cambio climático, ya que expresa la respuesta de los cultivos a</w:t>
      </w:r>
      <w:r w:rsidR="000B4582">
        <w:t xml:space="preserve"> </w:t>
      </w:r>
      <w:r>
        <w:t>Meteorológicos, edáficos y biológicos (Martín et al.,</w:t>
      </w:r>
      <w:r w:rsidR="000B4582">
        <w:t xml:space="preserve"> </w:t>
      </w:r>
      <w:r>
        <w:t>2014). El modelado de los cultivos ayuda en la toma de decisiones, la previsión del cultivo</w:t>
      </w:r>
      <w:r w:rsidR="000B4582">
        <w:t xml:space="preserve"> </w:t>
      </w:r>
      <w:r>
        <w:t>Crecimiento y desarrollo, minimizando las brechas de rendimiento, selección de</w:t>
      </w:r>
      <w:r w:rsidR="000B4582">
        <w:t xml:space="preserve"> </w:t>
      </w:r>
      <w:r>
        <w:t>Genotipos y fechas de siembra apropiadas para cultivos</w:t>
      </w:r>
      <w:r w:rsidR="000B4582">
        <w:t xml:space="preserve"> </w:t>
      </w:r>
      <w:r>
        <w:t>Producción bajo escenarios climáticos cambiantes (Anwar et al.,</w:t>
      </w:r>
      <w:r>
        <w:br/>
        <w:t xml:space="preserve">2015; </w:t>
      </w:r>
      <w:proofErr w:type="spellStart"/>
      <w:r>
        <w:t>Asseng</w:t>
      </w:r>
      <w:proofErr w:type="spellEnd"/>
      <w:r>
        <w:t xml:space="preserve"> et al., 2015b; </w:t>
      </w:r>
      <w:proofErr w:type="spellStart"/>
      <w:r>
        <w:t>Mohanty</w:t>
      </w:r>
      <w:proofErr w:type="spellEnd"/>
      <w:r>
        <w:t xml:space="preserve"> et al., 2012). Se está convirtiendo</w:t>
      </w:r>
      <w:r w:rsidR="000B4582">
        <w:t xml:space="preserve"> </w:t>
      </w:r>
      <w:r>
        <w:t>Una valiosa herramienta para aumentar la comprensión de la fisiología de los cultivos</w:t>
      </w:r>
      <w:r w:rsidR="000B4582">
        <w:t xml:space="preserve"> </w:t>
      </w:r>
      <w:r>
        <w:t>Y la ecología y podría utilizarse para analizar y optimizar, por ejemplo, el</w:t>
      </w:r>
      <w:r w:rsidR="000B4582">
        <w:t xml:space="preserve"> </w:t>
      </w:r>
      <w:r>
        <w:t xml:space="preserve">(Dong et al., 2014). En un sistema agrícola, </w:t>
      </w:r>
      <w:proofErr w:type="gramStart"/>
      <w:r>
        <w:t>los</w:t>
      </w:r>
      <w:r w:rsidR="000B4582">
        <w:t xml:space="preserve"> </w:t>
      </w:r>
      <w:r>
        <w:t>La productividad</w:t>
      </w:r>
      <w:proofErr w:type="gramEnd"/>
      <w:r>
        <w:t xml:space="preserve"> varía según las condiciones climáticas y edáficas.</w:t>
      </w:r>
    </w:p>
    <w:p w:rsidR="00427ABE" w:rsidRDefault="00A70BEC" w:rsidP="000B4582">
      <w:r>
        <w:lastRenderedPageBreak/>
        <w:t>Varios modelos se han desarrollado principalmente para entender</w:t>
      </w:r>
      <w:r w:rsidR="000B4582">
        <w:t xml:space="preserve"> </w:t>
      </w:r>
      <w:r>
        <w:t>Los rendimientos y optimizar el potencial de rendimiento. Estos incluyen APES</w:t>
      </w:r>
      <w:r w:rsidR="000B4582">
        <w:t xml:space="preserve"> </w:t>
      </w:r>
      <w:r>
        <w:t>(</w:t>
      </w:r>
      <w:proofErr w:type="spellStart"/>
      <w:r>
        <w:t>Donatelli</w:t>
      </w:r>
      <w:proofErr w:type="spellEnd"/>
      <w:r>
        <w:t xml:space="preserve"> et al., 2002), APSIM (</w:t>
      </w:r>
      <w:proofErr w:type="spellStart"/>
      <w:r>
        <w:t>Keating</w:t>
      </w:r>
      <w:proofErr w:type="spellEnd"/>
      <w:r>
        <w:t xml:space="preserve"> et al., 2003), CERES (Ritchie</w:t>
      </w:r>
      <w:r w:rsidR="000B4582">
        <w:t xml:space="preserve"> </w:t>
      </w:r>
      <w:r>
        <w:t>Et al., 1998), CROPGRO (</w:t>
      </w:r>
      <w:proofErr w:type="spellStart"/>
      <w:r>
        <w:t>Godwin</w:t>
      </w:r>
      <w:proofErr w:type="spellEnd"/>
      <w:r>
        <w:t xml:space="preserve"> y Singh, 1998), </w:t>
      </w:r>
      <w:proofErr w:type="spellStart"/>
      <w:r>
        <w:t>CropSyst</w:t>
      </w:r>
      <w:proofErr w:type="spellEnd"/>
      <w:r>
        <w:t>(</w:t>
      </w:r>
      <w:proofErr w:type="spellStart"/>
      <w:r>
        <w:t>Rosenzweig</w:t>
      </w:r>
      <w:proofErr w:type="spellEnd"/>
      <w:r>
        <w:t xml:space="preserve"> y </w:t>
      </w:r>
      <w:proofErr w:type="spellStart"/>
      <w:r>
        <w:t>Parry</w:t>
      </w:r>
      <w:proofErr w:type="spellEnd"/>
      <w:r>
        <w:t xml:space="preserve">, 1994, </w:t>
      </w:r>
      <w:r w:rsidR="000B4582">
        <w:t xml:space="preserve"> </w:t>
      </w:r>
      <w:proofErr w:type="spellStart"/>
      <w:r>
        <w:t>Willmott</w:t>
      </w:r>
      <w:proofErr w:type="spellEnd"/>
      <w:r>
        <w:t xml:space="preserve"> et al., 1985), DAISY</w:t>
      </w:r>
      <w:r w:rsidR="000B4582">
        <w:t xml:space="preserve"> </w:t>
      </w:r>
      <w:r>
        <w:t>(</w:t>
      </w:r>
      <w:proofErr w:type="spellStart"/>
      <w:r>
        <w:t>Sayre</w:t>
      </w:r>
      <w:proofErr w:type="spellEnd"/>
      <w:r>
        <w:t xml:space="preserve"> et al., 1997), DSSAT (Basso et al., 2016, Jones et al., 2003),</w:t>
      </w:r>
      <w:r>
        <w:br/>
        <w:t>EPIC (Wang et al., 2012), FASSET (</w:t>
      </w:r>
      <w:proofErr w:type="spellStart"/>
      <w:r>
        <w:t>Bassu</w:t>
      </w:r>
      <w:proofErr w:type="spellEnd"/>
      <w:r>
        <w:t xml:space="preserve"> et al., 2009), HERMES</w:t>
      </w:r>
      <w:r w:rsidR="000B4582">
        <w:t xml:space="preserve"> </w:t>
      </w:r>
      <w:r>
        <w:t>(</w:t>
      </w:r>
      <w:proofErr w:type="spellStart"/>
      <w:r>
        <w:t>Asseng</w:t>
      </w:r>
      <w:proofErr w:type="spellEnd"/>
      <w:r>
        <w:t xml:space="preserve"> et al., 2014), RZWQM (</w:t>
      </w:r>
      <w:proofErr w:type="spellStart"/>
      <w:r>
        <w:t>Ma</w:t>
      </w:r>
      <w:proofErr w:type="spellEnd"/>
      <w:r>
        <w:t xml:space="preserve"> et al., 2011), SPASS (Wang y al.</w:t>
      </w:r>
      <w:r w:rsidR="000B4582">
        <w:t xml:space="preserve"> </w:t>
      </w:r>
      <w:proofErr w:type="spellStart"/>
      <w:r>
        <w:t>Engel</w:t>
      </w:r>
      <w:proofErr w:type="spellEnd"/>
      <w:r>
        <w:t>, 2000, 2002), STICS (</w:t>
      </w:r>
      <w:proofErr w:type="spellStart"/>
      <w:r>
        <w:t>Brisson</w:t>
      </w:r>
      <w:proofErr w:type="spellEnd"/>
      <w:r>
        <w:t xml:space="preserve"> et al., 2003), SWAP (</w:t>
      </w:r>
      <w:proofErr w:type="spellStart"/>
      <w:r>
        <w:t>Chen</w:t>
      </w:r>
      <w:proofErr w:type="spellEnd"/>
      <w:r w:rsidR="000B4582">
        <w:t xml:space="preserve"> </w:t>
      </w:r>
      <w:r>
        <w:t xml:space="preserve">Et al., 2010; </w:t>
      </w:r>
      <w:proofErr w:type="spellStart"/>
      <w:r>
        <w:t>Eitzinger</w:t>
      </w:r>
      <w:proofErr w:type="spellEnd"/>
      <w:r>
        <w:t xml:space="preserve"> et al., 2004; </w:t>
      </w:r>
      <w:proofErr w:type="spellStart"/>
      <w:r>
        <w:t>Ma</w:t>
      </w:r>
      <w:proofErr w:type="spellEnd"/>
      <w:r>
        <w:t xml:space="preserve"> et al., 2015), SOYGRO</w:t>
      </w:r>
      <w:r w:rsidR="000B4582">
        <w:t xml:space="preserve"> </w:t>
      </w:r>
      <w:r>
        <w:t>(</w:t>
      </w:r>
      <w:proofErr w:type="spellStart"/>
      <w:r>
        <w:t>Monsi</w:t>
      </w:r>
      <w:proofErr w:type="spellEnd"/>
      <w:r>
        <w:t xml:space="preserve"> y </w:t>
      </w:r>
      <w:proofErr w:type="spellStart"/>
      <w:r>
        <w:t>Saeki</w:t>
      </w:r>
      <w:proofErr w:type="spellEnd"/>
      <w:r>
        <w:t>, 2005) y WOFOST (</w:t>
      </w:r>
      <w:proofErr w:type="spellStart"/>
      <w:r>
        <w:t>Eitzinger</w:t>
      </w:r>
      <w:proofErr w:type="spellEnd"/>
      <w:r>
        <w:t xml:space="preserve"> et al., 2004). Un</w:t>
      </w:r>
      <w:r w:rsidR="000B4582">
        <w:t xml:space="preserve"> </w:t>
      </w:r>
      <w:r>
        <w:t>Importante en la experimentación con modelos es la prueba de su</w:t>
      </w:r>
      <w:r w:rsidR="000B4582">
        <w:t xml:space="preserve"> </w:t>
      </w:r>
      <w:r>
        <w:t>Rendimiento en una amplia gama de circunstancias para identificar sus</w:t>
      </w:r>
      <w:r w:rsidR="000B4582">
        <w:t xml:space="preserve"> </w:t>
      </w:r>
      <w:r>
        <w:t>Alcance de validez y limitaciones. Los modelos de simulación de cultivos</w:t>
      </w:r>
      <w:r w:rsidR="000B4582">
        <w:t xml:space="preserve"> </w:t>
      </w:r>
      <w:r>
        <w:t>Y los cultivos de naturaleza específica y no debe ser utilizado en otras áreas</w:t>
      </w:r>
      <w:r w:rsidR="000B4582">
        <w:t xml:space="preserve"> </w:t>
      </w:r>
      <w:r>
        <w:t>Hasta y salvo que sea validado bajo condiciones locales. Un comparativo</w:t>
      </w:r>
      <w:r w:rsidR="000B4582">
        <w:t xml:space="preserve"> </w:t>
      </w:r>
      <w:r>
        <w:t>El estudio de los enfoques de modelado fue realizado por diferentes científicos.</w:t>
      </w:r>
      <w:r>
        <w:br/>
        <w:t>CERES-</w:t>
      </w:r>
      <w:proofErr w:type="spellStart"/>
      <w:r>
        <w:t>Wheat</w:t>
      </w:r>
      <w:proofErr w:type="spellEnd"/>
      <w:r>
        <w:t xml:space="preserve"> y </w:t>
      </w:r>
      <w:proofErr w:type="spellStart"/>
      <w:r>
        <w:t>CropSyst</w:t>
      </w:r>
      <w:proofErr w:type="spellEnd"/>
      <w:r>
        <w:t xml:space="preserve"> se compararon por</w:t>
      </w:r>
      <w:r w:rsidR="000B4582">
        <w:t xml:space="preserve"> </w:t>
      </w:r>
      <w:r>
        <w:t>Agua-nitrógeno en la producción de trigo (Singh et al.,</w:t>
      </w:r>
      <w:r>
        <w:br/>
        <w:t>2008). Comparación de diferentes enfoques de modelado es beneficioso</w:t>
      </w:r>
      <w:r w:rsidR="000B4582">
        <w:t xml:space="preserve"> </w:t>
      </w:r>
      <w:r>
        <w:t>Seleccionar un modelo de cultivo adecuado para una localidad y un clima específicos</w:t>
      </w:r>
      <w:r w:rsidR="000B4582">
        <w:t xml:space="preserve"> </w:t>
      </w:r>
      <w:r>
        <w:t>De modo que el modelo pudiera ser utilizado para predecir y simular</w:t>
      </w:r>
      <w:r w:rsidR="000B4582">
        <w:t xml:space="preserve"> </w:t>
      </w:r>
      <w:r>
        <w:t>Productividad en ese lugar (</w:t>
      </w:r>
      <w:proofErr w:type="spellStart"/>
      <w:r>
        <w:t>Eitzinger</w:t>
      </w:r>
      <w:proofErr w:type="spellEnd"/>
      <w:r>
        <w:t xml:space="preserve"> et al., 2004, </w:t>
      </w:r>
      <w:proofErr w:type="spellStart"/>
      <w:r>
        <w:t>Martre</w:t>
      </w:r>
      <w:proofErr w:type="spellEnd"/>
      <w:r w:rsidR="000B4582">
        <w:t xml:space="preserve"> </w:t>
      </w:r>
      <w:r>
        <w:t xml:space="preserve">Et al., 2015; </w:t>
      </w:r>
      <w:proofErr w:type="spellStart"/>
      <w:r>
        <w:t>Palosuo</w:t>
      </w:r>
      <w:proofErr w:type="spellEnd"/>
      <w:r>
        <w:t xml:space="preserve"> et al., 2011; Salo et al., 2015).</w:t>
      </w:r>
      <w:r>
        <w:br/>
        <w:t xml:space="preserve">El Proyecto de </w:t>
      </w:r>
      <w:proofErr w:type="spellStart"/>
      <w:r>
        <w:t>Intercomparación</w:t>
      </w:r>
      <w:proofErr w:type="spellEnd"/>
      <w:r>
        <w:t xml:space="preserve"> y Mejoramiento del Modelo Agrícola</w:t>
      </w:r>
      <w:r w:rsidR="000B4582">
        <w:t xml:space="preserve"> </w:t>
      </w:r>
      <w:r>
        <w:t>(</w:t>
      </w:r>
      <w:proofErr w:type="spellStart"/>
      <w:r>
        <w:t>AgMIP</w:t>
      </w:r>
      <w:proofErr w:type="spellEnd"/>
      <w:r>
        <w:t>) es un importante esfuerzo internacional que vincula el clima,</w:t>
      </w:r>
      <w:r w:rsidR="000B4582">
        <w:t xml:space="preserve"> </w:t>
      </w:r>
      <w:r>
        <w:t>Comunidades de modelos económicos y de cosechas con</w:t>
      </w:r>
      <w:r>
        <w:br/>
        <w:t>Tecnologías de la información para producir mejores cultivos y</w:t>
      </w:r>
      <w:r w:rsidR="000B4582">
        <w:t xml:space="preserve"> </w:t>
      </w:r>
      <w:proofErr w:type="spellStart"/>
      <w:r>
        <w:t>Y</w:t>
      </w:r>
      <w:proofErr w:type="spellEnd"/>
      <w:r>
        <w:t xml:space="preserve"> la próxima generación de proyecciones de impacto climático para</w:t>
      </w:r>
      <w:r w:rsidR="000B4582">
        <w:t xml:space="preserve"> </w:t>
      </w:r>
      <w:r>
        <w:t>El sector agrícola (</w:t>
      </w:r>
      <w:proofErr w:type="spellStart"/>
      <w:r>
        <w:t>Rosenzweig</w:t>
      </w:r>
      <w:proofErr w:type="spellEnd"/>
      <w:r>
        <w:t xml:space="preserve"> et al., 2013). </w:t>
      </w:r>
      <w:proofErr w:type="spellStart"/>
      <w:r>
        <w:t>Rosenzweig</w:t>
      </w:r>
      <w:proofErr w:type="spellEnd"/>
      <w:r w:rsidR="000B4582">
        <w:t xml:space="preserve"> </w:t>
      </w:r>
      <w:r>
        <w:t xml:space="preserve">Et al. (2014) presentaron los resultados de una </w:t>
      </w:r>
      <w:proofErr w:type="spellStart"/>
      <w:r>
        <w:t>intercomparación</w:t>
      </w:r>
      <w:proofErr w:type="spellEnd"/>
      <w:r>
        <w:t xml:space="preserve"> de múltiples</w:t>
      </w:r>
      <w:r w:rsidR="000B4582">
        <w:t xml:space="preserve"> </w:t>
      </w:r>
      <w:r>
        <w:t>Modelos globales de cultivo en malla (GGCM) en el marco</w:t>
      </w:r>
      <w:r w:rsidR="000B4582">
        <w:t xml:space="preserve"> </w:t>
      </w:r>
      <w:proofErr w:type="spellStart"/>
      <w:r>
        <w:t>AgMIP</w:t>
      </w:r>
      <w:proofErr w:type="spellEnd"/>
      <w:r>
        <w:t xml:space="preserve"> y el Proyecto de </w:t>
      </w:r>
      <w:proofErr w:type="spellStart"/>
      <w:r>
        <w:t>Intercomparación</w:t>
      </w:r>
      <w:proofErr w:type="spellEnd"/>
      <w:r>
        <w:t xml:space="preserve"> del Modelo de Impactos Inter-Sectoriales</w:t>
      </w:r>
      <w:r>
        <w:br/>
        <w:t>(ISI-MIP) e indicó fuertes efectos negativos del clima</w:t>
      </w:r>
      <w:r w:rsidR="000B4582">
        <w:t xml:space="preserve"> </w:t>
      </w:r>
      <w:r>
        <w:t>Cambio en los cultivos. Sugirieron nuevas investigaciones para comprender mejor</w:t>
      </w:r>
      <w:r w:rsidR="000B4582">
        <w:t xml:space="preserve"> </w:t>
      </w:r>
      <w:r>
        <w:t>Efectos del cambio climático en la producción agrícola y</w:t>
      </w:r>
      <w:r>
        <w:br/>
        <w:t>Desarrollar estrategias de adaptación específicas. Del mismo modo, 30</w:t>
      </w:r>
      <w:r w:rsidR="000B4582">
        <w:t xml:space="preserve"> </w:t>
      </w:r>
      <w:r>
        <w:t xml:space="preserve">Los modelos de cultivo de trigo del </w:t>
      </w:r>
      <w:proofErr w:type="spellStart"/>
      <w:r>
        <w:t>AgMIP</w:t>
      </w:r>
      <w:proofErr w:type="spellEnd"/>
      <w:r>
        <w:t xml:space="preserve"> se probaron contra el calentamiento artificial</w:t>
      </w:r>
      <w:r w:rsidR="000B4582">
        <w:t xml:space="preserve"> </w:t>
      </w:r>
      <w:r>
        <w:t>Y experimentos de campo donde las temperaturas medias de la estación de crecimiento</w:t>
      </w:r>
      <w:r w:rsidR="000B4582">
        <w:t xml:space="preserve"> </w:t>
      </w:r>
      <w:r>
        <w:t>Estaban en el intervalo de 15 - 32ºC. Los resultados mostraron que</w:t>
      </w:r>
      <w:r w:rsidR="000B4582">
        <w:t xml:space="preserve"> </w:t>
      </w:r>
      <w:r>
        <w:t>Muchos modelos eran menos precisos a temperaturas más altas</w:t>
      </w:r>
      <w:r w:rsidR="000B4582">
        <w:t xml:space="preserve"> </w:t>
      </w:r>
      <w:r>
        <w:t>(</w:t>
      </w:r>
      <w:proofErr w:type="spellStart"/>
      <w:r>
        <w:t>Asseng</w:t>
      </w:r>
      <w:proofErr w:type="spellEnd"/>
      <w:r>
        <w:t xml:space="preserve"> et al., 2015a). El rendimiento de seis modelos de cultivo</w:t>
      </w:r>
      <w:r w:rsidR="000B4582">
        <w:t xml:space="preserve"> </w:t>
      </w:r>
      <w:r>
        <w:t>(APSIM-Trigo, APSIM-</w:t>
      </w:r>
      <w:proofErr w:type="spellStart"/>
      <w:r>
        <w:t>Nwheat</w:t>
      </w:r>
      <w:proofErr w:type="spellEnd"/>
      <w:r>
        <w:t>, CAT-Trigo, CROPSYST, OLEARY-</w:t>
      </w:r>
      <w:r>
        <w:br/>
        <w:t>CONNOR y SALUS) fueron evaluados en respuesta a</w:t>
      </w:r>
      <w:r w:rsidR="000B4582">
        <w:t xml:space="preserve"> </w:t>
      </w:r>
      <w:r>
        <w:t>CO2 de O'Leary et al. (2015), quienes concluyeron que las respuestas del modelo</w:t>
      </w:r>
      <w:r w:rsidR="000B4582">
        <w:t xml:space="preserve"> </w:t>
      </w:r>
      <w:r>
        <w:t>A CO2 elevado fueron similares, y los modelos fueron capaces de simular</w:t>
      </w:r>
      <w:r>
        <w:br/>
        <w:t>Biomasa, rendimiento y uso del agua cerca de las observaciones experimentales.</w:t>
      </w:r>
      <w:r>
        <w:br/>
      </w:r>
      <w:proofErr w:type="spellStart"/>
      <w:r>
        <w:t>Rötter</w:t>
      </w:r>
      <w:proofErr w:type="spellEnd"/>
      <w:r>
        <w:t xml:space="preserve"> et al. (2012) estudiaron el desempeño de nueve</w:t>
      </w:r>
      <w:r w:rsidR="000B4582">
        <w:t xml:space="preserve"> </w:t>
      </w:r>
      <w:r>
        <w:t xml:space="preserve">Y modelos de simulación de crecimiento de cultivos accesibles (APES-ACE, </w:t>
      </w:r>
      <w:proofErr w:type="spellStart"/>
      <w:r>
        <w:t>Crop-Syst</w:t>
      </w:r>
      <w:proofErr w:type="spellEnd"/>
      <w:r>
        <w:t>, DAISY, DSSAT-CERES, FASSET, HERMES, MONICA, STICS y</w:t>
      </w:r>
      <w:r>
        <w:br/>
        <w:t>WOFOST) en siete sitios en Europa del Norte y Central. El rendimiento</w:t>
      </w:r>
      <w:r w:rsidR="000B4582">
        <w:t xml:space="preserve"> </w:t>
      </w:r>
      <w:r>
        <w:t>Los resultados basados ​​en el error cuadrático medio (RMSE) mostraron que</w:t>
      </w:r>
      <w:r w:rsidR="000B4582">
        <w:t xml:space="preserve"> </w:t>
      </w:r>
      <w:r>
        <w:t>HERMES, MONICA y WOFOST fueron los modelos de mejor desempeño.</w:t>
      </w:r>
      <w:r>
        <w:br/>
      </w:r>
      <w:proofErr w:type="spellStart"/>
      <w:r>
        <w:t>Soltani</w:t>
      </w:r>
      <w:proofErr w:type="spellEnd"/>
      <w:r>
        <w:t xml:space="preserve"> y Sinclair (2015) examinaron la transparencia y la solidez</w:t>
      </w:r>
      <w:r w:rsidR="000B4582">
        <w:t xml:space="preserve"> </w:t>
      </w:r>
      <w:r>
        <w:t>De cuatro modelos de trigo (</w:t>
      </w:r>
      <w:proofErr w:type="spellStart"/>
      <w:r>
        <w:t>CropSyst</w:t>
      </w:r>
      <w:proofErr w:type="spellEnd"/>
      <w:r>
        <w:t>, SSM, APSIM y DSSAT) y</w:t>
      </w:r>
      <w:r w:rsidR="000B4582">
        <w:t xml:space="preserve"> </w:t>
      </w:r>
      <w:r>
        <w:t>Concluyeron que los modelos más simples (</w:t>
      </w:r>
      <w:proofErr w:type="spellStart"/>
      <w:r>
        <w:t>CropSyst</w:t>
      </w:r>
      <w:proofErr w:type="spellEnd"/>
      <w:r>
        <w:t xml:space="preserve"> y SSM) eran más</w:t>
      </w:r>
      <w:r w:rsidR="000B4582">
        <w:t xml:space="preserve"> </w:t>
      </w:r>
      <w:r>
        <w:t>Robusto en predicción de rendimiento comparado con modelos más complejos</w:t>
      </w:r>
      <w:r w:rsidR="000B4582">
        <w:t xml:space="preserve"> </w:t>
      </w:r>
      <w:r>
        <w:t>(APSIM y DSSAT). Del mismo modo, se evaluaron 23 modelos diferentes</w:t>
      </w:r>
      <w:r w:rsidR="000B4582">
        <w:t xml:space="preserve"> </w:t>
      </w:r>
      <w:r>
        <w:t xml:space="preserve">Por </w:t>
      </w:r>
      <w:proofErr w:type="spellStart"/>
      <w:r>
        <w:t>Bassu</w:t>
      </w:r>
      <w:proofErr w:type="spellEnd"/>
      <w:r>
        <w:t xml:space="preserve"> et al. (2014) para estudiar la respuesta del maíz bajo diferentes condiciones climáticas</w:t>
      </w:r>
      <w:r w:rsidR="000B4582">
        <w:t xml:space="preserve"> </w:t>
      </w:r>
      <w:r>
        <w:t>Factores. Encontraron gran incertidumbre en la respuesta del rendimiento a</w:t>
      </w:r>
      <w:r w:rsidR="000B4582">
        <w:t xml:space="preserve"> </w:t>
      </w:r>
      <w:r>
        <w:t xml:space="preserve">[CO2] entre los modelos. METRO Sin embargo, </w:t>
      </w:r>
      <w:proofErr w:type="spellStart"/>
      <w:r>
        <w:t>Schultz</w:t>
      </w:r>
      <w:proofErr w:type="spellEnd"/>
      <w:r>
        <w:t xml:space="preserve"> et al. (2000) señaló que la </w:t>
      </w:r>
      <w:r>
        <w:lastRenderedPageBreak/>
        <w:t>disponibilidad de</w:t>
      </w:r>
      <w:r w:rsidR="000B4582">
        <w:t xml:space="preserve"> </w:t>
      </w:r>
      <w:r>
        <w:t>Datos es muy importante para la utilización precisa de</w:t>
      </w:r>
      <w:r w:rsidR="000B4582">
        <w:t xml:space="preserve"> </w:t>
      </w:r>
      <w:r>
        <w:t>Modelos agroecológicos.</w:t>
      </w:r>
      <w:r>
        <w:br/>
        <w:t>Los modelos de simulación de cultivos son herramientas clave para</w:t>
      </w:r>
      <w:r w:rsidR="000B4582">
        <w:t xml:space="preserve"> </w:t>
      </w:r>
      <w:r>
        <w:t>Variabilidad climática en diferentes cultivos (</w:t>
      </w:r>
      <w:proofErr w:type="spellStart"/>
      <w:r>
        <w:t>Rezaei</w:t>
      </w:r>
      <w:proofErr w:type="spellEnd"/>
      <w:r>
        <w:t xml:space="preserve"> et al., 2015). Estas</w:t>
      </w:r>
      <w:r w:rsidR="000B4582">
        <w:t xml:space="preserve"> </w:t>
      </w:r>
      <w:r>
        <w:t>Modelos tienen el potencial de revelar diferentes opciones de adaptación</w:t>
      </w:r>
      <w:r w:rsidR="000B4582">
        <w:t xml:space="preserve"> </w:t>
      </w:r>
      <w:r>
        <w:t>Bajo diferentes escenarios climáticos (Li et al., 2015b). Variabilidad climática</w:t>
      </w:r>
      <w:r w:rsidR="000B4582">
        <w:t xml:space="preserve"> </w:t>
      </w:r>
      <w:r>
        <w:t>Condujo a una pérdida de rendimiento del 40% en trigo de primavera bajo estrés hídrico</w:t>
      </w:r>
      <w:r w:rsidR="000B4582">
        <w:t xml:space="preserve"> </w:t>
      </w:r>
      <w:r>
        <w:t>Como se ha simulado por un modelo mecanicista (</w:t>
      </w:r>
      <w:proofErr w:type="spellStart"/>
      <w:r>
        <w:t>Pavlova</w:t>
      </w:r>
      <w:proofErr w:type="spellEnd"/>
      <w:r>
        <w:t xml:space="preserve"> et al., 2014). Rayo</w:t>
      </w:r>
      <w:r w:rsidR="000B4582">
        <w:t xml:space="preserve"> </w:t>
      </w:r>
      <w:r>
        <w:t>Et al. (2015) informó que el 36% de la variabilidad interanual</w:t>
      </w:r>
      <w:r w:rsidR="000B4582">
        <w:t xml:space="preserve"> </w:t>
      </w:r>
      <w:r>
        <w:t>El rendimiento del trigo se debió a la variabilidad climática. De manera similar,</w:t>
      </w:r>
      <w:r w:rsidR="000B4582">
        <w:t xml:space="preserve"> </w:t>
      </w:r>
      <w:r>
        <w:t>El estrés térmico durante el ciclo de vida del cultivo reduce el rendimiento de los cultivos</w:t>
      </w:r>
      <w:r w:rsidR="000B4582">
        <w:t xml:space="preserve"> </w:t>
      </w:r>
      <w:r>
        <w:t>(</w:t>
      </w:r>
      <w:proofErr w:type="spellStart"/>
      <w:r>
        <w:t>Innes</w:t>
      </w:r>
      <w:proofErr w:type="spellEnd"/>
      <w:r>
        <w:t xml:space="preserve"> et al., 2015, </w:t>
      </w:r>
      <w:proofErr w:type="spellStart"/>
      <w:r>
        <w:t>Prasad</w:t>
      </w:r>
      <w:proofErr w:type="spellEnd"/>
      <w:r>
        <w:t xml:space="preserve"> y </w:t>
      </w:r>
      <w:proofErr w:type="spellStart"/>
      <w:r>
        <w:t>Jagadish</w:t>
      </w:r>
      <w:proofErr w:type="spellEnd"/>
      <w:r>
        <w:t xml:space="preserve">, 2015, </w:t>
      </w:r>
      <w:proofErr w:type="spellStart"/>
      <w:r>
        <w:t>Rezaei</w:t>
      </w:r>
      <w:proofErr w:type="spellEnd"/>
      <w:r>
        <w:t xml:space="preserve"> y col.,</w:t>
      </w:r>
      <w:r w:rsidR="000B4582">
        <w:t xml:space="preserve"> </w:t>
      </w:r>
      <w:r>
        <w:t xml:space="preserve">2015). </w:t>
      </w:r>
      <w:proofErr w:type="spellStart"/>
      <w:r>
        <w:t>Pirttioja</w:t>
      </w:r>
      <w:proofErr w:type="spellEnd"/>
      <w:r>
        <w:t xml:space="preserve"> et al. (2015) reportaron una pérdida media de rendimiento del 5-7% por</w:t>
      </w:r>
      <w:r w:rsidR="000B4582">
        <w:t xml:space="preserve"> </w:t>
      </w:r>
      <w:r>
        <w:t>1? C aumento de la temperatura y 3-9% por 10% de disminución de la precipitación.</w:t>
      </w:r>
      <w:r>
        <w:br/>
        <w:t>Sin embargo, una reducción del rendimiento del 5,3% para cada aumento de 1 ° C en la temporada de crecimiento</w:t>
      </w:r>
      <w:r w:rsidR="000B4582">
        <w:t xml:space="preserve"> </w:t>
      </w:r>
      <w:r>
        <w:t>La temperatura media diaria fue informada por (</w:t>
      </w:r>
      <w:proofErr w:type="spellStart"/>
      <w:r>
        <w:t>Innes</w:t>
      </w:r>
      <w:proofErr w:type="spellEnd"/>
      <w:r>
        <w:t xml:space="preserve"> et al., 2015).</w:t>
      </w:r>
      <w:r>
        <w:br/>
        <w:t>Podemos utilizar enfoques de modelado para diseñar opciones de adaptación</w:t>
      </w:r>
      <w:r w:rsidR="000B4582">
        <w:t xml:space="preserve"> </w:t>
      </w:r>
      <w:r>
        <w:t>Para tener en cuenta las tensiones climáticas. El uso de modelos de simulación para</w:t>
      </w:r>
      <w:r w:rsidR="000B4582">
        <w:t xml:space="preserve"> </w:t>
      </w:r>
      <w:r>
        <w:t>Evaluar el efecto de diferentes opciones de manejo sobre la productividad de los cultivos</w:t>
      </w:r>
      <w:r w:rsidR="000B4582">
        <w:t xml:space="preserve"> </w:t>
      </w:r>
      <w:r>
        <w:t xml:space="preserve">Ha sido reportado por </w:t>
      </w:r>
      <w:proofErr w:type="spellStart"/>
      <w:r>
        <w:t>Andarzian</w:t>
      </w:r>
      <w:proofErr w:type="spellEnd"/>
      <w:r>
        <w:t xml:space="preserve"> et al. (2015). </w:t>
      </w:r>
      <w:r w:rsidR="000B4582">
        <w:t>L</w:t>
      </w:r>
      <w:r>
        <w:t>os</w:t>
      </w:r>
      <w:r w:rsidR="000B4582">
        <w:t xml:space="preserve"> </w:t>
      </w:r>
      <w:r>
        <w:t>CERES-El modelo de simulación de cultivos de trigo podría ofrecer recomendaciones</w:t>
      </w:r>
      <w:r w:rsidR="000B4582">
        <w:t xml:space="preserve"> </w:t>
      </w:r>
      <w:r>
        <w:t xml:space="preserve">Sobre la </w:t>
      </w:r>
      <w:r w:rsidR="000B4582">
        <w:t>f</w:t>
      </w:r>
      <w:r>
        <w:t>ertilización nitrogenada para minimizar la brecha entre</w:t>
      </w:r>
      <w:r w:rsidR="000B4582">
        <w:t xml:space="preserve"> </w:t>
      </w:r>
      <w:r>
        <w:t>Y el rendimiento potencial (</w:t>
      </w:r>
      <w:proofErr w:type="spellStart"/>
      <w:r>
        <w:t>Abeledo</w:t>
      </w:r>
      <w:proofErr w:type="spellEnd"/>
      <w:r>
        <w:t xml:space="preserve"> et al., 2008) y para predecir el trigo</w:t>
      </w:r>
      <w:r w:rsidR="000B4582">
        <w:t xml:space="preserve"> </w:t>
      </w:r>
      <w:r>
        <w:t>Rendimiento en respuesta a diferentes insumos (</w:t>
      </w:r>
      <w:proofErr w:type="spellStart"/>
      <w:r>
        <w:t>Andarzian</w:t>
      </w:r>
      <w:proofErr w:type="spellEnd"/>
      <w:r>
        <w:t xml:space="preserve"> et al.,</w:t>
      </w:r>
      <w:r w:rsidR="000B4582">
        <w:t xml:space="preserve"> </w:t>
      </w:r>
      <w:r>
        <w:t>2008). Del mismo modo, CERES-</w:t>
      </w:r>
      <w:proofErr w:type="spellStart"/>
      <w:r>
        <w:t>Wheat</w:t>
      </w:r>
      <w:proofErr w:type="spellEnd"/>
      <w:r>
        <w:t xml:space="preserve"> podría utilizarse para estudiar el efecto</w:t>
      </w:r>
      <w:r w:rsidR="000B4582">
        <w:t xml:space="preserve"> </w:t>
      </w:r>
      <w:r>
        <w:t>De diferentes opciones de riego y manejo del nitrógeno en trigo</w:t>
      </w:r>
      <w:r w:rsidR="000B4582">
        <w:t xml:space="preserve"> </w:t>
      </w:r>
      <w:r>
        <w:t>(</w:t>
      </w:r>
      <w:proofErr w:type="spellStart"/>
      <w:r>
        <w:t>Arora</w:t>
      </w:r>
      <w:proofErr w:type="spellEnd"/>
      <w:r>
        <w:t xml:space="preserve"> et al., 2007). Sin embargo, la productividad de los cultivos bajo el agua</w:t>
      </w:r>
      <w:r>
        <w:br/>
        <w:t>Ambientes limitados necesita evaluación utilizando diferentes</w:t>
      </w:r>
      <w:r w:rsidR="000B4582">
        <w:t xml:space="preserve"> </w:t>
      </w:r>
      <w:r>
        <w:t>Opciones. El efecto potencial del cambio climático en los cultivos</w:t>
      </w:r>
      <w:r w:rsidR="000B4582">
        <w:t xml:space="preserve"> </w:t>
      </w:r>
      <w:r>
        <w:t>El crecimiento podría ser analizado utilizando diferentes modelos de simulación</w:t>
      </w:r>
      <w:r>
        <w:br/>
        <w:t>Bajo diferentes escenarios climáticos. La APSIM-Sistemas de cultivo de trigo</w:t>
      </w:r>
      <w:r w:rsidR="000B4582">
        <w:t xml:space="preserve"> </w:t>
      </w:r>
      <w:r>
        <w:t>Modelo de simulación fue evaluado bajo diferentes</w:t>
      </w:r>
      <w:r w:rsidR="000B4582">
        <w:t xml:space="preserve"> </w:t>
      </w:r>
      <w:r>
        <w:t>Opciones - déficit hídrico, CO2 elevado en los tratamientos seco y alto N</w:t>
      </w:r>
      <w:r>
        <w:br/>
        <w:t>Y el aumento de la temperatura (</w:t>
      </w:r>
      <w:proofErr w:type="spellStart"/>
      <w:r>
        <w:t>Asseng</w:t>
      </w:r>
      <w:proofErr w:type="spellEnd"/>
      <w:r>
        <w:t xml:space="preserve"> et al., 2004).</w:t>
      </w:r>
      <w:r w:rsidR="000B4582">
        <w:t xml:space="preserve"> </w:t>
      </w:r>
      <w:r>
        <w:t>CERES-El trigo es un modelo de crecimiento de cultivos ampliamente utilizado y bien conocido</w:t>
      </w:r>
      <w:r w:rsidR="000B4582">
        <w:t xml:space="preserve"> </w:t>
      </w:r>
      <w:r>
        <w:t>Incorporado en el software DSSAT v4.5. Se ha aplicado bajo</w:t>
      </w:r>
      <w:r w:rsidR="000B4582">
        <w:t xml:space="preserve"> </w:t>
      </w:r>
      <w:r>
        <w:t>Diferentes escenarios para aumentar la comprensión y la gestión de</w:t>
      </w:r>
      <w:r w:rsidR="000B4582">
        <w:t xml:space="preserve"> </w:t>
      </w:r>
      <w:r>
        <w:t>El sistema agrícola de una manera holística (</w:t>
      </w:r>
      <w:proofErr w:type="spellStart"/>
      <w:r>
        <w:t>Bannayan</w:t>
      </w:r>
      <w:proofErr w:type="spellEnd"/>
      <w:r>
        <w:t xml:space="preserve"> et al., 2003;</w:t>
      </w:r>
      <w:r w:rsidR="000B4582">
        <w:t xml:space="preserve"> </w:t>
      </w:r>
      <w:proofErr w:type="spellStart"/>
      <w:r>
        <w:t>Timsina</w:t>
      </w:r>
      <w:proofErr w:type="spellEnd"/>
      <w:r>
        <w:t xml:space="preserve"> y </w:t>
      </w:r>
      <w:proofErr w:type="spellStart"/>
      <w:r>
        <w:t>Humphreys</w:t>
      </w:r>
      <w:proofErr w:type="spellEnd"/>
      <w:r>
        <w:t>, 2006). Estos estudios incluyen la determinación</w:t>
      </w:r>
      <w:r w:rsidR="000B4582">
        <w:t xml:space="preserve"> </w:t>
      </w:r>
      <w:r>
        <w:t>Fecha óptima de siembra del trigo (</w:t>
      </w:r>
      <w:proofErr w:type="spellStart"/>
      <w:r>
        <w:t>Andarzian</w:t>
      </w:r>
      <w:proofErr w:type="spellEnd"/>
      <w:r>
        <w:t xml:space="preserve"> et al., 2015, </w:t>
      </w:r>
      <w:proofErr w:type="spellStart"/>
      <w:r>
        <w:t>Bannayan</w:t>
      </w:r>
      <w:proofErr w:type="spellEnd"/>
      <w:r w:rsidR="000B4582">
        <w:t xml:space="preserve"> </w:t>
      </w:r>
      <w:r>
        <w:t xml:space="preserve">Et al., 2013; </w:t>
      </w:r>
      <w:proofErr w:type="spellStart"/>
      <w:r>
        <w:t>Bassu</w:t>
      </w:r>
      <w:proofErr w:type="spellEnd"/>
      <w:r>
        <w:t xml:space="preserve"> et al., 2009; </w:t>
      </w:r>
      <w:proofErr w:type="spellStart"/>
      <w:r>
        <w:t>Chauhan</w:t>
      </w:r>
      <w:proofErr w:type="spellEnd"/>
      <w:r>
        <w:t xml:space="preserve"> et al., 2012), el riego</w:t>
      </w:r>
      <w:r w:rsidR="000B4582">
        <w:t xml:space="preserve"> </w:t>
      </w:r>
      <w:r>
        <w:t>(</w:t>
      </w:r>
      <w:proofErr w:type="spellStart"/>
      <w:r>
        <w:t>Timsina</w:t>
      </w:r>
      <w:proofErr w:type="spellEnd"/>
      <w:r>
        <w:t xml:space="preserve"> et al., 2008), el manejo del nitrógeno</w:t>
      </w:r>
      <w:r w:rsidR="000B4582">
        <w:t xml:space="preserve"> </w:t>
      </w:r>
      <w:r>
        <w:t>(</w:t>
      </w:r>
      <w:proofErr w:type="spellStart"/>
      <w:r>
        <w:t>Arora</w:t>
      </w:r>
      <w:proofErr w:type="spellEnd"/>
      <w:r>
        <w:t xml:space="preserve"> et al., 2007) la producción de trigo y la fenología (</w:t>
      </w:r>
      <w:proofErr w:type="spellStart"/>
      <w:r>
        <w:t>Dettori</w:t>
      </w:r>
      <w:proofErr w:type="spellEnd"/>
      <w:r w:rsidR="000B4582">
        <w:t xml:space="preserve"> </w:t>
      </w:r>
      <w:r>
        <w:t>Et al., 2011), el ahorro de agua de riego y la conservación de ahorro de recursos</w:t>
      </w:r>
      <w:r w:rsidR="000B4582">
        <w:t xml:space="preserve"> </w:t>
      </w:r>
      <w:r>
        <w:t>Agricultura (</w:t>
      </w:r>
      <w:proofErr w:type="spellStart"/>
      <w:r>
        <w:t>Devkota</w:t>
      </w:r>
      <w:proofErr w:type="spellEnd"/>
      <w:r>
        <w:t xml:space="preserve"> et al., 2015), seguros de trigo</w:t>
      </w:r>
      <w:r>
        <w:br/>
        <w:t>(Castañeda-Vera et al., 2015), evaluación de cultivares (</w:t>
      </w:r>
      <w:proofErr w:type="spellStart"/>
      <w:r>
        <w:t>Fayed</w:t>
      </w:r>
      <w:proofErr w:type="spellEnd"/>
      <w:r>
        <w:t xml:space="preserve"> et al.,</w:t>
      </w:r>
      <w:r w:rsidR="000B4582">
        <w:t xml:space="preserve"> </w:t>
      </w:r>
      <w:r>
        <w:t>2015), consorcio (</w:t>
      </w:r>
      <w:proofErr w:type="spellStart"/>
      <w:r>
        <w:t>Knörzer</w:t>
      </w:r>
      <w:proofErr w:type="spellEnd"/>
      <w:r>
        <w:t xml:space="preserve"> et al., 2011), identificando las tecnologías de cultivos</w:t>
      </w:r>
      <w:r w:rsidR="00427ABE">
        <w:t xml:space="preserve"> </w:t>
      </w:r>
      <w:r>
        <w:t>Para futuras condiciones climáticas (</w:t>
      </w:r>
      <w:proofErr w:type="spellStart"/>
      <w:r>
        <w:t>Dhungana</w:t>
      </w:r>
      <w:proofErr w:type="spellEnd"/>
      <w:r>
        <w:t xml:space="preserve"> et al., 2006)</w:t>
      </w:r>
      <w:r w:rsidR="00427ABE">
        <w:t xml:space="preserve"> </w:t>
      </w:r>
      <w:r>
        <w:t>Y la variabilidad climática (</w:t>
      </w:r>
      <w:proofErr w:type="spellStart"/>
      <w:r>
        <w:t>Arora</w:t>
      </w:r>
      <w:proofErr w:type="spellEnd"/>
      <w:r>
        <w:t xml:space="preserve"> et al., 2007, Frank et al., 2015;</w:t>
      </w:r>
      <w:r w:rsidR="00427ABE">
        <w:t xml:space="preserve"> </w:t>
      </w:r>
      <w:proofErr w:type="spellStart"/>
      <w:r>
        <w:t>Savin</w:t>
      </w:r>
      <w:proofErr w:type="spellEnd"/>
      <w:r>
        <w:t xml:space="preserve"> et al., 1995).</w:t>
      </w:r>
      <w:r>
        <w:br/>
        <w:t>El trigo es un alimento básico de Pakistán y se cultiva bajo una</w:t>
      </w:r>
      <w:r w:rsidR="00427ABE">
        <w:t xml:space="preserve"> </w:t>
      </w:r>
      <w:r>
        <w:t>Rango de condiciones climáticas (Fig. 1). Producción de trigo en la</w:t>
      </w:r>
      <w:r w:rsidR="00427ABE">
        <w:t xml:space="preserve"> </w:t>
      </w:r>
      <w:r>
        <w:t>Áreas de Pakistán es arriesgada debido a la alta variabilidad climática.</w:t>
      </w:r>
      <w:r>
        <w:br/>
        <w:t>Varios modelos se están utilizando en todo el mundo como herramientas para estudiar</w:t>
      </w:r>
      <w:r w:rsidR="00427ABE">
        <w:t xml:space="preserve"> </w:t>
      </w:r>
      <w:r>
        <w:t>Crecimiento de los cultivos, desarrollo y rendimiento en respuesta al</w:t>
      </w:r>
      <w:r w:rsidR="00427ABE">
        <w:t xml:space="preserve"> </w:t>
      </w:r>
      <w:r>
        <w:t>variabilidad. Sin embargo, la aplicación del modelo requiere alta calidad,</w:t>
      </w:r>
      <w:r w:rsidR="00427ABE">
        <w:t xml:space="preserve"> </w:t>
      </w:r>
      <w:r>
        <w:t>Datos específicos del sitio sobre el clima, el suelo, la gestión y el cultivar</w:t>
      </w:r>
      <w:r w:rsidR="00427ABE">
        <w:t xml:space="preserve"> </w:t>
      </w:r>
      <w:r>
        <w:t>(</w:t>
      </w:r>
      <w:proofErr w:type="spellStart"/>
      <w:r>
        <w:t>Boote</w:t>
      </w:r>
      <w:proofErr w:type="spellEnd"/>
      <w:r>
        <w:t xml:space="preserve"> et al., 2015). También se han iniciado estudios en Pakistán,</w:t>
      </w:r>
      <w:r w:rsidR="00427ABE">
        <w:t xml:space="preserve"> </w:t>
      </w:r>
      <w:r>
        <w:t>Pero requieren pruebas de varios modelos para identificar los modelos '</w:t>
      </w:r>
      <w:r w:rsidR="00427ABE">
        <w:t xml:space="preserve"> </w:t>
      </w:r>
      <w:r>
        <w:t>Alcance y limitaciones. Evaluación comparativa de APSIM-Trigo</w:t>
      </w:r>
      <w:r>
        <w:br/>
        <w:t>Y los modelos CERES-Trigo no se han realizado para el trigo</w:t>
      </w:r>
      <w:r w:rsidR="00427ABE">
        <w:t xml:space="preserve"> </w:t>
      </w:r>
      <w:r>
        <w:t xml:space="preserve">Crecimiento y desarrollo en Pakistán. El </w:t>
      </w:r>
      <w:r>
        <w:lastRenderedPageBreak/>
        <w:t>presente estudio fue realizado</w:t>
      </w:r>
      <w:r w:rsidR="00427ABE">
        <w:t xml:space="preserve"> </w:t>
      </w:r>
    </w:p>
    <w:p w:rsidR="00A70BEC" w:rsidRDefault="00A70BEC" w:rsidP="000B4582">
      <w:r>
        <w:t>Con los objetivos (i) Calibrar APSIM-Trigo y</w:t>
      </w:r>
      <w:r w:rsidR="000B4582">
        <w:t xml:space="preserve"> </w:t>
      </w:r>
      <w:r>
        <w:t>CERES-Trigo para nuevos cultivares (ii) para validar el rendimiento</w:t>
      </w:r>
      <w:r w:rsidR="000B4582">
        <w:t xml:space="preserve"> </w:t>
      </w:r>
      <w:r>
        <w:t>De APSIM-Trigo y CERES-Trigo para simular el trigo de primavera Crecimiento, desarrollo y rendimiento y (iii) aplicar APSIM-Trigo y Modelos CERES-</w:t>
      </w:r>
      <w:proofErr w:type="spellStart"/>
      <w:r>
        <w:t>Wheat</w:t>
      </w:r>
      <w:proofErr w:type="spellEnd"/>
      <w:r>
        <w:t xml:space="preserve"> para estudiar los impactos de la variabilidad climática</w:t>
      </w:r>
      <w:r>
        <w:br/>
        <w:t>Rendimiento de trigo bajo condiciones de secano de Pakistán.</w:t>
      </w:r>
    </w:p>
    <w:p w:rsidR="00A70BEC" w:rsidRDefault="00A70BEC">
      <w:r>
        <w:t>Materiales y métodos</w:t>
      </w:r>
    </w:p>
    <w:p w:rsidR="00A70BEC" w:rsidRDefault="00A70BEC" w:rsidP="00427ABE">
      <w:pPr>
        <w:spacing w:after="0" w:line="240" w:lineRule="auto"/>
      </w:pPr>
      <w:r w:rsidRPr="00A70BEC">
        <w:rPr>
          <w:rFonts w:ascii="Times New Roman" w:eastAsia="Times New Roman" w:hAnsi="Times New Roman" w:cs="Times New Roman"/>
          <w:sz w:val="24"/>
          <w:szCs w:val="24"/>
          <w:lang w:eastAsia="es-ES"/>
        </w:rPr>
        <w:t>2.1. Experimentos de campo</w:t>
      </w:r>
      <w:r w:rsidRPr="00A70BEC">
        <w:rPr>
          <w:rFonts w:ascii="Times New Roman" w:eastAsia="Times New Roman" w:hAnsi="Times New Roman" w:cs="Times New Roman"/>
          <w:sz w:val="24"/>
          <w:szCs w:val="24"/>
          <w:lang w:eastAsia="es-ES"/>
        </w:rPr>
        <w:br/>
        <w:t xml:space="preserve">Cinco variedades de trigo de origen diverso son </w:t>
      </w:r>
      <w:proofErr w:type="spellStart"/>
      <w:r w:rsidRPr="00A70BEC">
        <w:rPr>
          <w:rFonts w:ascii="Times New Roman" w:eastAsia="Times New Roman" w:hAnsi="Times New Roman" w:cs="Times New Roman"/>
          <w:sz w:val="24"/>
          <w:szCs w:val="24"/>
          <w:lang w:eastAsia="es-ES"/>
        </w:rPr>
        <w:t>Tatara</w:t>
      </w:r>
      <w:proofErr w:type="spellEnd"/>
      <w:r w:rsidRPr="00A70BEC">
        <w:rPr>
          <w:rFonts w:ascii="Times New Roman" w:eastAsia="Times New Roman" w:hAnsi="Times New Roman" w:cs="Times New Roman"/>
          <w:sz w:val="24"/>
          <w:szCs w:val="24"/>
          <w:lang w:eastAsia="es-ES"/>
        </w:rPr>
        <w:t xml:space="preserve"> (</w:t>
      </w:r>
      <w:proofErr w:type="spellStart"/>
      <w:r w:rsidRPr="00A70BEC">
        <w:rPr>
          <w:rFonts w:ascii="Times New Roman" w:eastAsia="Times New Roman" w:hAnsi="Times New Roman" w:cs="Times New Roman"/>
          <w:sz w:val="24"/>
          <w:szCs w:val="24"/>
          <w:lang w:eastAsia="es-ES"/>
        </w:rPr>
        <w:t>Parentage</w:t>
      </w:r>
      <w:proofErr w:type="spellEnd"/>
      <w:r w:rsidRPr="00A70BEC">
        <w:rPr>
          <w:rFonts w:ascii="Times New Roman" w:eastAsia="Times New Roman" w:hAnsi="Times New Roman" w:cs="Times New Roman"/>
          <w:sz w:val="24"/>
          <w:szCs w:val="24"/>
          <w:lang w:eastAsia="es-ES"/>
        </w:rPr>
        <w:t>:</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ATTILA, pedigrí: CM85836-50Y-0M-0Y-2M-0Y), NARC-2009</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(Pedigrí: INQALAB91/2 / TUKURU, Historial de selección: CGSS99</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(Origen: B00015F-099Y-099M-099Y-099M-29Y-0B-0ID), Sehar-2006</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Línea de avance del CIMMYT, pedigrí: CMSS95Y00645-100Y-</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200M-17Y-10M-0Y-0PAK), SKD-1 (Pedigrí: HD-2329, Selección</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Historia: PAU-ACC-3079) y F-</w:t>
      </w:r>
      <w:proofErr w:type="spellStart"/>
      <w:r w:rsidRPr="00A70BEC">
        <w:rPr>
          <w:rFonts w:ascii="Times New Roman" w:eastAsia="Times New Roman" w:hAnsi="Times New Roman" w:cs="Times New Roman"/>
          <w:sz w:val="24"/>
          <w:szCs w:val="24"/>
          <w:lang w:eastAsia="es-ES"/>
        </w:rPr>
        <w:t>Sarhad</w:t>
      </w:r>
      <w:proofErr w:type="spellEnd"/>
      <w:r w:rsidRPr="00A70BEC">
        <w:rPr>
          <w:rFonts w:ascii="Times New Roman" w:eastAsia="Times New Roman" w:hAnsi="Times New Roman" w:cs="Times New Roman"/>
          <w:sz w:val="24"/>
          <w:szCs w:val="24"/>
          <w:lang w:eastAsia="es-ES"/>
        </w:rPr>
        <w:t xml:space="preserve"> (</w:t>
      </w:r>
      <w:proofErr w:type="spellStart"/>
      <w:r w:rsidRPr="00A70BEC">
        <w:rPr>
          <w:rFonts w:ascii="Times New Roman" w:eastAsia="Times New Roman" w:hAnsi="Times New Roman" w:cs="Times New Roman"/>
          <w:sz w:val="24"/>
          <w:szCs w:val="24"/>
          <w:lang w:eastAsia="es-ES"/>
        </w:rPr>
        <w:t>Parentage</w:t>
      </w:r>
      <w:proofErr w:type="spellEnd"/>
      <w:r w:rsidRPr="00A70BEC">
        <w:rPr>
          <w:rFonts w:ascii="Times New Roman" w:eastAsia="Times New Roman" w:hAnsi="Times New Roman" w:cs="Times New Roman"/>
          <w:sz w:val="24"/>
          <w:szCs w:val="24"/>
          <w:lang w:eastAsia="es-ES"/>
        </w:rPr>
        <w:t>: KVZ / BUHO /</w:t>
      </w:r>
      <w:r w:rsidRPr="00A70BEC">
        <w:rPr>
          <w:rFonts w:ascii="Times New Roman" w:eastAsia="Times New Roman" w:hAnsi="Times New Roman" w:cs="Times New Roman"/>
          <w:sz w:val="24"/>
          <w:szCs w:val="24"/>
          <w:lang w:eastAsia="es-ES"/>
        </w:rPr>
        <w:br/>
        <w:t>KAL / BB, Pedigrí: CM33027-F-15M-500Y-0M087V-0Y) fueron</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Plantado el 19 de noviembre, en Islamabad (33s 400 N, 73s 100 E,</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 xml:space="preserve">508 m </w:t>
      </w:r>
      <w:proofErr w:type="spellStart"/>
      <w:r w:rsidRPr="00A70BEC">
        <w:rPr>
          <w:rFonts w:ascii="Times New Roman" w:eastAsia="Times New Roman" w:hAnsi="Times New Roman" w:cs="Times New Roman"/>
          <w:sz w:val="24"/>
          <w:szCs w:val="24"/>
          <w:lang w:eastAsia="es-ES"/>
        </w:rPr>
        <w:t>a.s.l</w:t>
      </w:r>
      <w:proofErr w:type="spellEnd"/>
      <w:r w:rsidRPr="00A70BEC">
        <w:rPr>
          <w:rFonts w:ascii="Times New Roman" w:eastAsia="Times New Roman" w:hAnsi="Times New Roman" w:cs="Times New Roman"/>
          <w:sz w:val="24"/>
          <w:szCs w:val="24"/>
          <w:lang w:eastAsia="es-ES"/>
        </w:rPr>
        <w:t xml:space="preserve">.), durante los años 2008-2011. </w:t>
      </w:r>
      <w:proofErr w:type="gramStart"/>
      <w:r w:rsidRPr="00A70BEC">
        <w:rPr>
          <w:rFonts w:ascii="Times New Roman" w:eastAsia="Times New Roman" w:hAnsi="Times New Roman" w:cs="Times New Roman"/>
          <w:sz w:val="24"/>
          <w:szCs w:val="24"/>
          <w:lang w:eastAsia="es-ES"/>
        </w:rPr>
        <w:t>Para tener en cuenta cualquier variación</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En el campo, el experimento se presentó en</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(RCBD) se replicó cuatro veces con una parcela individual</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Tamaño de 5 m?</w:t>
      </w:r>
      <w:proofErr w:type="gramEnd"/>
      <w:r w:rsidRPr="00A70BEC">
        <w:rPr>
          <w:rFonts w:ascii="Times New Roman" w:eastAsia="Times New Roman" w:hAnsi="Times New Roman" w:cs="Times New Roman"/>
          <w:sz w:val="24"/>
          <w:szCs w:val="24"/>
          <w:lang w:eastAsia="es-ES"/>
        </w:rPr>
        <w:t xml:space="preserve"> 3 </w:t>
      </w:r>
      <w:proofErr w:type="gramStart"/>
      <w:r w:rsidRPr="00A70BEC">
        <w:rPr>
          <w:rFonts w:ascii="Times New Roman" w:eastAsia="Times New Roman" w:hAnsi="Times New Roman" w:cs="Times New Roman"/>
          <w:sz w:val="24"/>
          <w:szCs w:val="24"/>
          <w:lang w:eastAsia="es-ES"/>
        </w:rPr>
        <w:t>m. .</w:t>
      </w:r>
      <w:proofErr w:type="gramEnd"/>
      <w:r w:rsidRPr="00A70BEC">
        <w:rPr>
          <w:rFonts w:ascii="Times New Roman" w:eastAsia="Times New Roman" w:hAnsi="Times New Roman" w:cs="Times New Roman"/>
          <w:sz w:val="24"/>
          <w:szCs w:val="24"/>
          <w:lang w:eastAsia="es-ES"/>
        </w:rPr>
        <w:t xml:space="preserve"> Las cinco variedades de trigo fueron asignadas a</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Al azar a las parcelas dentro de cada bloque. El número total de tratamientos</w:t>
      </w:r>
      <w:r w:rsidRPr="00A70BEC">
        <w:rPr>
          <w:rFonts w:ascii="Times New Roman" w:eastAsia="Times New Roman" w:hAnsi="Times New Roman" w:cs="Times New Roman"/>
          <w:sz w:val="24"/>
          <w:szCs w:val="24"/>
          <w:lang w:eastAsia="es-ES"/>
        </w:rPr>
        <w:br/>
        <w:t>Fue de 60 (5 variedades? 4 repeticiones? 3 años = 60). antes de</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La siembra, la preparación de la tierra en todas las parcelas se hizo usando un disco seguido</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Por un cultivador y luego se plancha en la superficie para un buen semillero</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preparación. Nitrógeno y fósforo, cada uno a razón de</w:t>
      </w:r>
      <w:r w:rsidRPr="00A70BEC">
        <w:rPr>
          <w:rFonts w:ascii="Times New Roman" w:eastAsia="Times New Roman" w:hAnsi="Times New Roman" w:cs="Times New Roman"/>
          <w:sz w:val="24"/>
          <w:szCs w:val="24"/>
          <w:lang w:eastAsia="es-ES"/>
        </w:rPr>
        <w:br/>
        <w:t>100 kg ha \ Delta 1, se aplicaron antes de la siembra y se incorporaron con</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El cultivador. La tasa de siembra fue de 100 kg ha \ Delta 1 y el espaciamiento de las hileras fue</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25 cm.</w:t>
      </w:r>
      <w:r w:rsidRPr="00A70BEC">
        <w:rPr>
          <w:rFonts w:ascii="Times New Roman" w:eastAsia="Times New Roman" w:hAnsi="Times New Roman" w:cs="Times New Roman"/>
          <w:sz w:val="24"/>
          <w:szCs w:val="24"/>
          <w:lang w:eastAsia="es-ES"/>
        </w:rPr>
        <w:br/>
        <w:t>2.2. Datos meteorológicos y del suelo</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El clima del sitio de estudio de Islamabad es subhúmedo con</w:t>
      </w:r>
      <w:r w:rsidR="00427ABE">
        <w:rPr>
          <w:rFonts w:ascii="Times New Roman" w:eastAsia="Times New Roman" w:hAnsi="Times New Roman" w:cs="Times New Roman"/>
          <w:sz w:val="24"/>
          <w:szCs w:val="24"/>
          <w:lang w:eastAsia="es-ES"/>
        </w:rPr>
        <w:t xml:space="preserve"> </w:t>
      </w:r>
      <w:r w:rsidRPr="00A70BEC">
        <w:rPr>
          <w:rFonts w:ascii="Times New Roman" w:eastAsia="Times New Roman" w:hAnsi="Times New Roman" w:cs="Times New Roman"/>
          <w:sz w:val="24"/>
          <w:szCs w:val="24"/>
          <w:lang w:eastAsia="es-ES"/>
        </w:rPr>
        <w:t>&gt; 1000 mm de lluvia anual media (zona de alta precipitación) y una</w:t>
      </w:r>
      <w:r w:rsidRPr="00A70BEC">
        <w:rPr>
          <w:rFonts w:ascii="Times New Roman" w:eastAsia="Times New Roman" w:hAnsi="Times New Roman" w:cs="Times New Roman"/>
          <w:sz w:val="24"/>
          <w:szCs w:val="24"/>
          <w:lang w:eastAsia="es-ES"/>
        </w:rPr>
        <w:br/>
        <w:t>Temperatura media anual de 21,3 ° C. El potencial anual</w:t>
      </w:r>
      <w:r w:rsidR="00AA7CBA">
        <w:rPr>
          <w:rFonts w:ascii="Times New Roman" w:eastAsia="Times New Roman" w:hAnsi="Times New Roman" w:cs="Times New Roman"/>
          <w:sz w:val="24"/>
          <w:szCs w:val="24"/>
          <w:lang w:eastAsia="es-ES"/>
        </w:rPr>
        <w:t xml:space="preserve"> </w:t>
      </w:r>
      <w:r w:rsidR="00AA7CBA">
        <w:t>Simulador de Sistemas de Producción Agrícola (APSIM) es un</w:t>
      </w:r>
      <w:r w:rsidR="00427ABE">
        <w:t xml:space="preserve"> </w:t>
      </w:r>
      <w:r w:rsidR="00AA7CBA">
        <w:t>Herramienta de software que permite que sub-modelos (o módulos)</w:t>
      </w:r>
      <w:r w:rsidR="00AA7CBA">
        <w:br/>
        <w:t>Vinculados para simular sistemas agrícolas (</w:t>
      </w:r>
      <w:proofErr w:type="spellStart"/>
      <w:r w:rsidR="00AA7CBA">
        <w:t>Keating</w:t>
      </w:r>
      <w:proofErr w:type="spellEnd"/>
      <w:r w:rsidR="00AA7CBA">
        <w:t xml:space="preserve"> et al., 2003;</w:t>
      </w:r>
      <w:r w:rsidR="00427ABE">
        <w:t xml:space="preserve"> </w:t>
      </w:r>
      <w:proofErr w:type="spellStart"/>
      <w:r w:rsidR="00AA7CBA">
        <w:t>McCown</w:t>
      </w:r>
      <w:proofErr w:type="spellEnd"/>
      <w:r w:rsidR="00AA7CBA">
        <w:t xml:space="preserve"> et al., 1996). El módulo APSIM-</w:t>
      </w:r>
      <w:proofErr w:type="spellStart"/>
      <w:r w:rsidR="00AA7CBA">
        <w:t>Wheat</w:t>
      </w:r>
      <w:proofErr w:type="spellEnd"/>
      <w:r w:rsidR="00AA7CBA">
        <w:t xml:space="preserve"> simula la</w:t>
      </w:r>
      <w:r w:rsidR="00427ABE">
        <w:t xml:space="preserve"> </w:t>
      </w:r>
      <w:r w:rsidR="00AA7CBA">
        <w:t>Crecimiento y desarrollo de una cosecha de trigo en un paso diario</w:t>
      </w:r>
      <w:r w:rsidR="00427ABE">
        <w:t xml:space="preserve"> </w:t>
      </w:r>
      <w:r w:rsidR="00AA7CBA">
        <w:t>Sobre una base de superficie (por metro cuadrado, no una sola planta)</w:t>
      </w:r>
      <w:r w:rsidR="00427ABE">
        <w:t xml:space="preserve"> </w:t>
      </w:r>
      <w:r w:rsidR="00AA7CBA">
        <w:t>CERES-Enfoque de trigo. El crecimiento y desarrollo del trigo</w:t>
      </w:r>
      <w:r w:rsidR="00427ABE">
        <w:t xml:space="preserve"> </w:t>
      </w:r>
      <w:r w:rsidR="00AA7CBA">
        <w:t>Responde al clima (radiación, temperatura), agua del suelo y suelo</w:t>
      </w:r>
      <w:r w:rsidR="00427ABE">
        <w:t xml:space="preserve"> </w:t>
      </w:r>
      <w:r w:rsidR="00AA7CBA">
        <w:t>Nitrógeno y prácticas de manejo (</w:t>
      </w:r>
      <w:proofErr w:type="spellStart"/>
      <w:r w:rsidR="00AA7CBA">
        <w:t>Zheng</w:t>
      </w:r>
      <w:proofErr w:type="spellEnd"/>
      <w:r w:rsidR="00AA7CBA">
        <w:t xml:space="preserve"> et al., 2014). </w:t>
      </w:r>
      <w:proofErr w:type="spellStart"/>
      <w:r w:rsidR="00AA7CBA">
        <w:t>APSIMWheat</w:t>
      </w:r>
      <w:proofErr w:type="spellEnd"/>
      <w:r w:rsidR="00427ABE">
        <w:t xml:space="preserve"> </w:t>
      </w:r>
      <w:r w:rsidR="00AA7CBA">
        <w:t>Consiste en once fases de desarrollo determinadas por</w:t>
      </w:r>
      <w:r w:rsidR="00AA7CBA">
        <w:br/>
        <w:t xml:space="preserve">La acumulación de tiempo térmico y otros factores como </w:t>
      </w:r>
      <w:proofErr w:type="spellStart"/>
      <w:r w:rsidR="00AA7CBA">
        <w:t>vernalización</w:t>
      </w:r>
      <w:proofErr w:type="spellEnd"/>
      <w:r w:rsidR="00AA7CBA">
        <w:t>,</w:t>
      </w:r>
      <w:r w:rsidR="00427ABE">
        <w:t xml:space="preserve"> </w:t>
      </w:r>
      <w:r w:rsidR="00AA7CBA">
        <w:t>Fotoperiodo y N desde la emergencia hasta la espiguilla terminal</w:t>
      </w:r>
      <w:r w:rsidR="00427ABE">
        <w:t xml:space="preserve"> </w:t>
      </w:r>
      <w:r w:rsidR="00AA7CBA">
        <w:t>(</w:t>
      </w:r>
      <w:proofErr w:type="spellStart"/>
      <w:r w:rsidR="00AA7CBA">
        <w:t>Chen</w:t>
      </w:r>
      <w:proofErr w:type="spellEnd"/>
      <w:r w:rsidR="00AA7CBA">
        <w:t xml:space="preserve"> et al., 2010). La longitud de cada fase está ligada a la térmica fija</w:t>
      </w:r>
      <w:r w:rsidR="00427ABE">
        <w:t xml:space="preserve"> </w:t>
      </w:r>
      <w:r w:rsidR="00AA7CBA">
        <w:t xml:space="preserve">Tiempo mencionado como </w:t>
      </w:r>
      <w:proofErr w:type="spellStart"/>
      <w:r w:rsidR="00AA7CBA">
        <w:t>tt</w:t>
      </w:r>
      <w:proofErr w:type="spellEnd"/>
      <w:r w:rsidR="00AA7CBA">
        <w:t>_ &lt;</w:t>
      </w:r>
      <w:proofErr w:type="spellStart"/>
      <w:r w:rsidR="00AA7CBA">
        <w:t>nombre_fase</w:t>
      </w:r>
      <w:proofErr w:type="spellEnd"/>
      <w:r w:rsidR="00AA7CBA">
        <w:t>&gt; en wheat.xml. El modelo</w:t>
      </w:r>
      <w:r w:rsidR="00427ABE">
        <w:t xml:space="preserve"> </w:t>
      </w:r>
      <w:r w:rsidR="00AA7CBA">
        <w:t>Calcula la acumulación diaria de biomasa (DQ) como resultado de la radiación</w:t>
      </w:r>
      <w:r w:rsidR="00427ABE">
        <w:t xml:space="preserve"> </w:t>
      </w:r>
      <w:r w:rsidR="00AA7CBA">
        <w:t>Intercepción (</w:t>
      </w:r>
      <w:proofErr w:type="spellStart"/>
      <w:r w:rsidR="00AA7CBA">
        <w:t>DQr</w:t>
      </w:r>
      <w:proofErr w:type="spellEnd"/>
      <w:r w:rsidR="00AA7CBA">
        <w:t xml:space="preserve">), que está limitada por defecciones de agua en el suelo. El </w:t>
      </w:r>
      <w:proofErr w:type="spellStart"/>
      <w:r w:rsidR="00AA7CBA">
        <w:t>DQr</w:t>
      </w:r>
      <w:proofErr w:type="spellEnd"/>
      <w:r w:rsidR="00427ABE">
        <w:t xml:space="preserve"> </w:t>
      </w:r>
      <w:r w:rsidR="00AA7CBA">
        <w:t>Es el producto de la radiación interceptada (I), la eficiencia del uso de la radiación</w:t>
      </w:r>
      <w:r w:rsidR="00427ABE">
        <w:t xml:space="preserve"> </w:t>
      </w:r>
      <w:r w:rsidR="00AA7CBA">
        <w:t>(RUE), el factor difuso (</w:t>
      </w:r>
      <w:proofErr w:type="spellStart"/>
      <w:r w:rsidR="00AA7CBA">
        <w:t>fd</w:t>
      </w:r>
      <w:proofErr w:type="spellEnd"/>
      <w:r w:rsidR="00AA7CBA">
        <w:t>), el factor de tensión (</w:t>
      </w:r>
      <w:proofErr w:type="spellStart"/>
      <w:r w:rsidR="00AA7CBA">
        <w:t>fs</w:t>
      </w:r>
      <w:proofErr w:type="spellEnd"/>
      <w:r w:rsidR="00AA7CBA">
        <w:t>) y el factor de dióxido de carbono</w:t>
      </w:r>
      <w:r w:rsidR="00427ABE">
        <w:t xml:space="preserve"> </w:t>
      </w:r>
      <w:r w:rsidR="00AA7CBA">
        <w:t>(</w:t>
      </w:r>
      <w:proofErr w:type="spellStart"/>
      <w:r w:rsidR="00AA7CBA">
        <w:t>Fc</w:t>
      </w:r>
      <w:proofErr w:type="spellEnd"/>
      <w:r w:rsidR="00AA7CBA">
        <w:t>). La intercepción de radiación (I) se calcula a partir del índice de área foliar</w:t>
      </w:r>
      <w:r w:rsidR="00427ABE">
        <w:t xml:space="preserve"> </w:t>
      </w:r>
      <w:r w:rsidR="00AA7CBA">
        <w:t>(LAI, m ^ {2} m ^ {2}) y el coeficiente de extinción (k) (</w:t>
      </w:r>
      <w:proofErr w:type="spellStart"/>
      <w:r w:rsidR="00AA7CBA">
        <w:t>Monsi</w:t>
      </w:r>
      <w:proofErr w:type="spellEnd"/>
      <w:r w:rsidR="00AA7CBA">
        <w:t xml:space="preserve"> y </w:t>
      </w:r>
      <w:proofErr w:type="spellStart"/>
      <w:r w:rsidR="00AA7CBA">
        <w:t>Saeki</w:t>
      </w:r>
      <w:proofErr w:type="spellEnd"/>
      <w:r w:rsidR="00AA7CBA">
        <w:t>,</w:t>
      </w:r>
      <w:r w:rsidR="00427ABE">
        <w:t xml:space="preserve"> </w:t>
      </w:r>
      <w:r w:rsidR="00AA7CBA">
        <w:t>2005).</w:t>
      </w:r>
      <w:r w:rsidR="00AA7CBA">
        <w:br/>
        <w:t xml:space="preserve">El módulo de suelo en APSIM incluye el módulo </w:t>
      </w:r>
      <w:proofErr w:type="spellStart"/>
      <w:r w:rsidR="00AA7CBA">
        <w:t>SoilN</w:t>
      </w:r>
      <w:proofErr w:type="spellEnd"/>
      <w:r w:rsidR="00AA7CBA">
        <w:t xml:space="preserve"> que</w:t>
      </w:r>
      <w:r w:rsidR="00427ABE">
        <w:t xml:space="preserve"> </w:t>
      </w:r>
      <w:r w:rsidR="00AA7CBA">
        <w:t>Describe la dinámica del carbono y del nitrógeno en el suelo. Suelo</w:t>
      </w:r>
      <w:r w:rsidR="00427ABE">
        <w:t xml:space="preserve"> </w:t>
      </w:r>
      <w:r w:rsidR="00AA7CBA">
        <w:t>La materia orgánica se divide en dos grupos (</w:t>
      </w:r>
      <w:proofErr w:type="spellStart"/>
      <w:r w:rsidR="00AA7CBA">
        <w:t>biom</w:t>
      </w:r>
      <w:proofErr w:type="spellEnd"/>
      <w:r w:rsidR="00AA7CBA">
        <w:t xml:space="preserve"> y </w:t>
      </w:r>
      <w:proofErr w:type="spellStart"/>
      <w:r w:rsidR="00AA7CBA">
        <w:t>hum</w:t>
      </w:r>
      <w:proofErr w:type="spellEnd"/>
      <w:r w:rsidR="00AA7CBA">
        <w:t>), con</w:t>
      </w:r>
      <w:r w:rsidR="00427ABE">
        <w:t xml:space="preserve"> </w:t>
      </w:r>
      <w:r w:rsidR="00AA7CBA">
        <w:t>La reserva de biomasa que representa la biomasa microbiana del suelo más lábil</w:t>
      </w:r>
      <w:r w:rsidR="00427ABE">
        <w:t xml:space="preserve"> </w:t>
      </w:r>
      <w:r w:rsidR="00AA7CBA">
        <w:t xml:space="preserve">Y los productos microbianos, mientras que el </w:t>
      </w:r>
      <w:proofErr w:type="spellStart"/>
      <w:r w:rsidR="00AA7CBA">
        <w:t>hum</w:t>
      </w:r>
      <w:proofErr w:type="spellEnd"/>
      <w:r w:rsidR="00AA7CBA">
        <w:t xml:space="preserve"> pool comprende el resto de</w:t>
      </w:r>
      <w:r w:rsidR="00427ABE">
        <w:t xml:space="preserve"> </w:t>
      </w:r>
      <w:r w:rsidR="00AA7CBA">
        <w:t>La materia orgánica del suelo. Esta configuración es diferente de CERES.</w:t>
      </w:r>
      <w:r w:rsidR="00AA7CBA">
        <w:br/>
      </w:r>
      <w:r w:rsidR="00AA7CBA">
        <w:lastRenderedPageBreak/>
        <w:t>SOILWAT, que es un modelo de capa en cascada que funciona a diario</w:t>
      </w:r>
      <w:r w:rsidR="00427ABE">
        <w:t xml:space="preserve"> </w:t>
      </w:r>
      <w:r w:rsidR="00AA7CBA">
        <w:t>hora de caminar. Las características del agua del suelo se especifican</w:t>
      </w:r>
      <w:r w:rsidR="00427ABE">
        <w:t xml:space="preserve"> </w:t>
      </w:r>
      <w:r w:rsidR="00AA7CBA">
        <w:t>Límite inferior (LL15), límite superior drenado (DUL) y saturado (SAT)</w:t>
      </w:r>
      <w:r w:rsidR="00427ABE">
        <w:t xml:space="preserve"> </w:t>
      </w:r>
      <w:r w:rsidR="00AA7CBA">
        <w:t>Contenido de agua volumétrica de una secuencia de capas de suelo. El conjunto</w:t>
      </w:r>
      <w:r w:rsidR="00AA7CBA">
        <w:br/>
        <w:t>El perfil del suelo podría tener 10 o más capas y el espesor de la capa puede</w:t>
      </w:r>
      <w:r w:rsidR="00427ABE">
        <w:t xml:space="preserve"> </w:t>
      </w:r>
      <w:r w:rsidR="00AA7CBA">
        <w:t>Ser especificado por el usuario. Grosor típico para la capa superior</w:t>
      </w:r>
      <w:r w:rsidR="00427ABE">
        <w:t xml:space="preserve"> </w:t>
      </w:r>
      <w:r w:rsidR="00AA7CBA">
        <w:t xml:space="preserve">Es de 100 o 150 mm mientras que para la base del perfil es de 300-500 </w:t>
      </w:r>
      <w:proofErr w:type="spellStart"/>
      <w:r w:rsidR="00AA7CBA">
        <w:t>mm.</w:t>
      </w:r>
      <w:proofErr w:type="spellEnd"/>
      <w:r w:rsidR="00427ABE">
        <w:t xml:space="preserve"> </w:t>
      </w:r>
      <w:r w:rsidR="00AA7CBA">
        <w:t>Se utilizó la técnica del número de la curva USDA-</w:t>
      </w:r>
      <w:proofErr w:type="spellStart"/>
      <w:r w:rsidR="00AA7CBA">
        <w:t>Soil</w:t>
      </w:r>
      <w:proofErr w:type="spellEnd"/>
      <w:r w:rsidR="00AA7CBA">
        <w:t xml:space="preserve"> para calcular el escurrimiento</w:t>
      </w:r>
      <w:r w:rsidR="00AA7CBA">
        <w:br/>
        <w:t>Mientras que la evaporación se basa en el concepto de evaporación potencial</w:t>
      </w:r>
      <w:r w:rsidR="00427ABE">
        <w:t xml:space="preserve"> </w:t>
      </w:r>
      <w:r w:rsidR="00AA7CBA">
        <w:t xml:space="preserve">De </w:t>
      </w:r>
      <w:proofErr w:type="spellStart"/>
      <w:r w:rsidR="00AA7CBA">
        <w:t>Priestley</w:t>
      </w:r>
      <w:proofErr w:type="spellEnd"/>
      <w:r w:rsidR="00AA7CBA">
        <w:t xml:space="preserve"> y Taylor (1972). SOILWAT utiliza dos parámetros, es decir, U</w:t>
      </w:r>
      <w:r w:rsidR="00427ABE">
        <w:t xml:space="preserve"> </w:t>
      </w:r>
      <w:r w:rsidR="00AA7CBA">
        <w:t>Y CONA (similar a CERES) para describir la evaporación del suelo. Tu eres</w:t>
      </w:r>
      <w:r w:rsidR="00427ABE">
        <w:t xml:space="preserve"> </w:t>
      </w:r>
      <w:r w:rsidR="00AA7CBA">
        <w:t>Evaporación acumulada desde la humectación del suelo pero antes del suministro del suelo</w:t>
      </w:r>
      <w:r w:rsidR="00427ABE">
        <w:t xml:space="preserve"> </w:t>
      </w:r>
      <w:r w:rsidR="00AA7CBA">
        <w:t>Se convierte en limitante, mientras que CONA (de PERFECT) es la segunda etapa</w:t>
      </w:r>
      <w:r w:rsidR="00AA7CBA">
        <w:br/>
        <w:t>De evaporación cuando el contenido de agua del suelo ha disminuido por debajo</w:t>
      </w:r>
      <w:r w:rsidR="00427ABE">
        <w:t xml:space="preserve"> </w:t>
      </w:r>
      <w:r w:rsidR="00AA7CBA">
        <w:t>Un valor umbral; La tasa de suministro del suelo será menor que</w:t>
      </w:r>
      <w:r w:rsidR="00427ABE">
        <w:t xml:space="preserve"> </w:t>
      </w:r>
      <w:r w:rsidR="00AA7CBA">
        <w:t>Evaporación potencial.</w:t>
      </w:r>
      <w:r w:rsidR="00AA7CBA">
        <w:br/>
        <w:t xml:space="preserve">DSSAT (Sistema de Apoyo a la Decisión para la Transferencia de </w:t>
      </w:r>
      <w:proofErr w:type="spellStart"/>
      <w:r w:rsidR="00AA7CBA">
        <w:t>Agrotecnología</w:t>
      </w:r>
      <w:proofErr w:type="spellEnd"/>
      <w:r w:rsidR="00AA7CBA">
        <w:t>) -</w:t>
      </w:r>
      <w:r w:rsidR="00427ABE">
        <w:t xml:space="preserve"> </w:t>
      </w:r>
      <w:r w:rsidR="00AA7CBA">
        <w:t>Sistema de cultivo Componentes del modelo V4.5 CSM-CERES (</w:t>
      </w:r>
      <w:proofErr w:type="spellStart"/>
      <w:r w:rsidR="00AA7CBA">
        <w:t>Crop</w:t>
      </w:r>
      <w:proofErr w:type="spellEnd"/>
      <w:r w:rsidR="00AA7CBA">
        <w:t xml:space="preserve"> </w:t>
      </w:r>
      <w:proofErr w:type="spellStart"/>
      <w:r w:rsidR="00AA7CBA">
        <w:t>Environment</w:t>
      </w:r>
      <w:proofErr w:type="spellEnd"/>
      <w:r w:rsidR="00427ABE">
        <w:t xml:space="preserve"> </w:t>
      </w:r>
      <w:proofErr w:type="spellStart"/>
      <w:r w:rsidR="00AA7CBA">
        <w:t>REsource</w:t>
      </w:r>
      <w:proofErr w:type="spellEnd"/>
      <w:r w:rsidR="00AA7CBA">
        <w:t xml:space="preserve"> </w:t>
      </w:r>
      <w:proofErr w:type="spellStart"/>
      <w:r w:rsidR="00AA7CBA">
        <w:t>Synthesis</w:t>
      </w:r>
      <w:proofErr w:type="spellEnd"/>
      <w:r w:rsidR="00AA7CBA">
        <w:t>) -</w:t>
      </w:r>
      <w:proofErr w:type="spellStart"/>
      <w:r w:rsidR="00AA7CBA">
        <w:t>Wheat</w:t>
      </w:r>
      <w:proofErr w:type="spellEnd"/>
      <w:r w:rsidR="00AA7CBA">
        <w:t xml:space="preserve"> (Jones et al., 2003) se utilizó</w:t>
      </w:r>
      <w:r w:rsidR="00427ABE">
        <w:t xml:space="preserve"> </w:t>
      </w:r>
      <w:r w:rsidR="00AA7CBA">
        <w:t>Para estudiar la respuesta genotipo. El modelo puede simular los efectos Del tiempo, genotipos, propiedades del suelo y manejo del trigo</w:t>
      </w:r>
      <w:r w:rsidR="00427ABE">
        <w:t xml:space="preserve"> </w:t>
      </w:r>
      <w:r w:rsidR="00AA7CBA">
        <w:t>El crecimiento, el desarrollo y el rendimiento de los cultivos. El modelo considera nueve</w:t>
      </w:r>
      <w:r w:rsidR="00427ABE">
        <w:t xml:space="preserve"> </w:t>
      </w:r>
      <w:r w:rsidR="00AA7CBA">
        <w:t>Crecimiento en respuesta al tiempo térmico desde la pre-siembra hasta la cosecha.</w:t>
      </w:r>
      <w:r w:rsidR="00AA7CBA">
        <w:br/>
        <w:t>La acumulación de biomasa se calculó como un producto de</w:t>
      </w:r>
      <w:r w:rsidR="00427ABE">
        <w:t xml:space="preserve"> </w:t>
      </w:r>
      <w:r w:rsidR="00AA7CBA">
        <w:t>Eficiencia de uso de la radiación (RUE) y fotosintéticamente activas interceptadas</w:t>
      </w:r>
      <w:r w:rsidR="00427ABE">
        <w:t xml:space="preserve"> </w:t>
      </w:r>
      <w:r w:rsidR="00AA7CBA">
        <w:t>Radiación (PAIR). La extensión de los órganos depende de la</w:t>
      </w:r>
      <w:r w:rsidR="00AA7CBA">
        <w:br/>
        <w:t>Crecimiento de órganos y está limitado por la temperatura,</w:t>
      </w:r>
      <w:r w:rsidR="00427ABE">
        <w:t xml:space="preserve"> </w:t>
      </w:r>
      <w:r w:rsidR="00AA7CBA">
        <w:t xml:space="preserve">Nitrógeno. El desarrollo </w:t>
      </w:r>
      <w:proofErr w:type="spellStart"/>
      <w:r w:rsidR="00AA7CBA">
        <w:t>fásico</w:t>
      </w:r>
      <w:proofErr w:type="spellEnd"/>
      <w:r w:rsidR="00AA7CBA">
        <w:t xml:space="preserve"> influye en la partición</w:t>
      </w:r>
      <w:r w:rsidR="00427ABE">
        <w:t xml:space="preserve"> </w:t>
      </w:r>
      <w:r w:rsidR="00AA7CBA">
        <w:t>Coeficientes de materia seca. El rendimiento de grano es el producto del grano</w:t>
      </w:r>
      <w:r w:rsidR="00427ABE">
        <w:t xml:space="preserve"> </w:t>
      </w:r>
      <w:r w:rsidR="00AA7CBA">
        <w:t>Número (G1), población de plantas y masa de grano a nivel fisiológico</w:t>
      </w:r>
      <w:r w:rsidR="00427ABE">
        <w:t xml:space="preserve"> </w:t>
      </w:r>
      <w:r w:rsidR="00AA7CBA">
        <w:t>Madurez (G2).</w:t>
      </w:r>
      <w:r w:rsidR="00AA7CBA">
        <w:br/>
        <w:t>El balance hídrico del suelo es modelado diariamente en relación a la precipitación,</w:t>
      </w:r>
      <w:r w:rsidR="00427ABE">
        <w:t xml:space="preserve"> </w:t>
      </w:r>
      <w:r w:rsidR="00AA7CBA">
        <w:t xml:space="preserve">Riego, escorrentía, infiltración, drenaje y transpiración. </w:t>
      </w:r>
      <w:r w:rsidR="00427ABE">
        <w:t>L</w:t>
      </w:r>
      <w:r w:rsidR="00AA7CBA">
        <w:t>os</w:t>
      </w:r>
      <w:r w:rsidR="00427ABE">
        <w:t xml:space="preserve"> </w:t>
      </w:r>
      <w:r w:rsidR="00AA7CBA">
        <w:t>Agua se asigna a diferentes capas basándose en la parte superior</w:t>
      </w:r>
      <w:r w:rsidR="00427ABE">
        <w:t xml:space="preserve"> </w:t>
      </w:r>
      <w:r w:rsidR="00AA7CBA">
        <w:t>(DUL) y el límite inferior (LL). Del mismo modo, hacia abajo y hacia arriba</w:t>
      </w:r>
      <w:r w:rsidR="00427ABE">
        <w:t xml:space="preserve"> </w:t>
      </w:r>
      <w:r w:rsidR="00AA7CBA">
        <w:t>El flujo es controlado por DUL y LL. Si el contenido de agua en una capa es</w:t>
      </w:r>
      <w:r w:rsidR="00427ABE">
        <w:t xml:space="preserve"> </w:t>
      </w:r>
      <w:r w:rsidR="00AA7CBA">
        <w:t>Mayor que DUL, fluirá hacia abajo mientras que si la capa tiene contenido de agua</w:t>
      </w:r>
      <w:r w:rsidR="00427ABE">
        <w:t xml:space="preserve"> </w:t>
      </w:r>
      <w:r w:rsidR="00AA7CBA">
        <w:t>Entre LL y DUL se moverá hacia arriba. La comparación del modelado</w:t>
      </w:r>
      <w:r w:rsidR="00AA7CBA">
        <w:br/>
        <w:t>Enfoques utilizados por APSIM-Trigo y DSSAT-CSM-</w:t>
      </w:r>
      <w:proofErr w:type="spellStart"/>
      <w:r w:rsidR="00AA7CBA">
        <w:t>CERESWheat</w:t>
      </w:r>
      <w:proofErr w:type="spellEnd"/>
      <w:r w:rsidR="00427ABE">
        <w:t xml:space="preserve"> </w:t>
      </w:r>
      <w:r w:rsidR="00AA7CBA">
        <w:t>Se presenta en la Tabla 2.</w:t>
      </w:r>
      <w:r w:rsidR="00AA7CBA">
        <w:br/>
        <w:t>2.4. Calibración de modelos</w:t>
      </w:r>
      <w:r w:rsidR="00AA7CBA">
        <w:br/>
        <w:t>El módulo de crecimiento y desarrollo de APSIM-Trigo utiliza</w:t>
      </w:r>
      <w:r w:rsidR="00427ABE">
        <w:t xml:space="preserve"> </w:t>
      </w:r>
      <w:r w:rsidR="00AA7CBA">
        <w:t>Conjuntos de diferentes coeficientes (</w:t>
      </w:r>
      <w:proofErr w:type="spellStart"/>
      <w:r w:rsidR="00AA7CBA">
        <w:t>Vern_sens</w:t>
      </w:r>
      <w:proofErr w:type="spellEnd"/>
      <w:r w:rsidR="00AA7CBA">
        <w:t xml:space="preserve">, </w:t>
      </w:r>
      <w:proofErr w:type="spellStart"/>
      <w:r w:rsidR="00AA7CBA">
        <w:t>photop_sens</w:t>
      </w:r>
      <w:proofErr w:type="spellEnd"/>
      <w:r w:rsidR="00AA7CBA">
        <w:t xml:space="preserve">, </w:t>
      </w:r>
      <w:proofErr w:type="spellStart"/>
      <w:r w:rsidR="00AA7CBA">
        <w:t>startgf_to</w:t>
      </w:r>
      <w:proofErr w:type="spellEnd"/>
      <w:r w:rsidR="00AA7CBA">
        <w:t>_-</w:t>
      </w:r>
      <w:r w:rsidR="00427ABE">
        <w:t xml:space="preserve"> </w:t>
      </w:r>
      <w:r w:rsidR="00AA7CBA">
        <w:t xml:space="preserve">Mat, </w:t>
      </w:r>
      <w:proofErr w:type="spellStart"/>
      <w:r w:rsidR="00AA7CBA">
        <w:t>grains_per_gram_stem</w:t>
      </w:r>
      <w:proofErr w:type="spellEnd"/>
      <w:r w:rsidR="00AA7CBA">
        <w:t xml:space="preserve">, </w:t>
      </w:r>
      <w:proofErr w:type="spellStart"/>
      <w:r w:rsidR="00AA7CBA">
        <w:t>Potential_grain_filling_rate</w:t>
      </w:r>
      <w:proofErr w:type="spellEnd"/>
      <w:r w:rsidR="00AA7CBA">
        <w:t xml:space="preserve"> y </w:t>
      </w:r>
      <w:proofErr w:type="spellStart"/>
      <w:r w:rsidR="00AA7CBA">
        <w:t>Phyllochron</w:t>
      </w:r>
      <w:proofErr w:type="spellEnd"/>
      <w:r w:rsidR="00AA7CBA">
        <w:t>)</w:t>
      </w:r>
      <w:r w:rsidR="00AA7CBA">
        <w:br/>
        <w:t>Para definir la fenología, el crecimiento de los cultivos y el rendimiento en el tiempo</w:t>
      </w:r>
      <w:r w:rsidR="00427ABE">
        <w:t xml:space="preserve"> </w:t>
      </w:r>
      <w:r w:rsidR="00AA7CBA">
        <w:t>(Tabla 3). APSIM-Trigo fue calibrado para los 5 cultivares,</w:t>
      </w:r>
      <w:r w:rsidR="00427ABE">
        <w:t xml:space="preserve"> </w:t>
      </w:r>
      <w:proofErr w:type="spellStart"/>
      <w:r w:rsidR="00AA7CBA">
        <w:t>Tatara</w:t>
      </w:r>
      <w:proofErr w:type="spellEnd"/>
      <w:r w:rsidR="00AA7CBA">
        <w:t>, NARC-2009, Sehar-2006, SKD-1 y F-</w:t>
      </w:r>
      <w:proofErr w:type="spellStart"/>
      <w:r w:rsidR="00AA7CBA">
        <w:t>Sarhad</w:t>
      </w:r>
      <w:proofErr w:type="spellEnd"/>
      <w:r w:rsidR="00AA7CBA">
        <w:t xml:space="preserve"> con datos</w:t>
      </w:r>
      <w:r w:rsidR="00AA7CBA">
        <w:br/>
        <w:t>Obtenidos entre 2008 y 09 año de cultivo. Para la calibración del cultivar</w:t>
      </w:r>
      <w:r w:rsidR="00427ABE">
        <w:t xml:space="preserve"> </w:t>
      </w:r>
      <w:r w:rsidR="00AA7CBA">
        <w:t>Coeficientes fueron obtenidos paso a paso, primero para</w:t>
      </w:r>
      <w:r w:rsidR="00427ABE">
        <w:t xml:space="preserve"> </w:t>
      </w:r>
      <w:r w:rsidR="00AA7CBA">
        <w:t xml:space="preserve">Desarrollo y luego para los parámetros de desarrollo del grano. </w:t>
      </w:r>
      <w:r w:rsidR="00427ABE">
        <w:t>L</w:t>
      </w:r>
      <w:r w:rsidR="00AA7CBA">
        <w:t>os</w:t>
      </w:r>
      <w:r w:rsidR="00427ABE">
        <w:t xml:space="preserve"> </w:t>
      </w:r>
      <w:r w:rsidR="00AA7CBA">
        <w:t>Manual método de ensayo y error se utilizó para determinar los coeficientes genéticos</w:t>
      </w:r>
      <w:r w:rsidR="00427ABE">
        <w:t xml:space="preserve"> </w:t>
      </w:r>
      <w:r w:rsidR="00AA7CBA">
        <w:t>(</w:t>
      </w:r>
      <w:proofErr w:type="spellStart"/>
      <w:r w:rsidR="00AA7CBA">
        <w:t>Godwin</w:t>
      </w:r>
      <w:proofErr w:type="spellEnd"/>
      <w:r w:rsidR="00AA7CBA">
        <w:t xml:space="preserve"> y Singh, 1998). Los valores se ajustaron a</w:t>
      </w:r>
      <w:r w:rsidR="00427ABE">
        <w:t xml:space="preserve"> </w:t>
      </w:r>
      <w:r w:rsidR="00AA7CBA">
        <w:t>Tienen un error cuadrático medio mínimo (RMSE) entre la simulación</w:t>
      </w:r>
      <w:r w:rsidR="00427ABE">
        <w:t xml:space="preserve"> </w:t>
      </w:r>
      <w:r w:rsidR="00AA7CBA">
        <w:t>Y datos observados. La antesis, fecha de madurez fisiológica, hoja</w:t>
      </w:r>
      <w:r w:rsidR="00427ABE">
        <w:t xml:space="preserve"> </w:t>
      </w:r>
      <w:r w:rsidR="00AA7CBA">
        <w:t>(LAI), la biomasa y el rendimiento se utilizaron para evaluar el modelo</w:t>
      </w:r>
      <w:r w:rsidR="00427ABE">
        <w:t xml:space="preserve"> </w:t>
      </w:r>
      <w:r w:rsidR="00AA7CBA">
        <w:t>actuación. Se utilizaron los mismos valores de este conjunto de parámetros</w:t>
      </w:r>
      <w:r w:rsidR="00AA7CBA">
        <w:br/>
        <w:t>En la validación para evaluar aún más el rendimiento y la robustez</w:t>
      </w:r>
      <w:r w:rsidR="00427ABE">
        <w:t xml:space="preserve"> </w:t>
      </w:r>
      <w:r w:rsidR="00AA7CBA">
        <w:t>De APSIM - Trigo.</w:t>
      </w:r>
      <w:r w:rsidR="00AA7CBA">
        <w:br/>
        <w:t xml:space="preserve">CERES-Trigo utiliza diferentes conjuntos de especies, </w:t>
      </w:r>
      <w:proofErr w:type="spellStart"/>
      <w:r w:rsidR="00AA7CBA">
        <w:t>ecotipo</w:t>
      </w:r>
      <w:proofErr w:type="spellEnd"/>
      <w:r w:rsidR="00AA7CBA">
        <w:t xml:space="preserve"> y cultivar</w:t>
      </w:r>
      <w:r w:rsidR="00427ABE">
        <w:t xml:space="preserve"> </w:t>
      </w:r>
      <w:r w:rsidR="00AA7CBA">
        <w:t>Coeficientes que definen la fenología y el crecimiento de los cultivos en el tiempo</w:t>
      </w:r>
      <w:r w:rsidR="00427ABE">
        <w:t xml:space="preserve"> </w:t>
      </w:r>
      <w:r w:rsidR="00AA7CBA">
        <w:t>dominio. Estos coeficientes de cultivo son específicos de los cultivares y no pueden</w:t>
      </w:r>
      <w:r w:rsidR="00427ABE">
        <w:t xml:space="preserve"> </w:t>
      </w:r>
      <w:r w:rsidR="00AA7CBA">
        <w:t>Ser ampliamente aplicados como tales bajo diferentes</w:t>
      </w:r>
    </w:p>
    <w:p w:rsidR="00AA7CBA" w:rsidRDefault="00AA7CBA" w:rsidP="00427ABE">
      <w:pPr>
        <w:spacing w:after="0" w:line="240" w:lineRule="auto"/>
      </w:pPr>
      <w:r w:rsidRPr="00AA7CBA">
        <w:rPr>
          <w:rFonts w:ascii="Times New Roman" w:eastAsia="Times New Roman" w:hAnsi="Times New Roman" w:cs="Times New Roman"/>
          <w:sz w:val="24"/>
          <w:szCs w:val="24"/>
          <w:lang w:eastAsia="es-ES"/>
        </w:rPr>
        <w:t>Condiciones. Normalmente se especifican por los usuarios (Cuadro 4) y en la actualidad</w:t>
      </w:r>
      <w:r w:rsidRPr="00AA7CBA">
        <w:rPr>
          <w:rFonts w:ascii="Times New Roman" w:eastAsia="Times New Roman" w:hAnsi="Times New Roman" w:cs="Times New Roman"/>
          <w:sz w:val="24"/>
          <w:szCs w:val="24"/>
          <w:lang w:eastAsia="es-ES"/>
        </w:rPr>
        <w:br/>
        <w:t>Estos parámetros fueron estimados utilizando datos medidos</w:t>
      </w:r>
      <w:r w:rsidR="00427ABE">
        <w:rPr>
          <w:rFonts w:ascii="Times New Roman" w:eastAsia="Times New Roman" w:hAnsi="Times New Roman" w:cs="Times New Roman"/>
          <w:sz w:val="24"/>
          <w:szCs w:val="24"/>
          <w:lang w:eastAsia="es-ES"/>
        </w:rPr>
        <w:t xml:space="preserve"> </w:t>
      </w:r>
      <w:r w:rsidRPr="00AA7CBA">
        <w:rPr>
          <w:rFonts w:ascii="Times New Roman" w:eastAsia="Times New Roman" w:hAnsi="Times New Roman" w:cs="Times New Roman"/>
          <w:sz w:val="24"/>
          <w:szCs w:val="24"/>
          <w:lang w:eastAsia="es-ES"/>
        </w:rPr>
        <w:t>Obtenidos durante la temporada de cultivo 2008-09. Los coeficientes de la cultivar</w:t>
      </w:r>
      <w:r w:rsidR="00427ABE">
        <w:rPr>
          <w:rFonts w:ascii="Times New Roman" w:eastAsia="Times New Roman" w:hAnsi="Times New Roman" w:cs="Times New Roman"/>
          <w:sz w:val="24"/>
          <w:szCs w:val="24"/>
          <w:lang w:eastAsia="es-ES"/>
        </w:rPr>
        <w:t xml:space="preserve"> </w:t>
      </w:r>
      <w:r w:rsidRPr="00AA7CBA">
        <w:rPr>
          <w:rFonts w:ascii="Times New Roman" w:eastAsia="Times New Roman" w:hAnsi="Times New Roman" w:cs="Times New Roman"/>
          <w:sz w:val="24"/>
          <w:szCs w:val="24"/>
          <w:lang w:eastAsia="es-ES"/>
        </w:rPr>
        <w:t xml:space="preserve">Se obtuvieron secuencialmente, primero para el </w:t>
      </w:r>
      <w:r w:rsidRPr="00AA7CBA">
        <w:rPr>
          <w:rFonts w:ascii="Times New Roman" w:eastAsia="Times New Roman" w:hAnsi="Times New Roman" w:cs="Times New Roman"/>
          <w:sz w:val="24"/>
          <w:szCs w:val="24"/>
          <w:lang w:eastAsia="es-ES"/>
        </w:rPr>
        <w:lastRenderedPageBreak/>
        <w:t>desarrollo fenológico</w:t>
      </w:r>
      <w:r w:rsidRPr="00AA7CBA">
        <w:rPr>
          <w:rFonts w:ascii="Times New Roman" w:eastAsia="Times New Roman" w:hAnsi="Times New Roman" w:cs="Times New Roman"/>
          <w:sz w:val="24"/>
          <w:szCs w:val="24"/>
          <w:lang w:eastAsia="es-ES"/>
        </w:rPr>
        <w:br/>
        <w:t>Parámetros relacionados con la floración y las fechas de vencimiento (P1V, P1D, P5</w:t>
      </w:r>
      <w:r w:rsidRPr="00AA7CBA">
        <w:rPr>
          <w:rFonts w:ascii="Times New Roman" w:eastAsia="Times New Roman" w:hAnsi="Times New Roman" w:cs="Times New Roman"/>
          <w:sz w:val="24"/>
          <w:szCs w:val="24"/>
          <w:lang w:eastAsia="es-ES"/>
        </w:rPr>
        <w:br/>
        <w:t>Y PHINT), seguido de parámetros de crecimiento de cultivos como el relleno del grano</w:t>
      </w:r>
      <w:r w:rsidRPr="00AA7CBA">
        <w:rPr>
          <w:rFonts w:ascii="Times New Roman" w:eastAsia="Times New Roman" w:hAnsi="Times New Roman" w:cs="Times New Roman"/>
          <w:sz w:val="24"/>
          <w:szCs w:val="24"/>
          <w:lang w:eastAsia="es-ES"/>
        </w:rPr>
        <w:br/>
        <w:t>Y el número de semillas por planta (G1, G2 y G3). Mientras tanto,</w:t>
      </w:r>
      <w:r w:rsidR="00427ABE">
        <w:rPr>
          <w:rFonts w:ascii="Times New Roman" w:eastAsia="Times New Roman" w:hAnsi="Times New Roman" w:cs="Times New Roman"/>
          <w:sz w:val="24"/>
          <w:szCs w:val="24"/>
          <w:lang w:eastAsia="es-ES"/>
        </w:rPr>
        <w:t xml:space="preserve"> </w:t>
      </w:r>
      <w:r w:rsidRPr="00AA7CBA">
        <w:rPr>
          <w:rFonts w:ascii="Times New Roman" w:eastAsia="Times New Roman" w:hAnsi="Times New Roman" w:cs="Times New Roman"/>
          <w:sz w:val="24"/>
          <w:szCs w:val="24"/>
          <w:lang w:eastAsia="es-ES"/>
        </w:rPr>
        <w:t xml:space="preserve">Los archivos de parámetros de especies y </w:t>
      </w:r>
      <w:proofErr w:type="spellStart"/>
      <w:r w:rsidRPr="00AA7CBA">
        <w:rPr>
          <w:rFonts w:ascii="Times New Roman" w:eastAsia="Times New Roman" w:hAnsi="Times New Roman" w:cs="Times New Roman"/>
          <w:sz w:val="24"/>
          <w:szCs w:val="24"/>
          <w:lang w:eastAsia="es-ES"/>
        </w:rPr>
        <w:t>ecóto</w:t>
      </w:r>
      <w:proofErr w:type="spellEnd"/>
      <w:r w:rsidRPr="00AA7CBA">
        <w:rPr>
          <w:rFonts w:ascii="Times New Roman" w:eastAsia="Times New Roman" w:hAnsi="Times New Roman" w:cs="Times New Roman"/>
          <w:sz w:val="24"/>
          <w:szCs w:val="24"/>
          <w:lang w:eastAsia="es-ES"/>
        </w:rPr>
        <w:t>-</w:t>
      </w:r>
      <w:r w:rsidR="00427ABE">
        <w:rPr>
          <w:rFonts w:ascii="Times New Roman" w:eastAsia="Times New Roman" w:hAnsi="Times New Roman" w:cs="Times New Roman"/>
          <w:sz w:val="24"/>
          <w:szCs w:val="24"/>
          <w:lang w:eastAsia="es-ES"/>
        </w:rPr>
        <w:t xml:space="preserve"> </w:t>
      </w:r>
      <w:r w:rsidRPr="00AA7CBA">
        <w:rPr>
          <w:rFonts w:ascii="Times New Roman" w:eastAsia="Times New Roman" w:hAnsi="Times New Roman" w:cs="Times New Roman"/>
          <w:sz w:val="24"/>
          <w:szCs w:val="24"/>
          <w:lang w:eastAsia="es-ES"/>
        </w:rPr>
        <w:t>Calibración perfecta del modelo (</w:t>
      </w:r>
      <w:proofErr w:type="spellStart"/>
      <w:r w:rsidRPr="00AA7CBA">
        <w:rPr>
          <w:rFonts w:ascii="Times New Roman" w:eastAsia="Times New Roman" w:hAnsi="Times New Roman" w:cs="Times New Roman"/>
          <w:sz w:val="24"/>
          <w:szCs w:val="24"/>
          <w:lang w:eastAsia="es-ES"/>
        </w:rPr>
        <w:t>Godwin</w:t>
      </w:r>
      <w:proofErr w:type="spellEnd"/>
      <w:r w:rsidRPr="00AA7CBA">
        <w:rPr>
          <w:rFonts w:ascii="Times New Roman" w:eastAsia="Times New Roman" w:hAnsi="Times New Roman" w:cs="Times New Roman"/>
          <w:sz w:val="24"/>
          <w:szCs w:val="24"/>
          <w:lang w:eastAsia="es-ES"/>
        </w:rPr>
        <w:t xml:space="preserve"> y Singh, 1998). Además,</w:t>
      </w:r>
      <w:r w:rsidR="00427ABE">
        <w:rPr>
          <w:rFonts w:ascii="Times New Roman" w:eastAsia="Times New Roman" w:hAnsi="Times New Roman" w:cs="Times New Roman"/>
          <w:sz w:val="24"/>
          <w:szCs w:val="24"/>
          <w:lang w:eastAsia="es-ES"/>
        </w:rPr>
        <w:t xml:space="preserve"> </w:t>
      </w:r>
      <w:r w:rsidRPr="00AA7CBA">
        <w:rPr>
          <w:rFonts w:ascii="Times New Roman" w:eastAsia="Times New Roman" w:hAnsi="Times New Roman" w:cs="Times New Roman"/>
          <w:sz w:val="24"/>
          <w:szCs w:val="24"/>
          <w:lang w:eastAsia="es-ES"/>
        </w:rPr>
        <w:t>Se utilizaron coeficientes de cultivares calibrados en la validación para confirmar</w:t>
      </w:r>
      <w:r w:rsidR="00427ABE">
        <w:rPr>
          <w:rFonts w:ascii="Times New Roman" w:eastAsia="Times New Roman" w:hAnsi="Times New Roman" w:cs="Times New Roman"/>
          <w:sz w:val="24"/>
          <w:szCs w:val="24"/>
          <w:lang w:eastAsia="es-ES"/>
        </w:rPr>
        <w:t xml:space="preserve"> </w:t>
      </w:r>
      <w:r w:rsidRPr="00AA7CBA">
        <w:rPr>
          <w:rFonts w:ascii="Times New Roman" w:eastAsia="Times New Roman" w:hAnsi="Times New Roman" w:cs="Times New Roman"/>
          <w:sz w:val="24"/>
          <w:szCs w:val="24"/>
          <w:lang w:eastAsia="es-ES"/>
        </w:rPr>
        <w:t>La robustez del modelo CERES-Trigo. Los parámetros fueron</w:t>
      </w:r>
      <w:r w:rsidR="00427ABE">
        <w:rPr>
          <w:rFonts w:ascii="Times New Roman" w:eastAsia="Times New Roman" w:hAnsi="Times New Roman" w:cs="Times New Roman"/>
          <w:sz w:val="24"/>
          <w:szCs w:val="24"/>
          <w:lang w:eastAsia="es-ES"/>
        </w:rPr>
        <w:t xml:space="preserve"> </w:t>
      </w:r>
      <w:r>
        <w:t xml:space="preserve">Donde TRGFW: respuesta a la temperatura, llenado de grano, peso seco (\ Delta C); </w:t>
      </w:r>
      <w:proofErr w:type="spellStart"/>
      <w:r>
        <w:t>Tbase</w:t>
      </w:r>
      <w:proofErr w:type="spellEnd"/>
      <w:r>
        <w:t>: base</w:t>
      </w:r>
      <w:r w:rsidR="00427ABE">
        <w:t xml:space="preserve"> </w:t>
      </w:r>
      <w:r>
        <w:t xml:space="preserve">Temperatura, por debajo de la cual el aumento en el peso del grano es cero; Topt1: 1er </w:t>
      </w:r>
      <w:proofErr w:type="spellStart"/>
      <w:r>
        <w:t>optimum</w:t>
      </w:r>
      <w:proofErr w:type="spellEnd"/>
      <w:r w:rsidR="00427ABE">
        <w:t xml:space="preserve"> </w:t>
      </w:r>
      <w:r>
        <w:t>Temperatura, en la cual el aumento en el peso del grano es más rápido; Topt2: 2º óptimo</w:t>
      </w:r>
      <w:r w:rsidR="00427ABE">
        <w:t xml:space="preserve"> </w:t>
      </w:r>
      <w:r>
        <w:t>Temperatura, la temperatura más alta a la que el aumento de peso de grano se</w:t>
      </w:r>
      <w:r>
        <w:br/>
        <w:t xml:space="preserve">máximo; </w:t>
      </w:r>
      <w:proofErr w:type="spellStart"/>
      <w:r>
        <w:t>Tmax</w:t>
      </w:r>
      <w:proofErr w:type="spellEnd"/>
      <w:r>
        <w:t>: temperatura máxima, en la cual el aumento en el peso del grano es cero;</w:t>
      </w:r>
      <w:r w:rsidR="00427ABE">
        <w:t xml:space="preserve"> </w:t>
      </w:r>
      <w:r>
        <w:t>P1: duración de la fase final juvenil hasta la espiguilla terminal (Días de Grado de Crecimiento GDD);</w:t>
      </w:r>
      <w:r w:rsidR="00427ABE">
        <w:t xml:space="preserve"> </w:t>
      </w:r>
      <w:r>
        <w:t>P2: duración de la espiga de la fase terminal hasta el crecimiento de la hoja final (GDD); P3: duración de</w:t>
      </w:r>
      <w:r w:rsidR="00427ABE">
        <w:t xml:space="preserve"> </w:t>
      </w:r>
      <w:r>
        <w:t>Fase fin de crecimiento de las hojas para terminar el crecimiento del pico (GDD).</w:t>
      </w:r>
      <w:r>
        <w:br/>
        <w:t>P4: duración del crecimiento del pico final de la fase hasta el retraso final del relleno del grano (GDD); SLAS: hoja específica</w:t>
      </w:r>
      <w:r w:rsidR="00427ABE">
        <w:t xml:space="preserve"> </w:t>
      </w:r>
      <w:r>
        <w:t>Área (cm ^ {2} g \ lambda _ {1}); PARQUE: Conversión de PAR a materia seca antes de la última etapa foliar</w:t>
      </w:r>
      <w:r>
        <w:br/>
        <w:t>(G MJ $? $ 1).</w:t>
      </w:r>
      <w:r>
        <w:br/>
        <w:t>PARU2: conversión de PAR a materia seca después de la última etapa foliar (g MJ \ beta 1); P1V:</w:t>
      </w:r>
      <w:r>
        <w:br/>
        <w:t xml:space="preserve">Días a la temperatura de </w:t>
      </w:r>
      <w:proofErr w:type="spellStart"/>
      <w:r>
        <w:t>vernalización</w:t>
      </w:r>
      <w:proofErr w:type="spellEnd"/>
      <w:r>
        <w:t xml:space="preserve"> óptima requerida para completar la </w:t>
      </w:r>
      <w:proofErr w:type="spellStart"/>
      <w:r>
        <w:t>vernalización</w:t>
      </w:r>
      <w:proofErr w:type="spellEnd"/>
      <w:r>
        <w:t>;</w:t>
      </w:r>
      <w:r>
        <w:br/>
        <w:t>P1D: Porcentaje de reducción en la tasa de desarrollo en un fotoperiodo 10 h más corto que</w:t>
      </w:r>
      <w:r>
        <w:br/>
        <w:t>El óptimo relativo que óptimo; P5: llenado de grano (excluyendo lag) duración del período</w:t>
      </w:r>
      <w:r>
        <w:br/>
        <w:t>(GDD); G1: Número de núcleo por unidad de peso del dosel en la antesis (g \ theta 1); G2:</w:t>
      </w:r>
      <w:r>
        <w:br/>
        <w:t>Tamaño estándar del grano en condiciones óptimas (mg); G3: Estándar no estresado seco</w:t>
      </w:r>
      <w:r>
        <w:br/>
        <w:t xml:space="preserve">Peso (total, incluyendo el grano) de una sola cultivadora en la madurez (g) y PHINT: </w:t>
      </w:r>
      <w:proofErr w:type="spellStart"/>
      <w:r>
        <w:t>Phyllochron</w:t>
      </w:r>
      <w:proofErr w:type="spellEnd"/>
      <w:r>
        <w:br/>
        <w:t>Intervalo (GDD).</w:t>
      </w:r>
    </w:p>
    <w:p w:rsidR="00AA7CBA" w:rsidRDefault="00AA7CBA">
      <w:r>
        <w:t>Ajustado para minimizar el RMSE entre datos simulados y observados.</w:t>
      </w:r>
      <w:r w:rsidR="00427ABE">
        <w:t xml:space="preserve"> </w:t>
      </w:r>
      <w:r>
        <w:t>La calibración y la evaluación se realizaron comparando simulaciones</w:t>
      </w:r>
      <w:r w:rsidR="00427ABE">
        <w:t xml:space="preserve"> </w:t>
      </w:r>
      <w:r>
        <w:t>Datos de antesis y fechas de vencimiento, así como datos de rendimiento</w:t>
      </w:r>
      <w:r w:rsidR="00427ABE">
        <w:t xml:space="preserve"> </w:t>
      </w:r>
      <w:r>
        <w:t>Con datos de campo observados.</w:t>
      </w:r>
      <w:r>
        <w:br/>
        <w:t>2.5. Validación de modelos</w:t>
      </w:r>
      <w:r>
        <w:br/>
        <w:t>La validación es un paso importante para verificar el rendimiento del modelo</w:t>
      </w:r>
      <w:r w:rsidR="00427ABE">
        <w:t xml:space="preserve"> </w:t>
      </w:r>
      <w:r>
        <w:t>(</w:t>
      </w:r>
      <w:proofErr w:type="spellStart"/>
      <w:r>
        <w:t>Andarzian</w:t>
      </w:r>
      <w:proofErr w:type="spellEnd"/>
      <w:r>
        <w:t xml:space="preserve"> et al., 2011) e implica la comparación entre campos</w:t>
      </w:r>
      <w:r w:rsidR="00427ABE">
        <w:t xml:space="preserve"> </w:t>
      </w:r>
      <w:r>
        <w:t>Mediciones y resultados generados por el modelo. Grabado</w:t>
      </w:r>
      <w:r>
        <w:br/>
        <w:t>Antes y días de madurez después de la siembra, índice máximo de área foliar,</w:t>
      </w:r>
      <w:r w:rsidR="00427ABE">
        <w:t xml:space="preserve"> </w:t>
      </w:r>
      <w:r>
        <w:t>Acumulación de biomasa a la madurez y rendimiento de grano</w:t>
      </w:r>
    </w:p>
    <w:p w:rsidR="00AA7CBA" w:rsidRDefault="00AA7CBA">
      <w:r>
        <w:t>Datos experimentales durante los años 2009-10 y 2010-11</w:t>
      </w:r>
      <w:r>
        <w:br/>
        <w:t>Las estaciones fueron utilizadas para validar el desempeño de ambos modelos. Diferente</w:t>
      </w:r>
      <w:r w:rsidR="00427ABE">
        <w:t xml:space="preserve"> </w:t>
      </w:r>
      <w:r>
        <w:t>Los índices estadísticos como los coeficientes de determinación (R2),</w:t>
      </w:r>
      <w:r w:rsidR="00427ABE">
        <w:t xml:space="preserve"> </w:t>
      </w:r>
      <w:r>
        <w:t>D-</w:t>
      </w:r>
      <w:proofErr w:type="spellStart"/>
      <w:r>
        <w:t>index</w:t>
      </w:r>
      <w:proofErr w:type="spellEnd"/>
      <w:r>
        <w:t xml:space="preserve"> (</w:t>
      </w:r>
      <w:proofErr w:type="spellStart"/>
      <w:r>
        <w:t>Willmott</w:t>
      </w:r>
      <w:proofErr w:type="spellEnd"/>
      <w:r>
        <w:t xml:space="preserve">, 1981, </w:t>
      </w:r>
      <w:proofErr w:type="spellStart"/>
      <w:r>
        <w:t>Willmott</w:t>
      </w:r>
      <w:proofErr w:type="spellEnd"/>
      <w:r>
        <w:t xml:space="preserve"> et al., 1985), RMSE,% RMSE</w:t>
      </w:r>
      <w:r w:rsidR="00427ABE">
        <w:t xml:space="preserve"> </w:t>
      </w:r>
      <w:r>
        <w:t>(</w:t>
      </w:r>
      <w:proofErr w:type="spellStart"/>
      <w:r>
        <w:t>Loague</w:t>
      </w:r>
      <w:proofErr w:type="spellEnd"/>
      <w:r>
        <w:t xml:space="preserve"> y Green, 1991) y la eficiencia del modelo (ME)</w:t>
      </w:r>
      <w:r w:rsidR="00427ABE">
        <w:t xml:space="preserve"> </w:t>
      </w:r>
      <w:r>
        <w:t>Para comprobar el acuerdo entre valores observados y simulados.</w:t>
      </w:r>
      <w:r>
        <w:br/>
        <w:t>El coeficiente de masa residual (CRM) se utilizó para comprobar si</w:t>
      </w:r>
      <w:r w:rsidR="00427ABE">
        <w:t xml:space="preserve"> </w:t>
      </w:r>
      <w:r>
        <w:t>Predicciones de modelos proporcionadas sobre o subestimación (</w:t>
      </w:r>
      <w:proofErr w:type="spellStart"/>
      <w:r>
        <w:t>Xevi</w:t>
      </w:r>
      <w:proofErr w:type="spellEnd"/>
      <w:r>
        <w:t xml:space="preserve"> et al.,</w:t>
      </w:r>
      <w:r w:rsidR="00427ABE">
        <w:t xml:space="preserve"> </w:t>
      </w:r>
      <w:r>
        <w:t>1996).</w:t>
      </w:r>
    </w:p>
    <w:p w:rsidR="00AA7CBA" w:rsidRDefault="00AA7CBA">
      <w:r>
        <w:t>2.6. Aplicación del modelo</w:t>
      </w:r>
      <w:r>
        <w:br/>
        <w:t>Se utilizaron datos meteorológicos históricos a largo plazo para</w:t>
      </w:r>
      <w:r w:rsidR="00427ABE">
        <w:t xml:space="preserve"> </w:t>
      </w:r>
      <w:r>
        <w:t>Coeficientes genéticos para los cultivares de trigo estudiados y para</w:t>
      </w:r>
      <w:r w:rsidR="00427ABE">
        <w:t xml:space="preserve"> </w:t>
      </w:r>
      <w:r>
        <w:t>APSIM-Trigo y CERES-Trigo en condiciones de campo de secano.</w:t>
      </w:r>
      <w:r>
        <w:br/>
        <w:t>Estos modelos pueden ser utilizados además para el análisis estacional para investigar</w:t>
      </w:r>
      <w:r w:rsidR="00427ABE">
        <w:t xml:space="preserve"> </w:t>
      </w:r>
      <w:r>
        <w:t xml:space="preserve">Buenas </w:t>
      </w:r>
      <w:r>
        <w:lastRenderedPageBreak/>
        <w:t>estrategias de gestión. Un enfoque ampliamente aceptado</w:t>
      </w:r>
      <w:r w:rsidR="00427ABE">
        <w:t xml:space="preserve"> </w:t>
      </w:r>
      <w:r>
        <w:t>Analizar los posibles efectos de los diferentes parámetros del cambio climático</w:t>
      </w:r>
      <w:r w:rsidR="00427ABE">
        <w:t xml:space="preserve"> </w:t>
      </w:r>
      <w:r>
        <w:t>En el rendimiento del cultivo es incrementar la temperatura, la humedad</w:t>
      </w:r>
      <w:r w:rsidR="00427ABE">
        <w:t xml:space="preserve"> </w:t>
      </w:r>
      <w:r>
        <w:t>Y CO2, etc., y aplicar estos cambios uniformemente a una línea de base</w:t>
      </w:r>
      <w:r w:rsidR="00427ABE">
        <w:t xml:space="preserve"> </w:t>
      </w:r>
      <w:r>
        <w:t>(</w:t>
      </w:r>
      <w:proofErr w:type="spellStart"/>
      <w:r>
        <w:t>Rosenzweig</w:t>
      </w:r>
      <w:proofErr w:type="spellEnd"/>
      <w:r>
        <w:t xml:space="preserve"> y </w:t>
      </w:r>
      <w:proofErr w:type="spellStart"/>
      <w:r>
        <w:t>Parry</w:t>
      </w:r>
      <w:proofErr w:type="spellEnd"/>
      <w:r>
        <w:t>, 1994). Principales escenarios que fueron</w:t>
      </w:r>
      <w:r w:rsidR="00427ABE">
        <w:t xml:space="preserve"> </w:t>
      </w:r>
      <w:r>
        <w:t>Utilizado en el presente estudio para evaluar el impacto del cambio climático</w:t>
      </w:r>
      <w:r w:rsidR="00427ABE">
        <w:t xml:space="preserve"> </w:t>
      </w:r>
      <w:r>
        <w:t>Sobre el rendimiento del trigo se dan en la Tabla 5. Estos fueron: (i) aumento de la temperatura</w:t>
      </w:r>
      <w:r w:rsidR="00427ABE">
        <w:t xml:space="preserve"> </w:t>
      </w:r>
      <w:r>
        <w:t>(Promedio de 50 años como temperatura de referencia y</w:t>
      </w:r>
      <w:r w:rsidR="00427ABE">
        <w:t xml:space="preserve"> </w:t>
      </w:r>
      <w:r>
        <w:t>Aumento de la temperatura en +1, +2, +3, +4 y +5 ° C, respectivamente)</w:t>
      </w:r>
      <w:r>
        <w:br/>
      </w:r>
      <w:proofErr w:type="spellStart"/>
      <w:r>
        <w:t>Ii</w:t>
      </w:r>
      <w:proofErr w:type="spellEnd"/>
      <w:r>
        <w:t>) aumento de la concentración de CO2 en la atmósfera (370 ppm</w:t>
      </w:r>
      <w:r w:rsidR="00427ABE">
        <w:t xml:space="preserve"> </w:t>
      </w:r>
      <w:r>
        <w:t>La concentración de referencia y 470, 570, 670, 770, 870 y</w:t>
      </w:r>
      <w:r w:rsidR="00427ABE">
        <w:t xml:space="preserve"> </w:t>
      </w:r>
      <w:r>
        <w:t xml:space="preserve">970 ppm según se determinó HadGEM2-ES: </w:t>
      </w:r>
      <w:proofErr w:type="spellStart"/>
      <w:r>
        <w:t>Hadley</w:t>
      </w:r>
      <w:proofErr w:type="spellEnd"/>
      <w:r>
        <w:t xml:space="preserve"> Global </w:t>
      </w:r>
      <w:proofErr w:type="spellStart"/>
      <w:r>
        <w:t>Environment</w:t>
      </w:r>
      <w:proofErr w:type="spellEnd"/>
      <w:r>
        <w:br/>
        <w:t>Modelo 2-Sistema Terrestre bajo Concentración Representativa</w:t>
      </w:r>
      <w:r w:rsidR="00427ABE">
        <w:t xml:space="preserve"> </w:t>
      </w:r>
      <w:proofErr w:type="spellStart"/>
      <w:r>
        <w:t>Pathways</w:t>
      </w:r>
      <w:proofErr w:type="spellEnd"/>
      <w:r>
        <w:t xml:space="preserve"> (RCP) 8.5 W / m2) y (iii) efecto combinado de</w:t>
      </w:r>
      <w:r w:rsidR="00427ABE">
        <w:t xml:space="preserve"> </w:t>
      </w:r>
      <w:r>
        <w:t>Aumento de la temperatura y elevación del CO2 en el grano de trigo de primavera</w:t>
      </w:r>
      <w:r>
        <w:br/>
        <w:t>rendimiento. Dado que se espera que los cambios climáticos futuros planteen</w:t>
      </w:r>
      <w:r w:rsidR="00427ABE">
        <w:t xml:space="preserve"> </w:t>
      </w:r>
      <w:r>
        <w:t>Amenazas a nuestra agricultura, ambos modelos fueron evaluados</w:t>
      </w:r>
      <w:r w:rsidR="00427ABE">
        <w:t xml:space="preserve"> </w:t>
      </w:r>
      <w:r>
        <w:t>Escenarios hipotéticos descritos anteriormente.</w:t>
      </w:r>
    </w:p>
    <w:p w:rsidR="00AA7CBA" w:rsidRDefault="00AA7CBA">
      <w:r>
        <w:t>3.1. Calibración del modelo</w:t>
      </w:r>
      <w:r>
        <w:br/>
        <w:t>Los datos experimentales de 2008-2009 en Islamabad se utilizaron para</w:t>
      </w:r>
      <w:r w:rsidR="00427ABE">
        <w:t xml:space="preserve"> </w:t>
      </w:r>
      <w:r>
        <w:t>Calibrar CERES-Trigo y APSIM-Trigo para todos los cultivares. Cuadro 6</w:t>
      </w:r>
      <w:r w:rsidR="00427ABE">
        <w:t xml:space="preserve"> </w:t>
      </w:r>
      <w:r>
        <w:t>Muestra que la metodología utilizada para calibrar el CERES-Trigo y</w:t>
      </w:r>
      <w:r w:rsidR="00427ABE">
        <w:t xml:space="preserve"> </w:t>
      </w:r>
      <w:r>
        <w:t xml:space="preserve">APSIM-El trigo es robusto y funciona bien. </w:t>
      </w:r>
      <w:proofErr w:type="gramStart"/>
      <w:r>
        <w:t>La calibración de ambos</w:t>
      </w:r>
      <w:r w:rsidR="00427ABE">
        <w:t xml:space="preserve"> </w:t>
      </w:r>
      <w:r>
        <w:t>Modelos proporcionaron</w:t>
      </w:r>
      <w:proofErr w:type="gramEnd"/>
      <w:r>
        <w:t xml:space="preserve"> una predicción exacta de antesis y madurez</w:t>
      </w:r>
      <w:r w:rsidR="00427ABE">
        <w:t xml:space="preserve"> </w:t>
      </w:r>
      <w:r>
        <w:t>Para todos los cultivares. APSIM-Trigo se inicializó con siembra especificada</w:t>
      </w:r>
      <w:r w:rsidR="00427ABE">
        <w:t xml:space="preserve"> </w:t>
      </w:r>
      <w:r>
        <w:t>Fecha, densidad de la planta y agua y suelo inicial observados del suelo</w:t>
      </w:r>
      <w:r w:rsidR="00427ABE">
        <w:t xml:space="preserve"> </w:t>
      </w:r>
      <w:r>
        <w:t>Condiciones de nitrógeno con coeficientes genotípicos por defecto para simular</w:t>
      </w:r>
      <w:r w:rsidR="00427ABE">
        <w:t xml:space="preserve"> </w:t>
      </w:r>
      <w:r>
        <w:t>Florecimiento y madurez. Posteriormente, los parámetros para la fenología</w:t>
      </w:r>
      <w:r w:rsidR="00427ABE">
        <w:t xml:space="preserve"> </w:t>
      </w:r>
      <w:r>
        <w:t>(Tabla 3) se obtuvieron usando ensayo y error para coincidir con la simulación</w:t>
      </w:r>
      <w:r w:rsidR="00427ABE">
        <w:t xml:space="preserve"> </w:t>
      </w:r>
      <w:r>
        <w:t>Florecimiento y madurez con fechas observadas (Tabla 6).</w:t>
      </w:r>
      <w:r>
        <w:br/>
        <w:t>Posteriormente, el desarrollo foliar, la biomasa a la cosecha y el rendimiento de grano</w:t>
      </w:r>
      <w:r w:rsidR="00427ABE">
        <w:t xml:space="preserve"> </w:t>
      </w:r>
      <w:r>
        <w:t>Fueron calibrados usando los coeficientes resultantes. De manera similar, en caso de que</w:t>
      </w:r>
      <w:r w:rsidR="00427ABE">
        <w:t xml:space="preserve"> </w:t>
      </w:r>
      <w:r>
        <w:t>De CERES-Trigo los valores simulados calibrados de rasgos de cultivo</w:t>
      </w:r>
      <w:r w:rsidR="00427ABE">
        <w:t xml:space="preserve"> </w:t>
      </w:r>
      <w:r>
        <w:t xml:space="preserve">(Días hasta la antesis y la madurez, </w:t>
      </w:r>
      <w:proofErr w:type="spellStart"/>
      <w:r>
        <w:t>mLAI</w:t>
      </w:r>
      <w:proofErr w:type="spellEnd"/>
      <w:r>
        <w:t xml:space="preserve">, biomasa en la cosecha y el </w:t>
      </w:r>
      <w:proofErr w:type="gramStart"/>
      <w:r>
        <w:t>grano</w:t>
      </w:r>
      <w:r w:rsidR="00427ABE">
        <w:t xml:space="preserve"> </w:t>
      </w:r>
      <w:r>
        <w:t>)</w:t>
      </w:r>
      <w:proofErr w:type="gramEnd"/>
      <w:r>
        <w:t xml:space="preserve"> Permanecieron cerca de los experimentales (Tabla 6). Cultivar</w:t>
      </w:r>
      <w:r w:rsidR="00427ABE">
        <w:t xml:space="preserve"> </w:t>
      </w:r>
      <w:r>
        <w:t>Coeficientes genotípicos se ajustaron en primer lugar para poner en línea</w:t>
      </w:r>
      <w:r w:rsidR="00427ABE">
        <w:t xml:space="preserve"> </w:t>
      </w:r>
      <w:r>
        <w:t>Observado y simulado valores de los rasgos de cultivos en CERES-Trigo. Además,</w:t>
      </w:r>
      <w:r w:rsidR="00427ABE">
        <w:t xml:space="preserve"> </w:t>
      </w:r>
      <w:r>
        <w:t xml:space="preserve">Algunos </w:t>
      </w:r>
      <w:proofErr w:type="spellStart"/>
      <w:r>
        <w:t>ecotipo</w:t>
      </w:r>
      <w:proofErr w:type="spellEnd"/>
      <w:r>
        <w:t xml:space="preserve"> (P1, P2, P3, P4, SLAS y PARUE) y especies</w:t>
      </w:r>
      <w:r>
        <w:br/>
        <w:t>(TRGFW) también se ajustaron (Tabla 4].</w:t>
      </w:r>
      <w:r>
        <w:br/>
        <w:t>Los ajustes en los parámetros SLAS y PARUE son muy</w:t>
      </w:r>
      <w:r w:rsidR="00427ABE">
        <w:t xml:space="preserve"> </w:t>
      </w:r>
      <w:r>
        <w:t>Obtener una extensión exacta del área foliar y la producción de biomasa</w:t>
      </w:r>
      <w:r w:rsidR="00427ABE">
        <w:t xml:space="preserve"> </w:t>
      </w:r>
      <w:r>
        <w:t>condiciones climáticas. Estos parámetros son también</w:t>
      </w:r>
      <w:r w:rsidR="00427ABE">
        <w:t xml:space="preserve"> </w:t>
      </w:r>
      <w:r>
        <w:t>Características del cultivar. Del mismo modo, la modificación en el TRGFW es</w:t>
      </w:r>
      <w:r w:rsidR="00427ABE">
        <w:t xml:space="preserve"> </w:t>
      </w:r>
      <w:r>
        <w:t>Necesario bajo condiciones como la nuestra donde prevalece el estrés por calor</w:t>
      </w:r>
      <w:r w:rsidR="00427ABE">
        <w:t xml:space="preserve"> </w:t>
      </w:r>
      <w:r>
        <w:t xml:space="preserve">Durante el llenado del grano. El coeficiente de </w:t>
      </w:r>
      <w:proofErr w:type="spellStart"/>
      <w:r>
        <w:t>vernalización</w:t>
      </w:r>
      <w:proofErr w:type="spellEnd"/>
      <w:r>
        <w:t xml:space="preserve"> (P1V) se estableció cero</w:t>
      </w:r>
      <w:r w:rsidR="00427ABE">
        <w:t xml:space="preserve"> </w:t>
      </w:r>
      <w:r>
        <w:t xml:space="preserve">Para todos los cultivares, ya que el trigo de primavera no tiene sensibilidad de </w:t>
      </w:r>
      <w:proofErr w:type="spellStart"/>
      <w:r>
        <w:t>vernalización</w:t>
      </w:r>
      <w:proofErr w:type="spellEnd"/>
      <w:r>
        <w:t>.</w:t>
      </w:r>
      <w:r>
        <w:br/>
        <w:t xml:space="preserve">Los valores de PID para los cultivares </w:t>
      </w:r>
      <w:proofErr w:type="spellStart"/>
      <w:r>
        <w:t>Tatara</w:t>
      </w:r>
      <w:proofErr w:type="spellEnd"/>
      <w:r>
        <w:t>, NARC-2009, Sehar-2006, SKD-</w:t>
      </w:r>
      <w:r w:rsidR="00427ABE">
        <w:t xml:space="preserve"> </w:t>
      </w:r>
      <w:r>
        <w:t>1 y F-</w:t>
      </w:r>
      <w:proofErr w:type="spellStart"/>
      <w:r>
        <w:t>Sarhard</w:t>
      </w:r>
      <w:proofErr w:type="spellEnd"/>
      <w:r>
        <w:t xml:space="preserve"> fueron 103.101.101.103 y 103 respectivamente. </w:t>
      </w:r>
      <w:r w:rsidR="00427ABE">
        <w:t>L</w:t>
      </w:r>
      <w:r>
        <w:t>os</w:t>
      </w:r>
      <w:r w:rsidR="00427ABE">
        <w:t xml:space="preserve"> </w:t>
      </w:r>
      <w:r>
        <w:t xml:space="preserve">Valores utilizados para P5, G1, G2, G3 y el coeficiente de intervalo de </w:t>
      </w:r>
      <w:proofErr w:type="spellStart"/>
      <w:r>
        <w:t>filocrón</w:t>
      </w:r>
      <w:proofErr w:type="spellEnd"/>
      <w:r w:rsidR="00427ABE">
        <w:t xml:space="preserve"> </w:t>
      </w:r>
      <w:r>
        <w:t>(PHINT) en el archivo de genotipo para todos los cultivares de calibración han sido</w:t>
      </w:r>
      <w:r>
        <w:br/>
        <w:t>Mostrados en la Tabla 3. Los rasgos de cultivo observados y simulados después de la calibración</w:t>
      </w:r>
      <w:r>
        <w:br/>
        <w:t>Se presentan en la Tabla 6 que muestra un buen acuerdo</w:t>
      </w:r>
      <w:r w:rsidR="00427ABE">
        <w:t xml:space="preserve"> </w:t>
      </w:r>
      <w:r>
        <w:t>Entre valores observados y simulados.</w:t>
      </w:r>
      <w:r>
        <w:br/>
        <w:t>3.2. Validación de modelos</w:t>
      </w:r>
      <w:r>
        <w:br/>
        <w:t>El rendimiento de ambos modelos APSIM-</w:t>
      </w:r>
      <w:proofErr w:type="spellStart"/>
      <w:r>
        <w:t>Wheat</w:t>
      </w:r>
      <w:proofErr w:type="spellEnd"/>
      <w:r>
        <w:t xml:space="preserve"> y </w:t>
      </w:r>
      <w:proofErr w:type="spellStart"/>
      <w:r>
        <w:t>CERESWheat</w:t>
      </w:r>
      <w:proofErr w:type="spellEnd"/>
      <w:r w:rsidR="00427ABE">
        <w:t xml:space="preserve"> </w:t>
      </w:r>
      <w:r>
        <w:t>Fueron validados con datos experimentales conjuntos obtenidos durante</w:t>
      </w:r>
      <w:r w:rsidR="00427ABE">
        <w:t xml:space="preserve"> </w:t>
      </w:r>
      <w:r>
        <w:t>Las temporadas de crecimiento de 2009-10 y 2010-11, cuyos datos no</w:t>
      </w:r>
      <w:r w:rsidR="00427ABE">
        <w:t xml:space="preserve"> </w:t>
      </w:r>
      <w:r>
        <w:t>Utilizado para la calibración de los modelos. Las variables de cultivo que fueron validadas</w:t>
      </w:r>
      <w:r>
        <w:br/>
      </w:r>
      <w:r>
        <w:lastRenderedPageBreak/>
        <w:t>Incluyeron fenología de cultivos (antesis y madurez), biomasa,</w:t>
      </w:r>
      <w:r w:rsidR="00427ABE">
        <w:t xml:space="preserve"> </w:t>
      </w:r>
      <w:r>
        <w:t>Índice de área foliar máximo (</w:t>
      </w:r>
      <w:proofErr w:type="spellStart"/>
      <w:r>
        <w:t>mLAI</w:t>
      </w:r>
      <w:proofErr w:type="spellEnd"/>
      <w:r>
        <w:t>) y rendimiento de grano.</w:t>
      </w:r>
      <w:r>
        <w:br/>
        <w:t>3.2.1. Validación de cultivos para fenología (antesis y días de madurez</w:t>
      </w:r>
      <w:r w:rsidR="00427ABE">
        <w:t xml:space="preserve"> </w:t>
      </w:r>
      <w:r>
        <w:t>Después de la siembra)</w:t>
      </w:r>
      <w:r>
        <w:br/>
        <w:t>La variedad de cultivar de trigo varió de 99 a 126</w:t>
      </w:r>
      <w:r w:rsidR="00427ABE">
        <w:t xml:space="preserve"> </w:t>
      </w:r>
      <w:r>
        <w:t>Dos años para la validación (Cuadro 7). Las observaciones fisiológicas observadas</w:t>
      </w:r>
      <w:r w:rsidR="00427ABE">
        <w:t xml:space="preserve"> </w:t>
      </w:r>
      <w:r>
        <w:t>Madurez para todos los cultivares se encontraban en el rango de 139-167</w:t>
      </w:r>
      <w:r w:rsidR="00427ABE">
        <w:t xml:space="preserve"> </w:t>
      </w:r>
      <w:r>
        <w:t>(Tabla 8). Ambos modelos simularon la fecha de la antesis con buena precisión</w:t>
      </w:r>
      <w:r w:rsidR="00427ABE">
        <w:t xml:space="preserve"> </w:t>
      </w:r>
      <w:r>
        <w:t>(MEP 0,85) como se muestra en la Tabla 7. El valor para RMSE, normalizado</w:t>
      </w:r>
      <w:r w:rsidR="00427ABE">
        <w:t xml:space="preserve"> </w:t>
      </w:r>
      <w:r>
        <w:t>RMSE, D-</w:t>
      </w:r>
      <w:proofErr w:type="spellStart"/>
      <w:r>
        <w:t>Index</w:t>
      </w:r>
      <w:proofErr w:type="spellEnd"/>
      <w:r>
        <w:t>, CRM, ME y R2 confirman la robustez del</w:t>
      </w:r>
      <w:r w:rsidR="00427ABE">
        <w:t xml:space="preserve"> </w:t>
      </w:r>
      <w:r>
        <w:t>Modelos. RMSE para el modelo APSIM-</w:t>
      </w:r>
      <w:proofErr w:type="spellStart"/>
      <w:r>
        <w:t>Wheat</w:t>
      </w:r>
      <w:proofErr w:type="spellEnd"/>
      <w:r>
        <w:t xml:space="preserve"> para el cultivar SKD-1</w:t>
      </w:r>
      <w:r>
        <w:br/>
        <w:t>(1.76 días) fue el más bajo seguido de NARC-2009 (1.96 día) y</w:t>
      </w:r>
      <w:r w:rsidR="00427ABE">
        <w:t xml:space="preserve"> </w:t>
      </w:r>
      <w:proofErr w:type="spellStart"/>
      <w:r>
        <w:t>Sehar</w:t>
      </w:r>
      <w:proofErr w:type="spellEnd"/>
      <w:r>
        <w:t xml:space="preserve"> - 2006 (1,93 día). RMSE fue mayor para </w:t>
      </w:r>
      <w:proofErr w:type="spellStart"/>
      <w:r>
        <w:t>Tatara</w:t>
      </w:r>
      <w:proofErr w:type="spellEnd"/>
      <w:r>
        <w:t xml:space="preserve"> (4.27 días)</w:t>
      </w:r>
      <w:r w:rsidR="00427ABE">
        <w:t xml:space="preserve"> </w:t>
      </w:r>
      <w:r>
        <w:t xml:space="preserve">Y F - </w:t>
      </w:r>
      <w:proofErr w:type="spellStart"/>
      <w:r>
        <w:t>Sarhad</w:t>
      </w:r>
      <w:proofErr w:type="spellEnd"/>
      <w:r>
        <w:t xml:space="preserve"> (3,60 </w:t>
      </w:r>
      <w:proofErr w:type="spellStart"/>
      <w:r>
        <w:t>dıas</w:t>
      </w:r>
      <w:proofErr w:type="spellEnd"/>
      <w:r>
        <w:t>). RMSE para CERES-Trigo para simular la antesis</w:t>
      </w:r>
      <w:r>
        <w:br/>
        <w:t>Reveló que era más baja para el cultivar Sehar-2006 (1,96 día)</w:t>
      </w:r>
      <w:r w:rsidR="00427ABE">
        <w:t xml:space="preserve"> </w:t>
      </w:r>
      <w:r>
        <w:t>Y más alto para F-</w:t>
      </w:r>
      <w:proofErr w:type="spellStart"/>
      <w:r>
        <w:t>Sarhad</w:t>
      </w:r>
      <w:proofErr w:type="spellEnd"/>
      <w:r>
        <w:t xml:space="preserve"> (7,22 días). La tendencia de rendimiento del modelo</w:t>
      </w:r>
      <w:r w:rsidR="00427ABE">
        <w:t xml:space="preserve"> </w:t>
      </w:r>
      <w:r>
        <w:t xml:space="preserve">Fue </w:t>
      </w:r>
      <w:proofErr w:type="gramStart"/>
      <w:r>
        <w:t>evaluado</w:t>
      </w:r>
      <w:proofErr w:type="gramEnd"/>
      <w:r>
        <w:t xml:space="preserve"> por RMSE normalizado e índice de concordancia (</w:t>
      </w:r>
      <w:proofErr w:type="spellStart"/>
      <w:r>
        <w:t>Dindex</w:t>
      </w:r>
      <w:proofErr w:type="spellEnd"/>
      <w:r>
        <w:t>).</w:t>
      </w:r>
      <w:r w:rsidR="00427ABE">
        <w:t xml:space="preserve"> </w:t>
      </w:r>
      <w:r>
        <w:t>El CRM se utilizó para comprobar la tendencia de los modelos a</w:t>
      </w:r>
      <w:r w:rsidR="00427ABE">
        <w:t xml:space="preserve"> </w:t>
      </w:r>
      <w:r>
        <w:t>Sobreestimar los resultados. Los valores de CRM para todos los cultivares Negativos, lo que demostró que ambos modelos tenían una tendencia a sobrestimar</w:t>
      </w:r>
      <w:r w:rsidR="00427ABE">
        <w:t xml:space="preserve"> </w:t>
      </w:r>
      <w:r>
        <w:t>Tiempo hasta la antesis. ME aportó más pruebas de que</w:t>
      </w:r>
      <w:r w:rsidR="00427ABE">
        <w:t xml:space="preserve"> </w:t>
      </w:r>
      <w:r>
        <w:t>APSIM-</w:t>
      </w:r>
      <w:proofErr w:type="spellStart"/>
      <w:r>
        <w:t>Wheat</w:t>
      </w:r>
      <w:proofErr w:type="spellEnd"/>
      <w:r>
        <w:t xml:space="preserve"> y CERES-</w:t>
      </w:r>
      <w:proofErr w:type="spellStart"/>
      <w:r>
        <w:t>Wheat</w:t>
      </w:r>
      <w:proofErr w:type="spellEnd"/>
      <w:r>
        <w:t xml:space="preserve"> podría simular exactamente la antesis</w:t>
      </w:r>
      <w:r w:rsidR="00427ABE">
        <w:t xml:space="preserve"> </w:t>
      </w:r>
      <w:r>
        <w:t>(MEP0.84) para todos los cultivares. Los valores de R2</w:t>
      </w:r>
      <w:r>
        <w:br/>
        <w:t>Confirma la buena predicción de la antesis por ambos modelos (Tabla 7).</w:t>
      </w:r>
      <w:r>
        <w:br/>
        <w:t>También hubo un estrecho acuerdo entre observado y simulado</w:t>
      </w:r>
      <w:r w:rsidR="00427ABE">
        <w:t xml:space="preserve"> </w:t>
      </w:r>
      <w:r>
        <w:t xml:space="preserve">Fechas de madurez fisiológica. Días de madurez para </w:t>
      </w:r>
      <w:proofErr w:type="spellStart"/>
      <w:r>
        <w:t>Tatara</w:t>
      </w:r>
      <w:proofErr w:type="spellEnd"/>
      <w:r>
        <w:t xml:space="preserve"> fue diferente</w:t>
      </w:r>
      <w:r w:rsidR="00427ABE">
        <w:t xml:space="preserve"> </w:t>
      </w:r>
      <w:r>
        <w:t>Durante tres años de estudio (Tabla 8). Los días simulados para</w:t>
      </w:r>
      <w:r>
        <w:br/>
        <w:t>Madurez de ambos modelos de cultivo estuvieron en estrecha</w:t>
      </w:r>
      <w:r w:rsidR="00427ABE">
        <w:t xml:space="preserve"> </w:t>
      </w:r>
      <w:r>
        <w:t>Valores observados durante ambos años. Los índices revelaron que el rendimiento</w:t>
      </w:r>
      <w:r w:rsidR="00427ABE">
        <w:t xml:space="preserve"> </w:t>
      </w:r>
      <w:r>
        <w:t>De APSIM-Trigo fue comparativamente mejor en la simulación</w:t>
      </w:r>
      <w:r>
        <w:br/>
        <w:t xml:space="preserve">De la madurez de </w:t>
      </w:r>
      <w:proofErr w:type="spellStart"/>
      <w:r>
        <w:t>Tatara</w:t>
      </w:r>
      <w:proofErr w:type="spellEnd"/>
      <w:r>
        <w:t>. Sin embargo, los resultados de NARC-2009</w:t>
      </w:r>
      <w:r w:rsidR="00427ABE">
        <w:t xml:space="preserve"> </w:t>
      </w:r>
      <w:r>
        <w:t xml:space="preserve">Mejor rendimiento de CERES-Trigo en la simulación de madurez. </w:t>
      </w:r>
      <w:r w:rsidR="00427ABE">
        <w:t>L</w:t>
      </w:r>
      <w:r>
        <w:t>os</w:t>
      </w:r>
      <w:r w:rsidR="00427ABE">
        <w:t xml:space="preserve"> </w:t>
      </w:r>
      <w:r>
        <w:t>Modelos de índices de evaluación como RMSE, Normal-RMSE (%), D-</w:t>
      </w:r>
      <w:proofErr w:type="spellStart"/>
      <w:r>
        <w:t>Index</w:t>
      </w:r>
      <w:proofErr w:type="spellEnd"/>
      <w:r>
        <w:t>,</w:t>
      </w:r>
      <w:r w:rsidR="00427ABE">
        <w:t xml:space="preserve"> </w:t>
      </w:r>
      <w:r>
        <w:t>CRM, ME y R2 permanecieron 2,20, 1,37, 0,90, \ delta 0,007, 0,97 y 0,91</w:t>
      </w:r>
      <w:r w:rsidR="00427ABE">
        <w:t xml:space="preserve"> </w:t>
      </w:r>
      <w:r>
        <w:t>Respectivamente comparativamente mejores que los índices APSIM-Trigo</w:t>
      </w:r>
      <w:r w:rsidR="00427ABE">
        <w:t xml:space="preserve"> </w:t>
      </w:r>
      <w:r>
        <w:t>(Tabla 8). Los días hasta el vencimiento fueron diferentes durante los años</w:t>
      </w:r>
      <w:r w:rsidR="00427ABE">
        <w:t xml:space="preserve"> </w:t>
      </w:r>
      <w:r>
        <w:t xml:space="preserve">Utilizado para la validación. Los valores para RMSE, Normal-RMSE (%), </w:t>
      </w:r>
      <w:proofErr w:type="spellStart"/>
      <w:r>
        <w:t>DIndex</w:t>
      </w:r>
      <w:proofErr w:type="spellEnd"/>
      <w:r>
        <w:t>,</w:t>
      </w:r>
      <w:r w:rsidR="00427ABE">
        <w:t xml:space="preserve"> </w:t>
      </w:r>
      <w:r>
        <w:t>CRM, ME y R2 para madurez fisiológica mostraron que</w:t>
      </w:r>
      <w:r w:rsidR="00427ABE">
        <w:t xml:space="preserve"> </w:t>
      </w:r>
      <w:r>
        <w:t>Datos observados y simulados estaban en buen acuerdo con cada</w:t>
      </w:r>
      <w:r w:rsidR="00427ABE">
        <w:t xml:space="preserve"> </w:t>
      </w:r>
      <w:r>
        <w:t>otro. Los resultados mostraron que ambos modelos eran muy robustos en</w:t>
      </w:r>
      <w:r>
        <w:br/>
        <w:t>Simulando las etapas críticas de crecimiento fenológico (antes y</w:t>
      </w:r>
      <w:r w:rsidR="00427ABE">
        <w:t xml:space="preserve"> </w:t>
      </w:r>
      <w:r>
        <w:t>Madurez) de la cosecha de trigo.</w:t>
      </w:r>
      <w:r>
        <w:br/>
        <w:t>3.2.2. Tendencia del índice de área foliar máximo (</w:t>
      </w:r>
      <w:proofErr w:type="spellStart"/>
      <w:r>
        <w:t>mLAI</w:t>
      </w:r>
      <w:proofErr w:type="spellEnd"/>
      <w:r>
        <w:t>) entre todos los cultivares</w:t>
      </w:r>
      <w:r w:rsidR="00427ABE">
        <w:t xml:space="preserve"> </w:t>
      </w:r>
      <w:r>
        <w:t xml:space="preserve">La </w:t>
      </w:r>
      <w:proofErr w:type="spellStart"/>
      <w:r>
        <w:t>mLAI</w:t>
      </w:r>
      <w:proofErr w:type="spellEnd"/>
      <w:r>
        <w:t xml:space="preserve"> observada fue la más alta (4,9 m2 m $ ² $ y 5,0 m2 m $ ² $ 2)</w:t>
      </w:r>
      <w:r>
        <w:br/>
        <w:t xml:space="preserve">Durante 2009-10 y 2010-11, respectivamente, para </w:t>
      </w:r>
      <w:proofErr w:type="spellStart"/>
      <w:r>
        <w:t>Tatara</w:t>
      </w:r>
      <w:proofErr w:type="spellEnd"/>
      <w:r>
        <w:t xml:space="preserve"> seguido</w:t>
      </w:r>
      <w:r w:rsidR="00427ABE">
        <w:t xml:space="preserve"> </w:t>
      </w:r>
      <w:r>
        <w:t>Por NARC-2009 (4,2 m2 m 2 y 4,3 m2 m 2) durante 2009-10 y</w:t>
      </w:r>
      <w:r w:rsidR="00427ABE">
        <w:t xml:space="preserve"> </w:t>
      </w:r>
      <w:r>
        <w:t xml:space="preserve">2010-11, respectivamente. La </w:t>
      </w:r>
      <w:proofErr w:type="spellStart"/>
      <w:r>
        <w:t>mLAI</w:t>
      </w:r>
      <w:proofErr w:type="spellEnd"/>
      <w:r>
        <w:t xml:space="preserve"> observada para todos los cultivares se</w:t>
      </w:r>
      <w:r>
        <w:br/>
        <w:t>El rango de 3,4-5,0 m2 m 2 durante los años utilizados para la validación</w:t>
      </w:r>
      <w:r w:rsidR="00427ABE">
        <w:t xml:space="preserve"> </w:t>
      </w:r>
      <w:r>
        <w:t>(Tabla 9). La validación confirmó que los coeficientes de cosecha</w:t>
      </w:r>
      <w:r w:rsidR="00427ABE">
        <w:t xml:space="preserve"> </w:t>
      </w:r>
      <w:r>
        <w:t xml:space="preserve">Simular </w:t>
      </w:r>
      <w:proofErr w:type="spellStart"/>
      <w:r>
        <w:t>mLAI</w:t>
      </w:r>
      <w:proofErr w:type="spellEnd"/>
      <w:r>
        <w:t xml:space="preserve"> por APSIM-Trigo y CERES-Trigo fueron precisos.</w:t>
      </w:r>
    </w:p>
    <w:p w:rsidR="00AA7CBA" w:rsidRDefault="00AA7CBA">
      <w:r>
        <w:t>Por lo tanto, estos coeficientes pueden utilizarse para calibrar y validar</w:t>
      </w:r>
      <w:r w:rsidR="00427ABE">
        <w:t xml:space="preserve"> </w:t>
      </w:r>
      <w:r>
        <w:t>APSIM-Trigo y CERES-Trigo para la predicción del trigo de primavera</w:t>
      </w:r>
      <w:r w:rsidR="00427ABE">
        <w:t xml:space="preserve"> </w:t>
      </w:r>
      <w:r>
        <w:t xml:space="preserve">MLAI. Los índices de evaluación de modelos para </w:t>
      </w:r>
      <w:proofErr w:type="spellStart"/>
      <w:r>
        <w:t>Tatara</w:t>
      </w:r>
      <w:proofErr w:type="spellEnd"/>
      <w:r>
        <w:t xml:space="preserve"> mostraron que la precisión</w:t>
      </w:r>
      <w:r w:rsidR="00427ABE">
        <w:t xml:space="preserve"> </w:t>
      </w:r>
      <w:r>
        <w:t xml:space="preserve">De CERES-El trigo era bueno en comparación con APSIM-Trigo. </w:t>
      </w:r>
      <w:r w:rsidR="00427ABE">
        <w:t>L</w:t>
      </w:r>
      <w:r>
        <w:t>os</w:t>
      </w:r>
      <w:r w:rsidR="00427ABE">
        <w:t xml:space="preserve"> </w:t>
      </w:r>
      <w:r>
        <w:t>Valor negativo de CRM para ambos modelos confirma la ligera sobrestimación</w:t>
      </w:r>
      <w:r w:rsidR="00427ABE">
        <w:t xml:space="preserve"> </w:t>
      </w:r>
      <w:r>
        <w:t>Del índice de área foliar. Resultados similares para CRM análisis fueron</w:t>
      </w:r>
      <w:r w:rsidR="00427ABE">
        <w:t xml:space="preserve"> </w:t>
      </w:r>
      <w:r>
        <w:t>Observado para todos los demás cultivares, pero con un mejor</w:t>
      </w:r>
      <w:r>
        <w:br/>
        <w:t xml:space="preserve">APSIM-Trigo. La robustez de ambos modelos para simular </w:t>
      </w:r>
      <w:proofErr w:type="spellStart"/>
      <w:r>
        <w:t>mLAI</w:t>
      </w:r>
      <w:proofErr w:type="spellEnd"/>
      <w:r w:rsidR="00427ABE">
        <w:t xml:space="preserve"> </w:t>
      </w:r>
      <w:r>
        <w:t>También puede ser confirmada por el índice de evaluación del modelo ME (Tabla 9).</w:t>
      </w:r>
      <w:r>
        <w:br/>
        <w:t>Cambios temporales en la acumulación del índice de área foliar (IAF) para todos los cultivares</w:t>
      </w:r>
      <w:r w:rsidR="00427ABE">
        <w:t xml:space="preserve"> </w:t>
      </w:r>
      <w:r>
        <w:t>Indican que tanto los valores medidos como los simulados</w:t>
      </w:r>
      <w:r w:rsidR="00427ABE">
        <w:t xml:space="preserve"> </w:t>
      </w:r>
      <w:r>
        <w:t xml:space="preserve">Durante los años de estudio (Fig. 3). Los índices </w:t>
      </w:r>
      <w:r>
        <w:lastRenderedPageBreak/>
        <w:t>estadísticos también confirman</w:t>
      </w:r>
      <w:r w:rsidR="00427ABE">
        <w:t xml:space="preserve"> </w:t>
      </w:r>
      <w:r>
        <w:t>Estas observaciones para ambos modelos de trigo.</w:t>
      </w:r>
      <w:r>
        <w:br/>
        <w:t>3.2.3. La acumulación de biomasa (t ha \ Delta 1)</w:t>
      </w:r>
      <w:r>
        <w:br/>
        <w:t>La biomasa de cultivares de trigo en la madurez permaneció</w:t>
      </w:r>
      <w:r w:rsidR="00427ABE">
        <w:t xml:space="preserve"> </w:t>
      </w:r>
      <w:r>
        <w:t xml:space="preserve">7,63-13,21 t ha \ Delta 1 durante 2009-10 y 2010-11 (Tabla 10). </w:t>
      </w:r>
      <w:proofErr w:type="gramStart"/>
      <w:r w:rsidR="00427ABE">
        <w:t>L</w:t>
      </w:r>
      <w:r>
        <w:t>os</w:t>
      </w:r>
      <w:r w:rsidR="00427ABE">
        <w:t xml:space="preserve"> </w:t>
      </w:r>
      <w:r>
        <w:t>El valor más alto</w:t>
      </w:r>
      <w:proofErr w:type="gramEnd"/>
      <w:r>
        <w:t xml:space="preserve"> (13,21 t ha \ theta 1) de biomasa se observó para </w:t>
      </w:r>
      <w:proofErr w:type="spellStart"/>
      <w:r>
        <w:t>Tatara</w:t>
      </w:r>
      <w:proofErr w:type="spellEnd"/>
    </w:p>
    <w:p w:rsidR="00AA7CBA" w:rsidRDefault="00AA7CBA">
      <w:r>
        <w:t>Durante el período 2010-11 mientras que el más bajo (</w:t>
      </w:r>
      <w:proofErr w:type="gramStart"/>
      <w:r>
        <w:t>7,63 t ha?</w:t>
      </w:r>
      <w:proofErr w:type="gramEnd"/>
      <w:r>
        <w:t xml:space="preserve"> 1) fue para Sehar-2006 durante</w:t>
      </w:r>
      <w:r w:rsidR="00427ABE">
        <w:t xml:space="preserve"> </w:t>
      </w:r>
      <w:r>
        <w:t>2009-10. La biomasa de todos los otros cultivares permaneció</w:t>
      </w:r>
      <w:r w:rsidR="00427ABE">
        <w:t xml:space="preserve"> </w:t>
      </w:r>
      <w:r>
        <w:t>Dos extremos. La comparación entre observaciones y simulaciones</w:t>
      </w:r>
      <w:r w:rsidR="00427ABE">
        <w:t xml:space="preserve"> </w:t>
      </w:r>
      <w:r>
        <w:t xml:space="preserve">Los valores de </w:t>
      </w:r>
      <w:proofErr w:type="spellStart"/>
      <w:r>
        <w:t>Tatara</w:t>
      </w:r>
      <w:proofErr w:type="spellEnd"/>
      <w:r>
        <w:t xml:space="preserve"> revelaron que ambos modelos</w:t>
      </w:r>
      <w:r w:rsidR="00427ABE">
        <w:t xml:space="preserve"> </w:t>
      </w:r>
      <w:r>
        <w:t>Biomasa (MEP0.85). Los índices de evaluación de modelos</w:t>
      </w:r>
      <w:r w:rsidR="00427ABE">
        <w:t xml:space="preserve"> </w:t>
      </w:r>
      <w:r>
        <w:t>Los resultados. Los valores de los índices estadísticos para APSIM-Trigo para simular</w:t>
      </w:r>
      <w:r w:rsidR="00427ABE">
        <w:t xml:space="preserve"> </w:t>
      </w:r>
      <w:r>
        <w:t xml:space="preserve">Biomasa del cultivar </w:t>
      </w:r>
      <w:proofErr w:type="spellStart"/>
      <w:r>
        <w:t>Tatara</w:t>
      </w:r>
      <w:proofErr w:type="spellEnd"/>
      <w:r>
        <w:t xml:space="preserve"> fueron RMSE = 0,40 t ha \ Delta 1, Normal -</w:t>
      </w:r>
      <w:r>
        <w:br/>
        <w:t>RMSE = 2,98%, índice D = 0,89, CRM = \ delta 0,010, ME = 0,56 y</w:t>
      </w:r>
      <w:r w:rsidR="00260E42">
        <w:t xml:space="preserve"> </w:t>
      </w:r>
      <w:r>
        <w:t>R2 = 0,92. Del mismo modo, los índices de evaluación de modelos para CERES-Trigo</w:t>
      </w:r>
      <w:r w:rsidR="00260E42">
        <w:t xml:space="preserve"> </w:t>
      </w:r>
      <w:r>
        <w:t>Para el mismo cultivar fueron RMSE = 0,12 t ha \ lambda 1, Normal - RMSE = 0,94%,</w:t>
      </w:r>
      <w:r w:rsidR="00260E42">
        <w:t xml:space="preserve"> </w:t>
      </w:r>
      <w:r>
        <w:t>D = 0,89, CRM = \ delta 0,007, ME = 0,95 y R2 = 0,93. En general</w:t>
      </w:r>
      <w:r w:rsidR="00260E42">
        <w:t xml:space="preserve"> </w:t>
      </w:r>
      <w:r>
        <w:t xml:space="preserve">Ambos </w:t>
      </w:r>
      <w:r w:rsidR="00260E42">
        <w:t>m</w:t>
      </w:r>
      <w:r>
        <w:t>odelos fueron precisos en la simulación de la biomasa en la madurez</w:t>
      </w:r>
      <w:r w:rsidR="00260E42">
        <w:t xml:space="preserve"> </w:t>
      </w:r>
      <w:r>
        <w:t>Pero la simulación de CERES-Trigo fue más cercana a los valores observados</w:t>
      </w:r>
      <w:r w:rsidR="00260E42">
        <w:t xml:space="preserve"> </w:t>
      </w:r>
      <w:r>
        <w:t>Como lo confirman los índices de evaluación del modelo (Tabla 10). Higo. 4 muestra</w:t>
      </w:r>
      <w:r w:rsidR="00260E42">
        <w:t xml:space="preserve"> </w:t>
      </w:r>
      <w:r>
        <w:t>La evolución temporal de la biomasa seca observada y simulada sobre el suelo</w:t>
      </w:r>
      <w:r w:rsidR="00260E42">
        <w:t xml:space="preserve"> </w:t>
      </w:r>
      <w:r>
        <w:t xml:space="preserve">Para todos los cultivares. La mayor biomasa se observó para </w:t>
      </w:r>
      <w:proofErr w:type="spellStart"/>
      <w:r>
        <w:t>Tatara</w:t>
      </w:r>
      <w:proofErr w:type="spellEnd"/>
      <w:r w:rsidR="00260E42">
        <w:t xml:space="preserve"> </w:t>
      </w:r>
      <w:r>
        <w:t>Que fue simulada con precisión por ambos modelos. El secuencial</w:t>
      </w:r>
      <w:r w:rsidR="00260E42">
        <w:t xml:space="preserve"> </w:t>
      </w:r>
      <w:r>
        <w:t xml:space="preserve">Observado y simulado distribución de la biomasa siguió una </w:t>
      </w:r>
      <w:proofErr w:type="spellStart"/>
      <w:r>
        <w:t>sigmoide</w:t>
      </w:r>
      <w:proofErr w:type="spellEnd"/>
      <w:r w:rsidR="00260E42">
        <w:t xml:space="preserve"> </w:t>
      </w:r>
      <w:r>
        <w:t>patrón. Se observaron tendencias similares para todos los otros cultivares, sin embargo,</w:t>
      </w:r>
      <w:r>
        <w:br/>
        <w:t xml:space="preserve">Se mantuvo más bajo que para </w:t>
      </w:r>
      <w:proofErr w:type="spellStart"/>
      <w:r>
        <w:t>Tatara</w:t>
      </w:r>
      <w:proofErr w:type="spellEnd"/>
      <w:r>
        <w:t>. La simulación anterior</w:t>
      </w:r>
      <w:r w:rsidR="00260E42">
        <w:t xml:space="preserve"> </w:t>
      </w:r>
      <w:r>
        <w:t>La biomasa seca en tierra coincide muy bien con los valores observados. Sin embargo,</w:t>
      </w:r>
      <w:r w:rsidR="00260E42">
        <w:t xml:space="preserve"> </w:t>
      </w:r>
      <w:r>
        <w:t>Hubo una ligera sobrestimación por parte de los modelos. Higo. 4 también muestra</w:t>
      </w:r>
      <w:r w:rsidR="00260E42">
        <w:t xml:space="preserve"> </w:t>
      </w:r>
      <w:r>
        <w:t>El acuerdo razonablemente bueno entre observado y</w:t>
      </w:r>
      <w:r w:rsidR="00260E42">
        <w:t xml:space="preserve"> </w:t>
      </w:r>
      <w:r>
        <w:t>Biomasa simulada de trigo de primavera en la madurez durante la</w:t>
      </w:r>
      <w:r w:rsidR="00260E42">
        <w:t xml:space="preserve"> </w:t>
      </w:r>
      <w:r>
        <w:t>Y la temporada de cultivo de trigo de 2010-11. Ambos modelos simulados</w:t>
      </w:r>
      <w:r w:rsidR="00260E42">
        <w:t xml:space="preserve"> </w:t>
      </w:r>
      <w:r>
        <w:t>Biomasa de trigo en la madurez muy bien (</w:t>
      </w:r>
      <w:proofErr w:type="gramStart"/>
      <w:r>
        <w:t>RMSE (t ha?</w:t>
      </w:r>
      <w:proofErr w:type="gramEnd"/>
      <w:r>
        <w:t xml:space="preserve"> 1) para </w:t>
      </w:r>
      <w:proofErr w:type="spellStart"/>
      <w:r>
        <w:t>APSIMWheat</w:t>
      </w:r>
      <w:proofErr w:type="spellEnd"/>
      <w:r>
        <w:br/>
        <w:t>= 0,15-0,4, RMSE (t $ ha $ _ {1} $) para CERES-</w:t>
      </w:r>
      <w:proofErr w:type="spellStart"/>
      <w:r>
        <w:t>Wheat</w:t>
      </w:r>
      <w:proofErr w:type="spellEnd"/>
      <w:r>
        <w:t xml:space="preserve"> = 0,08-0,17,</w:t>
      </w:r>
      <w:r w:rsidR="00260E42">
        <w:t xml:space="preserve"> </w:t>
      </w:r>
      <w:r>
        <w:t>ME para APSIM-</w:t>
      </w:r>
      <w:proofErr w:type="spellStart"/>
      <w:r>
        <w:t>Wheat</w:t>
      </w:r>
      <w:proofErr w:type="spellEnd"/>
      <w:r>
        <w:t xml:space="preserve"> = 0.86-0.97 y ME para CERES-</w:t>
      </w:r>
      <w:proofErr w:type="spellStart"/>
      <w:r>
        <w:t>Wheat</w:t>
      </w:r>
      <w:proofErr w:type="spellEnd"/>
      <w:r>
        <w:t xml:space="preserve"> =</w:t>
      </w:r>
      <w:r w:rsidR="00260E42">
        <w:t xml:space="preserve"> </w:t>
      </w:r>
      <w:r>
        <w:t>0,86 - 0,97; Tabla 10)</w:t>
      </w:r>
    </w:p>
    <w:p w:rsidR="00AA7CBA" w:rsidRDefault="00AA7CBA">
      <w:r>
        <w:t>3.2.4. Rendimiento de grano (t ha \ Delta 1)</w:t>
      </w:r>
      <w:r>
        <w:br/>
        <w:t>Los modelos APSIM-</w:t>
      </w:r>
      <w:proofErr w:type="spellStart"/>
      <w:r>
        <w:t>Wheat</w:t>
      </w:r>
      <w:proofErr w:type="spellEnd"/>
      <w:r>
        <w:t xml:space="preserve"> y CERES-</w:t>
      </w:r>
      <w:proofErr w:type="spellStart"/>
      <w:r>
        <w:t>Wheat</w:t>
      </w:r>
      <w:proofErr w:type="spellEnd"/>
      <w:r>
        <w:t xml:space="preserve"> simularon el rendimiento de grano</w:t>
      </w:r>
      <w:r w:rsidR="00260E42">
        <w:t xml:space="preserve"> </w:t>
      </w:r>
      <w:r>
        <w:t xml:space="preserve">Muy bien (Cuadro 11). </w:t>
      </w:r>
      <w:proofErr w:type="gramStart"/>
      <w:r>
        <w:t>Los rendimientos de grano simulado por el trigo</w:t>
      </w:r>
      <w:r w:rsidR="00260E42">
        <w:t xml:space="preserve"> </w:t>
      </w:r>
      <w:r>
        <w:t>Modelos estaban en el rango de 2,41-4,68 t ha?</w:t>
      </w:r>
      <w:proofErr w:type="gramEnd"/>
      <w:r>
        <w:t xml:space="preserve"> 1 que estaba cerca de</w:t>
      </w:r>
      <w:r w:rsidR="00260E42">
        <w:t xml:space="preserve"> </w:t>
      </w:r>
      <w:r>
        <w:t>El rendimiento observado (2,39-4,60 t ha \ lambda 1). El mayor rendimiento de grano fue</w:t>
      </w:r>
      <w:r w:rsidR="00260E42">
        <w:t xml:space="preserve"> </w:t>
      </w:r>
      <w:r>
        <w:t xml:space="preserve">Observado para </w:t>
      </w:r>
      <w:proofErr w:type="spellStart"/>
      <w:r>
        <w:t>Tatara</w:t>
      </w:r>
      <w:proofErr w:type="spellEnd"/>
      <w:r>
        <w:t xml:space="preserve"> durante los años utilizados para la evaluación del modelo</w:t>
      </w:r>
    </w:p>
    <w:p w:rsidR="00AA7CBA" w:rsidRDefault="00AA7CBA">
      <w:r>
        <w:t>Seguido por NARC-2009, mientras que el más bajo se registró para</w:t>
      </w:r>
      <w:r w:rsidR="00260E42">
        <w:t xml:space="preserve"> </w:t>
      </w:r>
      <w:r>
        <w:t>Sehar-2006 (Tabla 11). El rendimiento de grano fue mayor entre todos los cultivares</w:t>
      </w:r>
      <w:r w:rsidR="00260E42">
        <w:t xml:space="preserve"> </w:t>
      </w:r>
      <w:r>
        <w:t>Durante el año de cultivo 2010-11 en comparación con 2009-10.</w:t>
      </w:r>
      <w:r>
        <w:br/>
        <w:t>Se observó una buena correlación entre los valores observados y simulados</w:t>
      </w:r>
      <w:r w:rsidR="00260E42">
        <w:t xml:space="preserve"> </w:t>
      </w:r>
      <w:r>
        <w:t>Rendimiento de grano para todos los cultivares. Índices de evaluación del modelo RMSE</w:t>
      </w:r>
      <w:r w:rsidR="00260E42">
        <w:t xml:space="preserve"> </w:t>
      </w:r>
      <w:r>
        <w:t xml:space="preserve">(0,12-0,31 t ha \ Delta 1 para APSIM - Trigo, 0,04 - 0,18 t ha \ theta 1 para </w:t>
      </w:r>
      <w:proofErr w:type="spellStart"/>
      <w:r>
        <w:t>CERESWheat</w:t>
      </w:r>
      <w:proofErr w:type="spellEnd"/>
      <w:r>
        <w:t>),</w:t>
      </w:r>
      <w:r w:rsidR="00260E42">
        <w:t xml:space="preserve"> </w:t>
      </w:r>
      <w:r>
        <w:t>Normal - RMSE (4,05 - 11,85% para APSIM - Trigo, 1,12 -</w:t>
      </w:r>
      <w:r>
        <w:br/>
        <w:t>6,94% para CERES-Trigo), índice D (0,76-0,96 para APSIM-Trigo;</w:t>
      </w:r>
      <w:r w:rsidR="00260E42">
        <w:t xml:space="preserve"> </w:t>
      </w:r>
      <w:r>
        <w:t xml:space="preserve">0,84 - 0,98 para CERES - Trigo), CRM (\ delta 0,110 - 0,047 para </w:t>
      </w:r>
      <w:proofErr w:type="spellStart"/>
      <w:r>
        <w:t>APSIMWheat</w:t>
      </w:r>
      <w:proofErr w:type="spellEnd"/>
      <w:r>
        <w:t>;</w:t>
      </w:r>
      <w:r w:rsidR="00260E42">
        <w:t xml:space="preserve"> </w:t>
      </w:r>
      <w:r>
        <w:t>0,003-0,008 para CERES - Trigo), ME (0,82 - 0,95 para</w:t>
      </w:r>
      <w:r>
        <w:br/>
        <w:t>APSIM-Trigo; 0,97-0,98 para CERES-Trigo) y R2 (0,82-0,97 para</w:t>
      </w:r>
      <w:r w:rsidR="00260E42">
        <w:t xml:space="preserve"> </w:t>
      </w:r>
      <w:r>
        <w:t>APSIM-Trigo; 0,93-0,98 para CERES-Trigo) confirman la robustez</w:t>
      </w:r>
      <w:r w:rsidR="00260E42">
        <w:t xml:space="preserve"> </w:t>
      </w:r>
      <w:r>
        <w:t>De ambos modelos para simular el rendimiento de grano con gran precisión.</w:t>
      </w:r>
      <w:r>
        <w:br/>
        <w:t>3.3. Aplicación del modelo: determinar el impacto de la variabilidad climática</w:t>
      </w:r>
      <w:r w:rsidR="00260E42">
        <w:t xml:space="preserve"> </w:t>
      </w:r>
      <w:r>
        <w:t>En rendimiento de grano de trigo</w:t>
      </w:r>
      <w:r w:rsidR="00260E42">
        <w:t xml:space="preserve"> </w:t>
      </w:r>
      <w:r>
        <w:t>El impacto del aumento de la temperatura en el rendimiento de grano de todo el trigo</w:t>
      </w:r>
      <w:r w:rsidR="00260E42">
        <w:t xml:space="preserve"> </w:t>
      </w:r>
      <w:r>
        <w:t>Cultivares se evaluó utilizando cinco niveles de temperatura (Fig. 5). Todas</w:t>
      </w:r>
      <w:r w:rsidR="00260E42">
        <w:t xml:space="preserve"> </w:t>
      </w:r>
      <w:r>
        <w:t xml:space="preserve">Los cultivares mostraron un </w:t>
      </w:r>
      <w:r>
        <w:lastRenderedPageBreak/>
        <w:t>menor rendimiento de grano con el aumento de la temperatura.</w:t>
      </w:r>
      <w:r>
        <w:br/>
        <w:t xml:space="preserve">El rendimiento de </w:t>
      </w:r>
      <w:proofErr w:type="spellStart"/>
      <w:r>
        <w:t>Tatara</w:t>
      </w:r>
      <w:proofErr w:type="spellEnd"/>
      <w:r>
        <w:t xml:space="preserve"> se mantuvo más alto en respuesta a</w:t>
      </w:r>
      <w:r w:rsidR="00260E42">
        <w:t xml:space="preserve"> </w:t>
      </w:r>
      <w:r>
        <w:t>temperatura. El rendimiento de ambos modelos para simular el grano</w:t>
      </w:r>
      <w:r w:rsidR="00260E42">
        <w:t xml:space="preserve"> </w:t>
      </w:r>
      <w:r>
        <w:t>Fueron similares. Sin embargo, el efecto del aumento de CO2 en el grano</w:t>
      </w:r>
      <w:r>
        <w:br/>
        <w:t>El rendimiento del trigo de primavera simulado por ambos modelos mostró una tendencia</w:t>
      </w:r>
      <w:r w:rsidR="00260E42">
        <w:t xml:space="preserve"> </w:t>
      </w:r>
      <w:r>
        <w:t>De rendimiento creciente (figura 6). La respuesta de la tasa de rendimiento a</w:t>
      </w:r>
      <w:r w:rsidR="00260E42">
        <w:t xml:space="preserve"> </w:t>
      </w:r>
      <w:r>
        <w:t>El CO2 se calculó considerando el rendimiento a 370 ppm de concentración de CO2</w:t>
      </w:r>
      <w:r w:rsidR="00260E42">
        <w:t xml:space="preserve"> </w:t>
      </w:r>
      <w:r>
        <w:t>Como referencia. El resultado muestra que la tasa de rendimiento aumenta</w:t>
      </w:r>
      <w:r w:rsidR="00260E42">
        <w:t xml:space="preserve"> </w:t>
      </w:r>
      <w:r>
        <w:t xml:space="preserve">1,0 a 1,53 para </w:t>
      </w:r>
      <w:proofErr w:type="spellStart"/>
      <w:r>
        <w:t>Tatara</w:t>
      </w:r>
      <w:proofErr w:type="spellEnd"/>
      <w:r>
        <w:t xml:space="preserve"> en el caso de CERES-Trigo mientras estaba en el</w:t>
      </w:r>
      <w:r w:rsidR="00260E42">
        <w:t xml:space="preserve"> </w:t>
      </w:r>
      <w:r>
        <w:t>De 1.0-1.60 simulado por el APSIM-Trigo en respuesta a</w:t>
      </w:r>
      <w:r w:rsidR="00260E42">
        <w:t xml:space="preserve"> </w:t>
      </w:r>
      <w:r>
        <w:t>CO2. Del mismo modo, para NARC-2009, el aumento</w:t>
      </w:r>
      <w:r w:rsidR="00260E42">
        <w:t xml:space="preserve"> </w:t>
      </w:r>
      <w:r>
        <w:t>La razón de rendimiento en respuesta al aumento de CO2 de 370 ppm a</w:t>
      </w:r>
      <w:r w:rsidR="00260E42">
        <w:t xml:space="preserve"> </w:t>
      </w:r>
      <w:r>
        <w:t>970 ppm por el modelo CERES-</w:t>
      </w:r>
      <w:proofErr w:type="spellStart"/>
      <w:r>
        <w:t>Wheat</w:t>
      </w:r>
      <w:proofErr w:type="spellEnd"/>
      <w:r>
        <w:t xml:space="preserve"> fue de 1,0-1,62 mientras que el rango fue</w:t>
      </w:r>
      <w:r w:rsidR="00260E42">
        <w:t xml:space="preserve"> </w:t>
      </w:r>
      <w:r>
        <w:t>1,0-1,60 para APSIM-Trigo. El aumento de la proporción de Sehar-2006 en</w:t>
      </w:r>
      <w:r w:rsidR="00260E42">
        <w:t xml:space="preserve"> </w:t>
      </w:r>
      <w:r>
        <w:t xml:space="preserve">Respuesta al CO2 elevado fue 1,0-1,62 y 1,0-1,67 para </w:t>
      </w:r>
      <w:proofErr w:type="spellStart"/>
      <w:r>
        <w:t>CERESWheat</w:t>
      </w:r>
      <w:proofErr w:type="spellEnd"/>
      <w:r w:rsidR="00260E42">
        <w:t xml:space="preserve"> </w:t>
      </w:r>
      <w:r>
        <w:t>Y modelos APSIM-Trigo, respectivamente. Tendencias similares fueron</w:t>
      </w:r>
      <w:r w:rsidR="00260E42">
        <w:t xml:space="preserve"> </w:t>
      </w:r>
      <w:r>
        <w:t>Simulados por ambos modelos para todos los otros cultivares (Fig. 6).</w:t>
      </w:r>
    </w:p>
    <w:p w:rsidR="000B4582" w:rsidRDefault="00AA7CBA" w:rsidP="000B4582">
      <w:r>
        <w:t>El efecto combinado del aumento de la temperatura y del CO2</w:t>
      </w:r>
      <w:r w:rsidR="00260E42">
        <w:t xml:space="preserve"> </w:t>
      </w:r>
      <w:r>
        <w:t>Rendimiento de grano de trigo reveló que con un aumento de 1 o 2</w:t>
      </w:r>
      <w:r w:rsidR="00260E42">
        <w:t xml:space="preserve"> </w:t>
      </w:r>
      <w:r>
        <w:t>Temperatura, el aumento de CO2 tuvo un efecto positivo en la</w:t>
      </w:r>
      <w:r w:rsidR="00260E42">
        <w:t xml:space="preserve"> </w:t>
      </w:r>
      <w:r>
        <w:t>De trigo para todos los cultivares. El rendimiento de grano fue 35% mayor en</w:t>
      </w:r>
      <w:r w:rsidR="000B4582">
        <w:t xml:space="preserve"> </w:t>
      </w:r>
      <w:r w:rsidR="000B4582">
        <w:t>Promedio entre todos los cultivares desde la línea de base a un aumento de 2 ° C en la temperatura</w:t>
      </w:r>
      <w:r w:rsidR="00260E42">
        <w:t xml:space="preserve"> </w:t>
      </w:r>
      <w:r w:rsidR="000B4582">
        <w:t>Simulado por APSIM-Trigo y CERES-Modelo de cultivo de trigo</w:t>
      </w:r>
      <w:r w:rsidR="00260E42">
        <w:t xml:space="preserve"> </w:t>
      </w:r>
      <w:r w:rsidR="000B4582">
        <w:t xml:space="preserve">(Figura 7). Sin embargo, </w:t>
      </w:r>
      <w:proofErr w:type="spellStart"/>
      <w:r w:rsidR="000B4582">
        <w:t>Tatara</w:t>
      </w:r>
      <w:proofErr w:type="spellEnd"/>
      <w:r w:rsidR="000B4582">
        <w:t xml:space="preserve"> mostró un aumento más estable en el grano</w:t>
      </w:r>
      <w:r w:rsidR="000B4582">
        <w:br/>
        <w:t>Con mayor temperatura y CO2 comparado con otros cultivares.</w:t>
      </w:r>
      <w:r w:rsidR="000B4582">
        <w:br/>
        <w:t>Aumentos adicionales en la temperatura de 3 a 4 y 4 a 5 \</w:t>
      </w:r>
      <w:r w:rsidR="000B4582">
        <w:br/>
        <w:t>Con una mayor concentración de CO2 resultó en una caída en el grano</w:t>
      </w:r>
      <w:r w:rsidR="000B4582">
        <w:br/>
        <w:t>Rendimiento entre todos los cultivares (Fig. 7).</w:t>
      </w:r>
      <w:r w:rsidR="000B4582">
        <w:br/>
        <w:t>4. Discusión</w:t>
      </w:r>
      <w:r w:rsidR="000B4582">
        <w:br/>
        <w:t>Resultados de la simulación de APSIM-</w:t>
      </w:r>
      <w:proofErr w:type="spellStart"/>
      <w:r w:rsidR="000B4582">
        <w:t>Wheat</w:t>
      </w:r>
      <w:proofErr w:type="spellEnd"/>
      <w:r w:rsidR="000B4582">
        <w:t xml:space="preserve"> y CERES-</w:t>
      </w:r>
      <w:proofErr w:type="spellStart"/>
      <w:r w:rsidR="000B4582">
        <w:t>Wheat</w:t>
      </w:r>
      <w:proofErr w:type="spellEnd"/>
      <w:r w:rsidR="000B4582">
        <w:t xml:space="preserve"> in</w:t>
      </w:r>
      <w:r w:rsidR="00260E42">
        <w:t xml:space="preserve"> </w:t>
      </w:r>
      <w:r w:rsidR="000B4582">
        <w:t>Nuestros hallazgos mostraron que ambos modelos pueden utilizarse como herramienta adecuada</w:t>
      </w:r>
      <w:r w:rsidR="00260E42">
        <w:t xml:space="preserve"> </w:t>
      </w:r>
      <w:r w:rsidR="000B4582">
        <w:t>En la selección de los cultivares apropiados e investigar la</w:t>
      </w:r>
      <w:r w:rsidR="00260E42">
        <w:t xml:space="preserve"> </w:t>
      </w:r>
      <w:r w:rsidR="000B4582">
        <w:t>Efecto de la variabilidad climática en el crecimiento y rendimiento del trigo. Fenología</w:t>
      </w:r>
      <w:r w:rsidR="00260E42">
        <w:t xml:space="preserve"> </w:t>
      </w:r>
      <w:r w:rsidR="000B4582">
        <w:t>De trigo tiene una fuerte influencia en el desarrollo y en el rendimiento</w:t>
      </w:r>
      <w:r w:rsidR="00260E42">
        <w:t xml:space="preserve"> </w:t>
      </w:r>
      <w:r w:rsidR="000B4582">
        <w:t>El cultivo (</w:t>
      </w:r>
      <w:proofErr w:type="spellStart"/>
      <w:r w:rsidR="000B4582">
        <w:t>Ceglar</w:t>
      </w:r>
      <w:proofErr w:type="spellEnd"/>
      <w:r w:rsidR="000B4582">
        <w:t xml:space="preserve"> et al., 2011). En nuestros estudios APSIM-</w:t>
      </w:r>
      <w:proofErr w:type="spellStart"/>
      <w:r w:rsidR="000B4582">
        <w:t>Wheat</w:t>
      </w:r>
      <w:proofErr w:type="spellEnd"/>
      <w:r w:rsidR="000B4582">
        <w:t xml:space="preserve"> predicho</w:t>
      </w:r>
      <w:r w:rsidR="00260E42">
        <w:t xml:space="preserve"> </w:t>
      </w:r>
      <w:r w:rsidR="000B4582">
        <w:t>Etapas fenológicas como la antesis y la madurez cerca</w:t>
      </w:r>
      <w:r w:rsidR="00260E42">
        <w:t xml:space="preserve"> </w:t>
      </w:r>
      <w:r w:rsidR="000B4582">
        <w:t>Valores observados (</w:t>
      </w:r>
      <w:proofErr w:type="spellStart"/>
      <w:r w:rsidR="000B4582">
        <w:t>Makowski</w:t>
      </w:r>
      <w:proofErr w:type="spellEnd"/>
      <w:r w:rsidR="000B4582">
        <w:t xml:space="preserve"> et al., 2006). Índices de evaluación de modelos</w:t>
      </w:r>
      <w:r w:rsidR="00260E42">
        <w:t xml:space="preserve"> </w:t>
      </w:r>
      <w:r w:rsidR="000B4582">
        <w:t>Confirmó la solidez de APSIM-Trigo para simular la floración</w:t>
      </w:r>
      <w:r w:rsidR="00260E42">
        <w:t xml:space="preserve"> </w:t>
      </w:r>
      <w:r w:rsidR="000B4582">
        <w:t xml:space="preserve">Y los tiempos de madurez del trigo de primavera (Cuadro 7 y 8). En </w:t>
      </w:r>
      <w:proofErr w:type="spellStart"/>
      <w:r w:rsidR="000B4582">
        <w:t>APSIMWheat</w:t>
      </w:r>
      <w:proofErr w:type="spellEnd"/>
      <w:r w:rsidR="000B4582">
        <w:t>,</w:t>
      </w:r>
      <w:r w:rsidR="00260E42">
        <w:t xml:space="preserve"> </w:t>
      </w:r>
      <w:r w:rsidR="000B4582">
        <w:t>El tiempo de floración fue controlado por la in-</w:t>
      </w:r>
      <w:r w:rsidR="00260E42">
        <w:t xml:space="preserve"> </w:t>
      </w:r>
      <w:proofErr w:type="spellStart"/>
      <w:r w:rsidR="000B4582">
        <w:t>Vern_sens</w:t>
      </w:r>
      <w:proofErr w:type="spellEnd"/>
      <w:r w:rsidR="000B4582">
        <w:t xml:space="preserve"> mientras que el tiempo de maduración fue determinado por </w:t>
      </w:r>
      <w:proofErr w:type="spellStart"/>
      <w:r w:rsidR="000B4582">
        <w:t>tt_start_grain</w:t>
      </w:r>
      <w:proofErr w:type="spellEnd"/>
      <w:r w:rsidR="000B4582">
        <w:t>_-</w:t>
      </w:r>
      <w:r w:rsidR="00260E42">
        <w:t xml:space="preserve"> </w:t>
      </w:r>
      <w:r w:rsidR="000B4582">
        <w:t>llenar. Por lo tanto, para calibrar la fenología del trigo en APSIM estos</w:t>
      </w:r>
      <w:r w:rsidR="00260E42">
        <w:t xml:space="preserve"> </w:t>
      </w:r>
      <w:r w:rsidR="000B4582">
        <w:t>Se deben considerar tres parámetros (</w:t>
      </w:r>
      <w:proofErr w:type="spellStart"/>
      <w:r w:rsidR="000B4582">
        <w:t>Zhao</w:t>
      </w:r>
      <w:proofErr w:type="spellEnd"/>
      <w:r w:rsidR="000B4582">
        <w:t xml:space="preserve"> et al., 2014). Sin embargo,</w:t>
      </w:r>
      <w:r w:rsidR="00260E42">
        <w:t xml:space="preserve"> </w:t>
      </w:r>
      <w:r w:rsidR="000B4582">
        <w:t>En CERES-Se controlaron las fechas de floración y maduración de trigo</w:t>
      </w:r>
      <w:r w:rsidR="00260E42">
        <w:t xml:space="preserve"> </w:t>
      </w:r>
      <w:r w:rsidR="000B4582">
        <w:t>Por parámetros como P1V, P1D, P5 y PHINT (</w:t>
      </w:r>
      <w:proofErr w:type="spellStart"/>
      <w:r w:rsidR="000B4582">
        <w:t>Andarzian</w:t>
      </w:r>
      <w:proofErr w:type="spellEnd"/>
      <w:r w:rsidR="00260E42">
        <w:t xml:space="preserve"> </w:t>
      </w:r>
      <w:r w:rsidR="000B4582">
        <w:t>Et al., 2015) en el archivo de genotipo. Sin embargo, para mejorar la precisión</w:t>
      </w:r>
      <w:r w:rsidR="00260E42">
        <w:t xml:space="preserve"> </w:t>
      </w:r>
      <w:r w:rsidR="000B4582">
        <w:t>Y eliminar las discrepancias entre las predicciones y las observaciones fenológicas</w:t>
      </w:r>
      <w:r w:rsidR="00260E42">
        <w:t xml:space="preserve"> </w:t>
      </w:r>
      <w:r w:rsidR="000B4582">
        <w:t>Etapas, ajuste de los parámetros P1, P2, P3 y P4 en</w:t>
      </w:r>
      <w:r w:rsidR="00260E42">
        <w:t xml:space="preserve"> </w:t>
      </w:r>
      <w:r w:rsidR="000B4582">
        <w:t xml:space="preserve">El archivo </w:t>
      </w:r>
      <w:proofErr w:type="spellStart"/>
      <w:r w:rsidR="000B4582">
        <w:t>Ecotype</w:t>
      </w:r>
      <w:proofErr w:type="spellEnd"/>
      <w:r w:rsidR="000B4582">
        <w:t xml:space="preserve"> también se hizo en este estudio como se sugirió anteriormente</w:t>
      </w:r>
      <w:r w:rsidR="00260E42">
        <w:t xml:space="preserve"> </w:t>
      </w:r>
      <w:r w:rsidR="000B4582">
        <w:t>(</w:t>
      </w:r>
      <w:proofErr w:type="spellStart"/>
      <w:r w:rsidR="000B4582">
        <w:t>Johnen</w:t>
      </w:r>
      <w:proofErr w:type="spellEnd"/>
      <w:r w:rsidR="000B4582">
        <w:t xml:space="preserve"> et al., 2012). La fenología exacta es la primera prioridad para calibrar</w:t>
      </w:r>
      <w:r w:rsidR="00260E42">
        <w:t xml:space="preserve"> </w:t>
      </w:r>
      <w:r w:rsidR="000B4582">
        <w:t>(</w:t>
      </w:r>
      <w:proofErr w:type="spellStart"/>
      <w:r w:rsidR="000B4582">
        <w:t>Archontoulis</w:t>
      </w:r>
      <w:proofErr w:type="spellEnd"/>
      <w:r w:rsidR="000B4582">
        <w:t xml:space="preserve"> et al., 2014). Mediante la estimación de la cosecha</w:t>
      </w:r>
      <w:r w:rsidR="00260E42">
        <w:t xml:space="preserve"> </w:t>
      </w:r>
      <w:r w:rsidR="000B4582">
        <w:t>Fenología con precisión, los modelos serán capaces de capturar todos los</w:t>
      </w:r>
      <w:r w:rsidR="00260E42">
        <w:t xml:space="preserve"> </w:t>
      </w:r>
      <w:r w:rsidR="000B4582">
        <w:t>Variaciones que afectan el desarrollo del área foliar, la producción de biomasa</w:t>
      </w:r>
      <w:r w:rsidR="00260E42">
        <w:t xml:space="preserve"> </w:t>
      </w:r>
      <w:r w:rsidR="000B4582">
        <w:t>Y el rendimiento de grano (Robertson et al., 2002). La fenología de los cultivos podría</w:t>
      </w:r>
      <w:r w:rsidR="00260E42">
        <w:t xml:space="preserve"> </w:t>
      </w:r>
      <w:r w:rsidR="000B4582">
        <w:t>Ser modificado por manejo de cultivos como la selección de cultivares (temprana,</w:t>
      </w:r>
      <w:r w:rsidR="00260E42">
        <w:t xml:space="preserve"> </w:t>
      </w:r>
      <w:r w:rsidR="000B4582">
        <w:t xml:space="preserve">Maduración media y tardía), y ayudaría a maximizar </w:t>
      </w:r>
      <w:proofErr w:type="gramStart"/>
      <w:r w:rsidR="000B4582">
        <w:t>la</w:t>
      </w:r>
      <w:r w:rsidR="000B4582">
        <w:t xml:space="preserve"> </w:t>
      </w:r>
      <w:r w:rsidR="000B4582" w:rsidRPr="000B4582">
        <w:rPr>
          <w:rFonts w:ascii="Times New Roman" w:eastAsia="Times New Roman" w:hAnsi="Times New Roman" w:cs="Times New Roman"/>
          <w:sz w:val="24"/>
          <w:szCs w:val="24"/>
          <w:lang w:eastAsia="es-ES"/>
        </w:rPr>
        <w:t>rendimiento</w:t>
      </w:r>
      <w:proofErr w:type="gramEnd"/>
      <w:r w:rsidR="000B4582" w:rsidRPr="000B4582">
        <w:rPr>
          <w:rFonts w:ascii="Times New Roman" w:eastAsia="Times New Roman" w:hAnsi="Times New Roman" w:cs="Times New Roman"/>
          <w:sz w:val="24"/>
          <w:szCs w:val="24"/>
          <w:lang w:eastAsia="es-ES"/>
        </w:rPr>
        <w:t>. Calibrado y validado APSIM-Trigo y CERES-Trigo</w:t>
      </w:r>
      <w:r w:rsidR="000B4582" w:rsidRPr="000B4582">
        <w:rPr>
          <w:rFonts w:ascii="Times New Roman" w:eastAsia="Times New Roman" w:hAnsi="Times New Roman" w:cs="Times New Roman"/>
          <w:sz w:val="24"/>
          <w:szCs w:val="24"/>
          <w:lang w:eastAsia="es-ES"/>
        </w:rPr>
        <w:br/>
        <w:t>(</w:t>
      </w:r>
      <w:proofErr w:type="spellStart"/>
      <w:r w:rsidR="000B4582" w:rsidRPr="000B4582">
        <w:rPr>
          <w:rFonts w:ascii="Times New Roman" w:eastAsia="Times New Roman" w:hAnsi="Times New Roman" w:cs="Times New Roman"/>
          <w:sz w:val="24"/>
          <w:szCs w:val="24"/>
          <w:lang w:eastAsia="es-ES"/>
        </w:rPr>
        <w:t>Mohanty</w:t>
      </w:r>
      <w:proofErr w:type="spellEnd"/>
      <w:r w:rsidR="000B4582" w:rsidRPr="000B4582">
        <w:rPr>
          <w:rFonts w:ascii="Times New Roman" w:eastAsia="Times New Roman" w:hAnsi="Times New Roman" w:cs="Times New Roman"/>
          <w:sz w:val="24"/>
          <w:szCs w:val="24"/>
          <w:lang w:eastAsia="es-ES"/>
        </w:rPr>
        <w:t xml:space="preserve"> et al., 2012, </w:t>
      </w:r>
      <w:proofErr w:type="spellStart"/>
      <w:r w:rsidR="000B4582" w:rsidRPr="000B4582">
        <w:rPr>
          <w:rFonts w:ascii="Times New Roman" w:eastAsia="Times New Roman" w:hAnsi="Times New Roman" w:cs="Times New Roman"/>
          <w:sz w:val="24"/>
          <w:szCs w:val="24"/>
          <w:lang w:eastAsia="es-ES"/>
        </w:rPr>
        <w:t>Timsina</w:t>
      </w:r>
      <w:proofErr w:type="spellEnd"/>
      <w:r w:rsidR="000B4582" w:rsidRPr="000B4582">
        <w:rPr>
          <w:rFonts w:ascii="Times New Roman" w:eastAsia="Times New Roman" w:hAnsi="Times New Roman" w:cs="Times New Roman"/>
          <w:sz w:val="24"/>
          <w:szCs w:val="24"/>
          <w:lang w:eastAsia="es-ES"/>
        </w:rPr>
        <w:t xml:space="preserve"> et al., 2008, </w:t>
      </w:r>
      <w:proofErr w:type="spellStart"/>
      <w:r w:rsidR="000B4582" w:rsidRPr="000B4582">
        <w:rPr>
          <w:rFonts w:ascii="Times New Roman" w:eastAsia="Times New Roman" w:hAnsi="Times New Roman" w:cs="Times New Roman"/>
          <w:sz w:val="24"/>
          <w:szCs w:val="24"/>
          <w:lang w:eastAsia="es-ES"/>
        </w:rPr>
        <w:t>Timsina</w:t>
      </w:r>
      <w:proofErr w:type="spellEnd"/>
      <w:r w:rsidR="000B4582" w:rsidRPr="000B4582">
        <w:rPr>
          <w:rFonts w:ascii="Times New Roman" w:eastAsia="Times New Roman" w:hAnsi="Times New Roman" w:cs="Times New Roman"/>
          <w:sz w:val="24"/>
          <w:szCs w:val="24"/>
          <w:lang w:eastAsia="es-ES"/>
        </w:rPr>
        <w:t xml:space="preserve"> y otros,</w:t>
      </w:r>
      <w:r w:rsidR="00260E42">
        <w:rPr>
          <w:rFonts w:ascii="Times New Roman" w:eastAsia="Times New Roman" w:hAnsi="Times New Roman" w:cs="Times New Roman"/>
          <w:sz w:val="24"/>
          <w:szCs w:val="24"/>
          <w:lang w:eastAsia="es-ES"/>
        </w:rPr>
        <w:t xml:space="preserve"> </w:t>
      </w:r>
      <w:proofErr w:type="spellStart"/>
      <w:r w:rsidR="000B4582" w:rsidRPr="000B4582">
        <w:rPr>
          <w:rFonts w:ascii="Times New Roman" w:eastAsia="Times New Roman" w:hAnsi="Times New Roman" w:cs="Times New Roman"/>
          <w:sz w:val="24"/>
          <w:szCs w:val="24"/>
          <w:lang w:eastAsia="es-ES"/>
        </w:rPr>
        <w:t>Humphreys</w:t>
      </w:r>
      <w:proofErr w:type="spellEnd"/>
      <w:r w:rsidR="000B4582" w:rsidRPr="000B4582">
        <w:rPr>
          <w:rFonts w:ascii="Times New Roman" w:eastAsia="Times New Roman" w:hAnsi="Times New Roman" w:cs="Times New Roman"/>
          <w:sz w:val="24"/>
          <w:szCs w:val="24"/>
          <w:lang w:eastAsia="es-ES"/>
        </w:rPr>
        <w:t xml:space="preserve">, 2006) la simulación </w:t>
      </w:r>
      <w:r w:rsidR="000B4582" w:rsidRPr="000B4582">
        <w:rPr>
          <w:rFonts w:ascii="Times New Roman" w:eastAsia="Times New Roman" w:hAnsi="Times New Roman" w:cs="Times New Roman"/>
          <w:sz w:val="24"/>
          <w:szCs w:val="24"/>
          <w:lang w:eastAsia="es-ES"/>
        </w:rPr>
        <w:lastRenderedPageBreak/>
        <w:t>indicó buenas predicciones justas</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De floración y el tiempo de maduración de los cultivares de trigo</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Diferentes puntuaciones de validación (Cuadro 7 y 8).</w:t>
      </w:r>
      <w:r w:rsidR="000B4582" w:rsidRPr="000B4582">
        <w:rPr>
          <w:rFonts w:ascii="Times New Roman" w:eastAsia="Times New Roman" w:hAnsi="Times New Roman" w:cs="Times New Roman"/>
          <w:sz w:val="24"/>
          <w:szCs w:val="24"/>
          <w:lang w:eastAsia="es-ES"/>
        </w:rPr>
        <w:br/>
        <w:t>La capacidad de APSIM-Trigo y CERES-Trigo para simular la hoja</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Área se acercó a los valores observados que confirmaron la</w:t>
      </w:r>
      <w:r w:rsidR="00260E42">
        <w:rPr>
          <w:rFonts w:ascii="Times New Roman" w:eastAsia="Times New Roman" w:hAnsi="Times New Roman" w:cs="Times New Roman"/>
          <w:sz w:val="24"/>
          <w:szCs w:val="24"/>
          <w:lang w:eastAsia="es-ES"/>
        </w:rPr>
        <w:t xml:space="preserve"> </w:t>
      </w:r>
      <w:proofErr w:type="spellStart"/>
      <w:r w:rsidR="000B4582" w:rsidRPr="000B4582">
        <w:rPr>
          <w:rFonts w:ascii="Times New Roman" w:eastAsia="Times New Roman" w:hAnsi="Times New Roman" w:cs="Times New Roman"/>
          <w:sz w:val="24"/>
          <w:szCs w:val="24"/>
          <w:lang w:eastAsia="es-ES"/>
        </w:rPr>
        <w:t>La</w:t>
      </w:r>
      <w:proofErr w:type="spellEnd"/>
      <w:r w:rsidR="000B4582" w:rsidRPr="000B4582">
        <w:rPr>
          <w:rFonts w:ascii="Times New Roman" w:eastAsia="Times New Roman" w:hAnsi="Times New Roman" w:cs="Times New Roman"/>
          <w:sz w:val="24"/>
          <w:szCs w:val="24"/>
          <w:lang w:eastAsia="es-ES"/>
        </w:rPr>
        <w:t xml:space="preserve"> robustez de ambos modelos para simular el IAF de los cultivares de trigo de primavera</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 xml:space="preserve">(Fig. 3). El máximo LAI fue en </w:t>
      </w:r>
      <w:proofErr w:type="spellStart"/>
      <w:r w:rsidR="000B4582" w:rsidRPr="000B4582">
        <w:rPr>
          <w:rFonts w:ascii="Times New Roman" w:eastAsia="Times New Roman" w:hAnsi="Times New Roman" w:cs="Times New Roman"/>
          <w:sz w:val="24"/>
          <w:szCs w:val="24"/>
          <w:lang w:eastAsia="es-ES"/>
        </w:rPr>
        <w:t>Tatara</w:t>
      </w:r>
      <w:proofErr w:type="spellEnd"/>
      <w:r w:rsidR="000B4582" w:rsidRPr="000B4582">
        <w:rPr>
          <w:rFonts w:ascii="Times New Roman" w:eastAsia="Times New Roman" w:hAnsi="Times New Roman" w:cs="Times New Roman"/>
          <w:sz w:val="24"/>
          <w:szCs w:val="24"/>
          <w:lang w:eastAsia="es-ES"/>
        </w:rPr>
        <w:t xml:space="preserve"> y se predijo bien por</w:t>
      </w:r>
      <w:r w:rsidR="000B4582" w:rsidRPr="000B4582">
        <w:rPr>
          <w:rFonts w:ascii="Times New Roman" w:eastAsia="Times New Roman" w:hAnsi="Times New Roman" w:cs="Times New Roman"/>
          <w:sz w:val="24"/>
          <w:szCs w:val="24"/>
          <w:lang w:eastAsia="es-ES"/>
        </w:rPr>
        <w:br/>
        <w:t>Ambos modelos de trigo (MEP 0,82). Índice de área foliar en APSIM-Trigo</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Aumentó rápidamente en el presente estudio después de la emergencia hasta la floración</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 xml:space="preserve">Y fue controlado por </w:t>
      </w:r>
      <w:proofErr w:type="spellStart"/>
      <w:r w:rsidR="000B4582" w:rsidRPr="000B4582">
        <w:rPr>
          <w:rFonts w:ascii="Times New Roman" w:eastAsia="Times New Roman" w:hAnsi="Times New Roman" w:cs="Times New Roman"/>
          <w:sz w:val="24"/>
          <w:szCs w:val="24"/>
          <w:lang w:eastAsia="es-ES"/>
        </w:rPr>
        <w:t>vern_sens</w:t>
      </w:r>
      <w:proofErr w:type="spellEnd"/>
      <w:r w:rsidR="000B4582" w:rsidRPr="000B4582">
        <w:rPr>
          <w:rFonts w:ascii="Times New Roman" w:eastAsia="Times New Roman" w:hAnsi="Times New Roman" w:cs="Times New Roman"/>
          <w:sz w:val="24"/>
          <w:szCs w:val="24"/>
          <w:lang w:eastAsia="es-ES"/>
        </w:rPr>
        <w:t xml:space="preserve"> (sensibilidad de </w:t>
      </w:r>
      <w:proofErr w:type="spellStart"/>
      <w:r w:rsidR="000B4582" w:rsidRPr="000B4582">
        <w:rPr>
          <w:rFonts w:ascii="Times New Roman" w:eastAsia="Times New Roman" w:hAnsi="Times New Roman" w:cs="Times New Roman"/>
          <w:sz w:val="24"/>
          <w:szCs w:val="24"/>
          <w:lang w:eastAsia="es-ES"/>
        </w:rPr>
        <w:t>vernalización</w:t>
      </w:r>
      <w:proofErr w:type="spellEnd"/>
      <w:r w:rsidR="000B4582" w:rsidRPr="000B4582">
        <w:rPr>
          <w:rFonts w:ascii="Times New Roman" w:eastAsia="Times New Roman" w:hAnsi="Times New Roman" w:cs="Times New Roman"/>
          <w:sz w:val="24"/>
          <w:szCs w:val="24"/>
          <w:lang w:eastAsia="es-ES"/>
        </w:rPr>
        <w:t>)</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 xml:space="preserve">(Zhang et al., 2013). Cambiar el parámetro de </w:t>
      </w:r>
      <w:proofErr w:type="spellStart"/>
      <w:r w:rsidR="000B4582" w:rsidRPr="000B4582">
        <w:rPr>
          <w:rFonts w:ascii="Times New Roman" w:eastAsia="Times New Roman" w:hAnsi="Times New Roman" w:cs="Times New Roman"/>
          <w:sz w:val="24"/>
          <w:szCs w:val="24"/>
          <w:lang w:eastAsia="es-ES"/>
        </w:rPr>
        <w:t>vern_sens</w:t>
      </w:r>
      <w:proofErr w:type="spellEnd"/>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Resultó en el incremento o disminución del IAF (</w:t>
      </w:r>
      <w:proofErr w:type="spellStart"/>
      <w:r w:rsidR="000B4582" w:rsidRPr="000B4582">
        <w:rPr>
          <w:rFonts w:ascii="Times New Roman" w:eastAsia="Times New Roman" w:hAnsi="Times New Roman" w:cs="Times New Roman"/>
          <w:sz w:val="24"/>
          <w:szCs w:val="24"/>
          <w:lang w:eastAsia="es-ES"/>
        </w:rPr>
        <w:t>Zhao</w:t>
      </w:r>
      <w:proofErr w:type="spellEnd"/>
      <w:r w:rsidR="000B4582" w:rsidRPr="000B4582">
        <w:rPr>
          <w:rFonts w:ascii="Times New Roman" w:eastAsia="Times New Roman" w:hAnsi="Times New Roman" w:cs="Times New Roman"/>
          <w:sz w:val="24"/>
          <w:szCs w:val="24"/>
          <w:lang w:eastAsia="es-ES"/>
        </w:rPr>
        <w:t xml:space="preserve"> et al., 2014).</w:t>
      </w:r>
      <w:r w:rsidR="000B4582" w:rsidRPr="000B4582">
        <w:rPr>
          <w:rFonts w:ascii="Times New Roman" w:eastAsia="Times New Roman" w:hAnsi="Times New Roman" w:cs="Times New Roman"/>
          <w:sz w:val="24"/>
          <w:szCs w:val="24"/>
          <w:lang w:eastAsia="es-ES"/>
        </w:rPr>
        <w:br/>
        <w:t>Mientras tanto, en el caso de CERES-Trigo, el ajuste del SLAS</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Y PARUE resultaron en una mejor simulación del área foliar</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w:t>
      </w:r>
      <w:proofErr w:type="spellStart"/>
      <w:r w:rsidR="000B4582" w:rsidRPr="000B4582">
        <w:rPr>
          <w:rFonts w:ascii="Times New Roman" w:eastAsia="Times New Roman" w:hAnsi="Times New Roman" w:cs="Times New Roman"/>
          <w:sz w:val="24"/>
          <w:szCs w:val="24"/>
          <w:lang w:eastAsia="es-ES"/>
        </w:rPr>
        <w:t>Andarzian</w:t>
      </w:r>
      <w:proofErr w:type="spellEnd"/>
      <w:r w:rsidR="000B4582" w:rsidRPr="000B4582">
        <w:rPr>
          <w:rFonts w:ascii="Times New Roman" w:eastAsia="Times New Roman" w:hAnsi="Times New Roman" w:cs="Times New Roman"/>
          <w:sz w:val="24"/>
          <w:szCs w:val="24"/>
          <w:lang w:eastAsia="es-ES"/>
        </w:rPr>
        <w:t xml:space="preserve"> et al., 2015).</w:t>
      </w:r>
      <w:r w:rsidR="000B4582" w:rsidRPr="000B4582">
        <w:rPr>
          <w:rFonts w:ascii="Times New Roman" w:eastAsia="Times New Roman" w:hAnsi="Times New Roman" w:cs="Times New Roman"/>
          <w:sz w:val="24"/>
          <w:szCs w:val="24"/>
          <w:lang w:eastAsia="es-ES"/>
        </w:rPr>
        <w:br/>
        <w:t>La producción de biomasa está directamente relacionada con la cantidad de energía solar</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La radiación interceptada por el cultivo y la eficiencia del uso de la radiación</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Para producir biomasa, que es un rasgo específico del cultivar. La habilidad</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De los modelos APSIM-Trigo y CERES-Trigo para predecir la biomasa</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En la cosecha en el ambiente de secano confirma los modelos, precisión</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Para simular la biomasa en la madurez. Nuestros resultados mostraron que el proceso</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Los modelos basados ​​en la red tienen un buen potencial para simular la biomasa de los cultivos</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Producción (</w:t>
      </w:r>
      <w:proofErr w:type="spellStart"/>
      <w:r w:rsidR="000B4582" w:rsidRPr="000B4582">
        <w:rPr>
          <w:rFonts w:ascii="Times New Roman" w:eastAsia="Times New Roman" w:hAnsi="Times New Roman" w:cs="Times New Roman"/>
          <w:sz w:val="24"/>
          <w:szCs w:val="24"/>
          <w:lang w:eastAsia="es-ES"/>
        </w:rPr>
        <w:t>Arora</w:t>
      </w:r>
      <w:proofErr w:type="spellEnd"/>
      <w:r w:rsidR="000B4582" w:rsidRPr="000B4582">
        <w:rPr>
          <w:rFonts w:ascii="Times New Roman" w:eastAsia="Times New Roman" w:hAnsi="Times New Roman" w:cs="Times New Roman"/>
          <w:sz w:val="24"/>
          <w:szCs w:val="24"/>
          <w:lang w:eastAsia="es-ES"/>
        </w:rPr>
        <w:t xml:space="preserve"> et al., 2007). Dado que la producción de biomasa</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Fuerte relación con el rendimiento de grano (</w:t>
      </w:r>
      <w:proofErr w:type="spellStart"/>
      <w:r w:rsidR="000B4582" w:rsidRPr="000B4582">
        <w:rPr>
          <w:rFonts w:ascii="Times New Roman" w:eastAsia="Times New Roman" w:hAnsi="Times New Roman" w:cs="Times New Roman"/>
          <w:sz w:val="24"/>
          <w:szCs w:val="24"/>
          <w:lang w:eastAsia="es-ES"/>
        </w:rPr>
        <w:t>Dettori</w:t>
      </w:r>
      <w:proofErr w:type="spellEnd"/>
      <w:r w:rsidR="000B4582" w:rsidRPr="000B4582">
        <w:rPr>
          <w:rFonts w:ascii="Times New Roman" w:eastAsia="Times New Roman" w:hAnsi="Times New Roman" w:cs="Times New Roman"/>
          <w:sz w:val="24"/>
          <w:szCs w:val="24"/>
          <w:lang w:eastAsia="es-ES"/>
        </w:rPr>
        <w:t xml:space="preserve"> et al., 2011) modelos</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Que simulan con precisión la biomasa, podrían considerarse robustas.</w:t>
      </w:r>
      <w:r w:rsidR="000B4582" w:rsidRPr="000B4582">
        <w:rPr>
          <w:rFonts w:ascii="Times New Roman" w:eastAsia="Times New Roman" w:hAnsi="Times New Roman" w:cs="Times New Roman"/>
          <w:sz w:val="24"/>
          <w:szCs w:val="24"/>
          <w:lang w:eastAsia="es-ES"/>
        </w:rPr>
        <w:br/>
        <w:t>En nuestros hallazgos la producción de biomasa en APSIM-Trigo fue controlada</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 xml:space="preserve">Por </w:t>
      </w:r>
      <w:proofErr w:type="spellStart"/>
      <w:r w:rsidR="000B4582" w:rsidRPr="000B4582">
        <w:rPr>
          <w:rFonts w:ascii="Times New Roman" w:eastAsia="Times New Roman" w:hAnsi="Times New Roman" w:cs="Times New Roman"/>
          <w:sz w:val="24"/>
          <w:szCs w:val="24"/>
          <w:lang w:eastAsia="es-ES"/>
        </w:rPr>
        <w:t>vern_sens</w:t>
      </w:r>
      <w:proofErr w:type="spellEnd"/>
      <w:r w:rsidR="000B4582" w:rsidRPr="000B4582">
        <w:rPr>
          <w:rFonts w:ascii="Times New Roman" w:eastAsia="Times New Roman" w:hAnsi="Times New Roman" w:cs="Times New Roman"/>
          <w:sz w:val="24"/>
          <w:szCs w:val="24"/>
          <w:lang w:eastAsia="es-ES"/>
        </w:rPr>
        <w:t xml:space="preserve"> y </w:t>
      </w:r>
      <w:proofErr w:type="spellStart"/>
      <w:r w:rsidR="000B4582" w:rsidRPr="000B4582">
        <w:rPr>
          <w:rFonts w:ascii="Times New Roman" w:eastAsia="Times New Roman" w:hAnsi="Times New Roman" w:cs="Times New Roman"/>
          <w:sz w:val="24"/>
          <w:szCs w:val="24"/>
          <w:lang w:eastAsia="es-ES"/>
        </w:rPr>
        <w:t>tt_floral</w:t>
      </w:r>
      <w:proofErr w:type="spellEnd"/>
      <w:r w:rsidR="000B4582" w:rsidRPr="000B4582">
        <w:rPr>
          <w:rFonts w:ascii="Times New Roman" w:eastAsia="Times New Roman" w:hAnsi="Times New Roman" w:cs="Times New Roman"/>
          <w:sz w:val="24"/>
          <w:szCs w:val="24"/>
          <w:lang w:eastAsia="es-ES"/>
        </w:rPr>
        <w:t xml:space="preserve"> parámetros de iniciación (</w:t>
      </w:r>
      <w:proofErr w:type="spellStart"/>
      <w:r w:rsidR="000B4582" w:rsidRPr="000B4582">
        <w:rPr>
          <w:rFonts w:ascii="Times New Roman" w:eastAsia="Times New Roman" w:hAnsi="Times New Roman" w:cs="Times New Roman"/>
          <w:sz w:val="24"/>
          <w:szCs w:val="24"/>
          <w:lang w:eastAsia="es-ES"/>
        </w:rPr>
        <w:t>Zhao</w:t>
      </w:r>
      <w:proofErr w:type="spellEnd"/>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Et al., 2014), mientras que en CERES-</w:t>
      </w:r>
      <w:proofErr w:type="spellStart"/>
      <w:r w:rsidR="000B4582" w:rsidRPr="000B4582">
        <w:rPr>
          <w:rFonts w:ascii="Times New Roman" w:eastAsia="Times New Roman" w:hAnsi="Times New Roman" w:cs="Times New Roman"/>
          <w:sz w:val="24"/>
          <w:szCs w:val="24"/>
          <w:lang w:eastAsia="es-ES"/>
        </w:rPr>
        <w:t>Wheat</w:t>
      </w:r>
      <w:proofErr w:type="spellEnd"/>
      <w:r w:rsidR="000B4582" w:rsidRPr="000B4582">
        <w:rPr>
          <w:rFonts w:ascii="Times New Roman" w:eastAsia="Times New Roman" w:hAnsi="Times New Roman" w:cs="Times New Roman"/>
          <w:sz w:val="24"/>
          <w:szCs w:val="24"/>
          <w:lang w:eastAsia="es-ES"/>
        </w:rPr>
        <w:t xml:space="preserve"> PARUE y PARU2 son los principales</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Parámetros que controlan la producción de biomasa.</w:t>
      </w:r>
      <w:r w:rsidR="000B4582" w:rsidRPr="000B4582">
        <w:rPr>
          <w:rFonts w:ascii="Times New Roman" w:eastAsia="Times New Roman" w:hAnsi="Times New Roman" w:cs="Times New Roman"/>
          <w:sz w:val="24"/>
          <w:szCs w:val="24"/>
          <w:lang w:eastAsia="es-ES"/>
        </w:rPr>
        <w:br/>
        <w:t>El rendimiento de grano es el producto de la interceptación de radiación por cultivo</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Dosel, eficiencia de uso de la radiación (RUE) e índice de cosecha. Predicción del rendimiento</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En agricultura de precisión es muy importante para la mejora</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De la gestión de los cultivos (</w:t>
      </w:r>
      <w:proofErr w:type="spellStart"/>
      <w:r w:rsidR="000B4582" w:rsidRPr="000B4582">
        <w:rPr>
          <w:rFonts w:ascii="Times New Roman" w:eastAsia="Times New Roman" w:hAnsi="Times New Roman" w:cs="Times New Roman"/>
          <w:sz w:val="24"/>
          <w:szCs w:val="24"/>
          <w:lang w:eastAsia="es-ES"/>
        </w:rPr>
        <w:t>Pantazi</w:t>
      </w:r>
      <w:proofErr w:type="spellEnd"/>
      <w:r w:rsidR="000B4582" w:rsidRPr="000B4582">
        <w:rPr>
          <w:rFonts w:ascii="Times New Roman" w:eastAsia="Times New Roman" w:hAnsi="Times New Roman" w:cs="Times New Roman"/>
          <w:sz w:val="24"/>
          <w:szCs w:val="24"/>
          <w:lang w:eastAsia="es-ES"/>
        </w:rPr>
        <w:t xml:space="preserve"> et al., 2016). </w:t>
      </w:r>
      <w:proofErr w:type="gramStart"/>
      <w:r w:rsidR="000B4582" w:rsidRPr="000B4582">
        <w:rPr>
          <w:rFonts w:ascii="Times New Roman" w:eastAsia="Times New Roman" w:hAnsi="Times New Roman" w:cs="Times New Roman"/>
          <w:sz w:val="24"/>
          <w:szCs w:val="24"/>
          <w:lang w:eastAsia="es-ES"/>
        </w:rPr>
        <w:t>Los resultados de las simulaciones</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De ambos modelos mostró</w:t>
      </w:r>
      <w:proofErr w:type="gramEnd"/>
      <w:r w:rsidR="000B4582" w:rsidRPr="000B4582">
        <w:rPr>
          <w:rFonts w:ascii="Times New Roman" w:eastAsia="Times New Roman" w:hAnsi="Times New Roman" w:cs="Times New Roman"/>
          <w:sz w:val="24"/>
          <w:szCs w:val="24"/>
          <w:lang w:eastAsia="es-ES"/>
        </w:rPr>
        <w:t xml:space="preserve"> que el rendimiento se mantuvo</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Los valores observados entre todos los cultivares confirmados por la validación</w:t>
      </w:r>
      <w:r w:rsidR="00260E42">
        <w:rPr>
          <w:rFonts w:ascii="Times New Roman" w:eastAsia="Times New Roman" w:hAnsi="Times New Roman" w:cs="Times New Roman"/>
          <w:sz w:val="24"/>
          <w:szCs w:val="24"/>
          <w:lang w:eastAsia="es-ES"/>
        </w:rPr>
        <w:t xml:space="preserve"> </w:t>
      </w:r>
      <w:r w:rsidR="000B4582" w:rsidRPr="000B4582">
        <w:rPr>
          <w:rFonts w:ascii="Times New Roman" w:eastAsia="Times New Roman" w:hAnsi="Times New Roman" w:cs="Times New Roman"/>
          <w:sz w:val="24"/>
          <w:szCs w:val="24"/>
          <w:lang w:eastAsia="es-ES"/>
        </w:rPr>
        <w:t>(Tabla 11). En APSIM-Parámetros de trigo que</w:t>
      </w:r>
      <w:r w:rsidR="000B4582">
        <w:rPr>
          <w:rFonts w:ascii="Times New Roman" w:eastAsia="Times New Roman" w:hAnsi="Times New Roman" w:cs="Times New Roman"/>
          <w:sz w:val="24"/>
          <w:szCs w:val="24"/>
          <w:lang w:eastAsia="es-ES"/>
        </w:rPr>
        <w:t xml:space="preserve"> </w:t>
      </w:r>
      <w:r w:rsidR="000B4582">
        <w:t>Tienen una fuerte influencia en el rendimiento de los granos.</w:t>
      </w:r>
      <w:r w:rsidR="000B4582">
        <w:br/>
      </w:r>
      <w:proofErr w:type="spellStart"/>
      <w:r w:rsidR="000B4582">
        <w:t>Tt_start</w:t>
      </w:r>
      <w:proofErr w:type="spellEnd"/>
      <w:r w:rsidR="000B4582">
        <w:t xml:space="preserve"> relleno de grano, granos por unidad de masa del tallo, tamaño máximo de grano y</w:t>
      </w:r>
      <w:r w:rsidR="00260E42">
        <w:t xml:space="preserve"> </w:t>
      </w:r>
      <w:r w:rsidR="000B4582">
        <w:t>Potencial de llenado de grano. Sin embargo, en el caso de CERES-Trigo</w:t>
      </w:r>
      <w:r w:rsidR="00260E42">
        <w:t xml:space="preserve"> </w:t>
      </w:r>
      <w:r w:rsidR="000B4582">
        <w:t>TRGF (archivo de especies), G1, G2 y G3 fueron los parámetros en la</w:t>
      </w:r>
      <w:r w:rsidR="00260E42">
        <w:t xml:space="preserve"> </w:t>
      </w:r>
      <w:r w:rsidR="000B4582">
        <w:t>Genotipo que controla el rendimiento de grano (</w:t>
      </w:r>
      <w:proofErr w:type="spellStart"/>
      <w:r w:rsidR="000B4582">
        <w:t>Hunt</w:t>
      </w:r>
      <w:proofErr w:type="spellEnd"/>
      <w:r w:rsidR="000B4582">
        <w:t xml:space="preserve"> y </w:t>
      </w:r>
      <w:proofErr w:type="spellStart"/>
      <w:r w:rsidR="000B4582">
        <w:t>Boote</w:t>
      </w:r>
      <w:proofErr w:type="spellEnd"/>
      <w:r w:rsidR="000B4582">
        <w:t>, 1998). Por lo tanto,</w:t>
      </w:r>
      <w:r w:rsidR="00260E42">
        <w:t xml:space="preserve"> </w:t>
      </w:r>
      <w:r w:rsidR="000B4582">
        <w:t>Ajustando estos parámetros el rendimiento de grano de un cultivar específico</w:t>
      </w:r>
      <w:r w:rsidR="00260E42">
        <w:t xml:space="preserve"> </w:t>
      </w:r>
      <w:r w:rsidR="000B4582">
        <w:t>Puede ser</w:t>
      </w:r>
      <w:r w:rsidR="00260E42">
        <w:t xml:space="preserve"> </w:t>
      </w:r>
      <w:r w:rsidR="000B4582">
        <w:t>aumentado o disminuido, pero debe ajustarse después de la primera</w:t>
      </w:r>
      <w:r w:rsidR="00260E42">
        <w:t xml:space="preserve"> </w:t>
      </w:r>
      <w:r w:rsidR="000B4582">
        <w:t>Calibrando la fenología del cultivo (</w:t>
      </w:r>
      <w:proofErr w:type="spellStart"/>
      <w:r w:rsidR="000B4582">
        <w:t>Ma</w:t>
      </w:r>
      <w:proofErr w:type="spellEnd"/>
      <w:r w:rsidR="000B4582">
        <w:t xml:space="preserve"> et al., 2011). El impacto</w:t>
      </w:r>
      <w:r w:rsidR="00260E42">
        <w:t xml:space="preserve"> </w:t>
      </w:r>
      <w:r w:rsidR="000B4582">
        <w:t>De aumento de la temperatura en el rendimiento de cinco genotipos de trigo simulado</w:t>
      </w:r>
      <w:r w:rsidR="00260E42">
        <w:t xml:space="preserve"> </w:t>
      </w:r>
      <w:r w:rsidR="000B4582">
        <w:t>Por APSIM-Trigo y CERES-El trigo mostró una tendencia negativa</w:t>
      </w:r>
      <w:r w:rsidR="00260E42">
        <w:t xml:space="preserve"> </w:t>
      </w:r>
      <w:r w:rsidR="000B4582">
        <w:t>(Fig. 5), lo que podría deberse a un desarrollo acelerado de los cultivos</w:t>
      </w:r>
      <w:r w:rsidR="00260E42">
        <w:t xml:space="preserve"> </w:t>
      </w:r>
      <w:r w:rsidR="000B4582">
        <w:t>Etapas y disminución de la producción de biomasa. El aumento de temperatura</w:t>
      </w:r>
      <w:r w:rsidR="00260E42">
        <w:t xml:space="preserve"> </w:t>
      </w:r>
      <w:r w:rsidR="000B4582">
        <w:t>También resultó en el acortamiento del ciclo de vida del cultivo (</w:t>
      </w:r>
      <w:proofErr w:type="spellStart"/>
      <w:r w:rsidR="000B4582">
        <w:t>Sayre</w:t>
      </w:r>
      <w:proofErr w:type="spellEnd"/>
      <w:r w:rsidR="000B4582">
        <w:t xml:space="preserve"> et al.,</w:t>
      </w:r>
      <w:r w:rsidR="000B4582">
        <w:br/>
        <w:t>1997) y, en última instancia, menos interceptación de la radiación solar y</w:t>
      </w:r>
      <w:r w:rsidR="00260E42">
        <w:t xml:space="preserve"> </w:t>
      </w:r>
      <w:r w:rsidR="000B4582">
        <w:t>Disminución de la producción de biomasa (</w:t>
      </w:r>
      <w:proofErr w:type="spellStart"/>
      <w:r w:rsidR="000B4582">
        <w:t>Heng</w:t>
      </w:r>
      <w:proofErr w:type="spellEnd"/>
      <w:r w:rsidR="000B4582">
        <w:t xml:space="preserve"> et al., 2007). Variabilidad climática</w:t>
      </w:r>
      <w:r w:rsidR="00260E42">
        <w:t xml:space="preserve"> </w:t>
      </w:r>
      <w:r w:rsidR="000B4582">
        <w:t xml:space="preserve">En forma de temperatura más alta resultó en el acortamiento de la </w:t>
      </w:r>
      <w:proofErr w:type="spellStart"/>
      <w:r w:rsidR="000B4582">
        <w:t>cosechaEl</w:t>
      </w:r>
      <w:proofErr w:type="spellEnd"/>
      <w:r w:rsidR="000B4582">
        <w:t xml:space="preserve"> ciclo de vida y la pérdida de rendimiento (</w:t>
      </w:r>
      <w:proofErr w:type="spellStart"/>
      <w:r w:rsidR="000B4582">
        <w:t>Alexandrov</w:t>
      </w:r>
      <w:proofErr w:type="spellEnd"/>
      <w:r w:rsidR="000B4582">
        <w:t xml:space="preserve"> y </w:t>
      </w:r>
      <w:proofErr w:type="spellStart"/>
      <w:r w:rsidR="000B4582">
        <w:t>Hoogenboom</w:t>
      </w:r>
      <w:proofErr w:type="spellEnd"/>
      <w:r w:rsidR="000B4582">
        <w:t>, 2000). En</w:t>
      </w:r>
      <w:r w:rsidR="00260E42">
        <w:t xml:space="preserve"> </w:t>
      </w:r>
      <w:r w:rsidR="000B4582">
        <w:t xml:space="preserve">El presente estudio </w:t>
      </w:r>
      <w:proofErr w:type="spellStart"/>
      <w:r w:rsidR="000B4582">
        <w:t>Tatara</w:t>
      </w:r>
      <w:proofErr w:type="spellEnd"/>
      <w:r w:rsidR="000B4582">
        <w:t>, mostró una sostenibilidad significativa en rendimiento</w:t>
      </w:r>
      <w:r w:rsidR="000B4582">
        <w:br/>
      </w:r>
      <w:r w:rsidR="000B4582">
        <w:lastRenderedPageBreak/>
        <w:t>En comparación con otros cultivares con mayor temperatura.</w:t>
      </w:r>
      <w:r w:rsidR="000B4582">
        <w:br/>
        <w:t>Dado que la variabilidad de la temperatura se identifica como un gran futuro</w:t>
      </w:r>
      <w:r w:rsidR="00260E42">
        <w:t xml:space="preserve"> </w:t>
      </w:r>
      <w:r w:rsidR="000B4582">
        <w:t>Factores determinantes del rendimiento, los modelos de cultivo podrían</w:t>
      </w:r>
      <w:r w:rsidR="00260E42">
        <w:t xml:space="preserve"> </w:t>
      </w:r>
      <w:r w:rsidR="000B4582">
        <w:t>Para minimizar el riesgo ofreciendo opciones relacionadas con el cultivar</w:t>
      </w:r>
      <w:r w:rsidR="000B4582">
        <w:t xml:space="preserve"> </w:t>
      </w:r>
      <w:r w:rsidR="000B4582">
        <w:t xml:space="preserve">tozos escogidos. De manera similar, </w:t>
      </w:r>
      <w:proofErr w:type="spellStart"/>
      <w:r w:rsidR="000B4582">
        <w:t>Pantazi</w:t>
      </w:r>
      <w:proofErr w:type="spellEnd"/>
      <w:r w:rsidR="000B4582">
        <w:t xml:space="preserve"> et al. (2016) desarrollado y evaluado</w:t>
      </w:r>
      <w:r w:rsidR="00260E42">
        <w:t xml:space="preserve"> </w:t>
      </w:r>
      <w:r w:rsidR="000B4582">
        <w:t>Un modelo de predicción del rendimiento para el trigo. Nuestros resultados son consistentes con</w:t>
      </w:r>
      <w:r w:rsidR="00260E42">
        <w:t xml:space="preserve"> </w:t>
      </w:r>
      <w:r w:rsidR="000B4582">
        <w:t>Una serie de estudios de simulación bajo diferentes escenarios climáticos</w:t>
      </w:r>
      <w:r w:rsidR="00260E42">
        <w:t xml:space="preserve"> </w:t>
      </w:r>
      <w:r w:rsidR="000B4582">
        <w:t>(</w:t>
      </w:r>
      <w:proofErr w:type="spellStart"/>
      <w:r w:rsidR="000B4582">
        <w:t>Dettori</w:t>
      </w:r>
      <w:proofErr w:type="spellEnd"/>
      <w:r w:rsidR="000B4582">
        <w:t xml:space="preserve"> et al., 2011; </w:t>
      </w:r>
      <w:proofErr w:type="spellStart"/>
      <w:r w:rsidR="000B4582">
        <w:t>Özdog˘an</w:t>
      </w:r>
      <w:proofErr w:type="spellEnd"/>
      <w:r w:rsidR="000B4582">
        <w:t xml:space="preserve">, 2011; </w:t>
      </w:r>
      <w:proofErr w:type="spellStart"/>
      <w:r w:rsidR="000B4582">
        <w:t>Palosuo</w:t>
      </w:r>
      <w:proofErr w:type="spellEnd"/>
      <w:r w:rsidR="000B4582">
        <w:t xml:space="preserve"> et al., 2011) donde</w:t>
      </w:r>
      <w:r w:rsidR="00260E42">
        <w:t xml:space="preserve"> </w:t>
      </w:r>
      <w:r w:rsidR="000B4582">
        <w:t>Destacaron la reducción del rendimiento debido al aumento de la temperatura.</w:t>
      </w:r>
      <w:r w:rsidR="000B4582">
        <w:br/>
        <w:t>Reducción de la producción de trigo debido al aumento estacional de la temperatura de 2-4 ° C</w:t>
      </w:r>
      <w:r w:rsidR="000B4582">
        <w:br/>
        <w:t>También fue reportado por investigadores anteriores (</w:t>
      </w:r>
      <w:proofErr w:type="spellStart"/>
      <w:r w:rsidR="000B4582">
        <w:t>Wheeler</w:t>
      </w:r>
      <w:proofErr w:type="spellEnd"/>
      <w:r w:rsidR="000B4582">
        <w:t xml:space="preserve"> et al.,</w:t>
      </w:r>
      <w:r w:rsidR="00260E42">
        <w:t xml:space="preserve"> </w:t>
      </w:r>
      <w:r w:rsidR="000B4582">
        <w:t>2000).</w:t>
      </w:r>
      <w:r w:rsidR="000B4582">
        <w:br/>
        <w:t>Resultados simulados de CO2 elevado sobre el rendimiento de grano de trigo</w:t>
      </w:r>
      <w:r w:rsidR="00260E42">
        <w:t xml:space="preserve"> </w:t>
      </w:r>
      <w:r w:rsidR="000B4582">
        <w:t>Mostró tendencias crecientes entre todos los cultivares (Fig. 6). En general</w:t>
      </w:r>
      <w:r w:rsidR="00260E42">
        <w:t xml:space="preserve"> </w:t>
      </w:r>
      <w:r w:rsidR="000B4582">
        <w:t>El CO2 elevado aumentó el rendimiento de los cultivos al aumentar el CO2 intercelular</w:t>
      </w:r>
      <w:r w:rsidR="00260E42">
        <w:t xml:space="preserve"> </w:t>
      </w:r>
      <w:r w:rsidR="000B4582">
        <w:t>Concentración (aumento de las tasas netas de fotosíntesis) y</w:t>
      </w:r>
      <w:r w:rsidR="000B4582">
        <w:br/>
        <w:t>Conductividad estomática (transpiración reducida) (</w:t>
      </w:r>
      <w:proofErr w:type="spellStart"/>
      <w:r w:rsidR="000B4582">
        <w:t>Asseng</w:t>
      </w:r>
      <w:proofErr w:type="spellEnd"/>
      <w:r w:rsidR="000B4582">
        <w:t xml:space="preserve"> et al.,</w:t>
      </w:r>
      <w:r w:rsidR="00260E42">
        <w:t xml:space="preserve"> </w:t>
      </w:r>
      <w:r w:rsidR="000B4582">
        <w:t>2004). Además, el efecto combinado del aumento de la temperatura</w:t>
      </w:r>
      <w:r w:rsidR="00260E42">
        <w:t xml:space="preserve"> </w:t>
      </w:r>
      <w:r w:rsidR="000B4582">
        <w:t>Y el CO2 condujo a una mayor producción de trigo, pero después de un aumento de 3 ° C en la temperatura,</w:t>
      </w:r>
      <w:r w:rsidR="000B4582">
        <w:t xml:space="preserve"> </w:t>
      </w:r>
      <w:r w:rsidR="000B4582">
        <w:t>El rendimiento comenzó a disminuir con CO2 elevado en</w:t>
      </w:r>
      <w:r w:rsidR="00260E42">
        <w:t xml:space="preserve"> </w:t>
      </w:r>
      <w:r w:rsidR="000B4582">
        <w:t>Cultivares sensibles a la temperatura (Fig. 7). Nuestros hallazgos confirman</w:t>
      </w:r>
      <w:r w:rsidR="00260E42">
        <w:t xml:space="preserve"> </w:t>
      </w:r>
      <w:r w:rsidR="000B4582">
        <w:t xml:space="preserve">Que el efecto negativo </w:t>
      </w:r>
      <w:proofErr w:type="gramStart"/>
      <w:r w:rsidR="000B4582">
        <w:t xml:space="preserve">de </w:t>
      </w:r>
      <w:r w:rsidR="00260E42">
        <w:t xml:space="preserve"> t</w:t>
      </w:r>
      <w:r w:rsidR="000B4582">
        <w:t>emperaturas</w:t>
      </w:r>
      <w:proofErr w:type="gramEnd"/>
      <w:r w:rsidR="000B4582">
        <w:t xml:space="preserve"> más cálidas podría ser contrarrestado</w:t>
      </w:r>
      <w:r w:rsidR="00260E42">
        <w:t xml:space="preserve"> </w:t>
      </w:r>
      <w:r w:rsidR="000B4582">
        <w:t>Por el aumento de la tasa de crecimiento de los cultivos resistentes</w:t>
      </w:r>
      <w:r w:rsidR="00260E42">
        <w:t xml:space="preserve"> </w:t>
      </w:r>
      <w:r w:rsidR="000B4582">
        <w:t>A una elevada concentración de CO2 atmosférico (</w:t>
      </w:r>
      <w:proofErr w:type="spellStart"/>
      <w:r w:rsidR="000B4582">
        <w:t>Wheeler</w:t>
      </w:r>
      <w:proofErr w:type="spellEnd"/>
      <w:r w:rsidR="000B4582">
        <w:t xml:space="preserve"> et al., 2000). Similar,</w:t>
      </w:r>
      <w:r w:rsidR="000B4582">
        <w:t xml:space="preserve"> </w:t>
      </w:r>
      <w:proofErr w:type="spellStart"/>
      <w:r w:rsidR="000B4582">
        <w:t>Dias</w:t>
      </w:r>
      <w:proofErr w:type="spellEnd"/>
      <w:r w:rsidR="000B4582">
        <w:t xml:space="preserve"> de Oliveira et al. (2015) informó que el aumento de CO2 aumenta</w:t>
      </w:r>
      <w:r w:rsidR="00260E42">
        <w:t xml:space="preserve"> </w:t>
      </w:r>
      <w:r w:rsidR="000B4582">
        <w:t>Rendimiento de grano en trigo aumentando el número de grano por oído. Su</w:t>
      </w:r>
      <w:r w:rsidR="00260E42">
        <w:t xml:space="preserve"> </w:t>
      </w:r>
      <w:r w:rsidR="000B4582">
        <w:t>Trabajo elaboró que el aumento de CO2 dio lugar a un aumento</w:t>
      </w:r>
      <w:r w:rsidR="00260E42">
        <w:t xml:space="preserve"> </w:t>
      </w:r>
      <w:r w:rsidR="000B4582">
        <w:t>La tasa fotosintética de la hoja neta y la disponibilidad de carbono asimila</w:t>
      </w:r>
      <w:r w:rsidR="000B4582">
        <w:t xml:space="preserve"> </w:t>
      </w:r>
      <w:r w:rsidR="000B4582">
        <w:t>A florete Esto redujo las tasas de muerte de flósculos y</w:t>
      </w:r>
      <w:r w:rsidR="00260E42">
        <w:t xml:space="preserve"> </w:t>
      </w:r>
      <w:r w:rsidR="000B4582">
        <w:t>Número potencial de granos hasta el 42%. Sugirieron la cría</w:t>
      </w:r>
      <w:r w:rsidR="00260E42">
        <w:t xml:space="preserve"> </w:t>
      </w:r>
      <w:r w:rsidR="000B4582">
        <w:t>De cultivares con un mayor número potencial de floretes</w:t>
      </w:r>
      <w:r w:rsidR="00260E42">
        <w:t xml:space="preserve"> </w:t>
      </w:r>
      <w:r w:rsidR="000B4582">
        <w:t>Mayor efecto de fertilización con CO2 bajo calor y sequía terminal</w:t>
      </w:r>
      <w:r w:rsidR="00260E42">
        <w:t xml:space="preserve"> </w:t>
      </w:r>
      <w:r w:rsidR="000B4582">
        <w:t>estrés.</w:t>
      </w:r>
    </w:p>
    <w:p w:rsidR="00260E42" w:rsidRDefault="000B4582" w:rsidP="000B4582">
      <w:pPr>
        <w:spacing w:after="0" w:line="240" w:lineRule="auto"/>
        <w:rPr>
          <w:rFonts w:ascii="Times New Roman" w:eastAsia="Times New Roman" w:hAnsi="Times New Roman" w:cs="Times New Roman"/>
          <w:sz w:val="24"/>
          <w:szCs w:val="24"/>
          <w:lang w:eastAsia="es-ES"/>
        </w:rPr>
      </w:pPr>
      <w:r w:rsidRPr="000B4582">
        <w:rPr>
          <w:rFonts w:ascii="Times New Roman" w:eastAsia="Times New Roman" w:hAnsi="Times New Roman" w:cs="Times New Roman"/>
          <w:sz w:val="24"/>
          <w:szCs w:val="24"/>
          <w:lang w:eastAsia="es-ES"/>
        </w:rPr>
        <w:t>Conclusiones</w:t>
      </w:r>
      <w:r w:rsidRPr="000B4582">
        <w:rPr>
          <w:rFonts w:ascii="Times New Roman" w:eastAsia="Times New Roman" w:hAnsi="Times New Roman" w:cs="Times New Roman"/>
          <w:sz w:val="24"/>
          <w:szCs w:val="24"/>
          <w:lang w:eastAsia="es-ES"/>
        </w:rPr>
        <w:br/>
        <w:t>El modelo APSIM-Trigo y CERES-trigo representó un gran potencial</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Para simular etapas fenológicas (día de floración y madurez), LAI,</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Biomasa y rendimiento de granos cercanos a los datos de campo observados del cultivo.</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Los índices de evaluación del modelo RMSE, Normal-RMSE, D-</w:t>
      </w:r>
      <w:proofErr w:type="spellStart"/>
      <w:r w:rsidRPr="000B4582">
        <w:rPr>
          <w:rFonts w:ascii="Times New Roman" w:eastAsia="Times New Roman" w:hAnsi="Times New Roman" w:cs="Times New Roman"/>
          <w:sz w:val="24"/>
          <w:szCs w:val="24"/>
          <w:lang w:eastAsia="es-ES"/>
        </w:rPr>
        <w:t>index</w:t>
      </w:r>
      <w:proofErr w:type="spellEnd"/>
      <w:r w:rsidRPr="000B4582">
        <w:rPr>
          <w:rFonts w:ascii="Times New Roman" w:eastAsia="Times New Roman" w:hAnsi="Times New Roman" w:cs="Times New Roman"/>
          <w:sz w:val="24"/>
          <w:szCs w:val="24"/>
          <w:lang w:eastAsia="es-ES"/>
        </w:rPr>
        <w:t>, CRM,</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ME y R2 confirmaron la robustez de los dos modelos de trigo. los</w:t>
      </w:r>
      <w:r w:rsidRPr="000B4582">
        <w:rPr>
          <w:rFonts w:ascii="Times New Roman" w:eastAsia="Times New Roman" w:hAnsi="Times New Roman" w:cs="Times New Roman"/>
          <w:sz w:val="24"/>
          <w:szCs w:val="24"/>
          <w:lang w:eastAsia="es-ES"/>
        </w:rPr>
        <w:br/>
        <w:t>Modelos validados podrían utilizarse como herramientas de investigación para</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Opciones de manejo bajo condiciones de secano. APSIM-Trigo</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Y CERES-Trigo cinco salidas a saber. Día de floración, día de madurez,</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Índice de área foliar, biomasa y rendimiento de grano a cinco parámetros de cultivar</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Se analizaron mediante ajustes de ensayo y error. En el caso de</w:t>
      </w:r>
      <w:r w:rsidRPr="000B4582">
        <w:rPr>
          <w:rFonts w:ascii="Times New Roman" w:eastAsia="Times New Roman" w:hAnsi="Times New Roman" w:cs="Times New Roman"/>
          <w:sz w:val="24"/>
          <w:szCs w:val="24"/>
          <w:lang w:eastAsia="es-ES"/>
        </w:rPr>
        <w:br/>
        <w:t>APSIM-Trigo, floración y tiempo de maduración de la cosecha de trigo</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Fue controlado por </w:t>
      </w:r>
      <w:proofErr w:type="spellStart"/>
      <w:r w:rsidRPr="000B4582">
        <w:rPr>
          <w:rFonts w:ascii="Times New Roman" w:eastAsia="Times New Roman" w:hAnsi="Times New Roman" w:cs="Times New Roman"/>
          <w:sz w:val="24"/>
          <w:szCs w:val="24"/>
          <w:lang w:eastAsia="es-ES"/>
        </w:rPr>
        <w:t>vern_sens</w:t>
      </w:r>
      <w:proofErr w:type="spellEnd"/>
      <w:r w:rsidRPr="000B4582">
        <w:rPr>
          <w:rFonts w:ascii="Times New Roman" w:eastAsia="Times New Roman" w:hAnsi="Times New Roman" w:cs="Times New Roman"/>
          <w:sz w:val="24"/>
          <w:szCs w:val="24"/>
          <w:lang w:eastAsia="es-ES"/>
        </w:rPr>
        <w:t xml:space="preserve">, </w:t>
      </w:r>
      <w:proofErr w:type="spellStart"/>
      <w:r w:rsidRPr="000B4582">
        <w:rPr>
          <w:rFonts w:ascii="Times New Roman" w:eastAsia="Times New Roman" w:hAnsi="Times New Roman" w:cs="Times New Roman"/>
          <w:sz w:val="24"/>
          <w:szCs w:val="24"/>
          <w:lang w:eastAsia="es-ES"/>
        </w:rPr>
        <w:t>tt_floral</w:t>
      </w:r>
      <w:proofErr w:type="spellEnd"/>
      <w:r w:rsidRPr="000B4582">
        <w:rPr>
          <w:rFonts w:ascii="Times New Roman" w:eastAsia="Times New Roman" w:hAnsi="Times New Roman" w:cs="Times New Roman"/>
          <w:sz w:val="24"/>
          <w:szCs w:val="24"/>
          <w:lang w:eastAsia="es-ES"/>
        </w:rPr>
        <w:t xml:space="preserve"> iniciación y </w:t>
      </w:r>
      <w:proofErr w:type="spellStart"/>
      <w:r w:rsidRPr="000B4582">
        <w:rPr>
          <w:rFonts w:ascii="Times New Roman" w:eastAsia="Times New Roman" w:hAnsi="Times New Roman" w:cs="Times New Roman"/>
          <w:sz w:val="24"/>
          <w:szCs w:val="24"/>
          <w:lang w:eastAsia="es-ES"/>
        </w:rPr>
        <w:t>tt_start</w:t>
      </w:r>
      <w:proofErr w:type="spellEnd"/>
      <w:r w:rsidRPr="000B4582">
        <w:rPr>
          <w:rFonts w:ascii="Times New Roman" w:eastAsia="Times New Roman" w:hAnsi="Times New Roman" w:cs="Times New Roman"/>
          <w:sz w:val="24"/>
          <w:szCs w:val="24"/>
          <w:lang w:eastAsia="es-ES"/>
        </w:rPr>
        <w:t>_-</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Parámetros de </w:t>
      </w:r>
      <w:proofErr w:type="spellStart"/>
      <w:r w:rsidRPr="000B4582">
        <w:rPr>
          <w:rFonts w:ascii="Times New Roman" w:eastAsia="Times New Roman" w:hAnsi="Times New Roman" w:cs="Times New Roman"/>
          <w:sz w:val="24"/>
          <w:szCs w:val="24"/>
          <w:lang w:eastAsia="es-ES"/>
        </w:rPr>
        <w:t>grain_fill</w:t>
      </w:r>
      <w:proofErr w:type="spellEnd"/>
      <w:r w:rsidRPr="000B4582">
        <w:rPr>
          <w:rFonts w:ascii="Times New Roman" w:eastAsia="Times New Roman" w:hAnsi="Times New Roman" w:cs="Times New Roman"/>
          <w:sz w:val="24"/>
          <w:szCs w:val="24"/>
          <w:lang w:eastAsia="es-ES"/>
        </w:rPr>
        <w:t xml:space="preserve"> mientras en CERES-</w:t>
      </w:r>
      <w:proofErr w:type="spellStart"/>
      <w:r w:rsidRPr="000B4582">
        <w:rPr>
          <w:rFonts w:ascii="Times New Roman" w:eastAsia="Times New Roman" w:hAnsi="Times New Roman" w:cs="Times New Roman"/>
          <w:sz w:val="24"/>
          <w:szCs w:val="24"/>
          <w:lang w:eastAsia="es-ES"/>
        </w:rPr>
        <w:t>Wheat</w:t>
      </w:r>
      <w:proofErr w:type="spellEnd"/>
      <w:r w:rsidRPr="000B4582">
        <w:rPr>
          <w:rFonts w:ascii="Times New Roman" w:eastAsia="Times New Roman" w:hAnsi="Times New Roman" w:cs="Times New Roman"/>
          <w:sz w:val="24"/>
          <w:szCs w:val="24"/>
          <w:lang w:eastAsia="es-ES"/>
        </w:rPr>
        <w:t xml:space="preserve"> estaba controlado por</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Parámetros P1V, P1D, P5 y PHINT. Del mismo modo, LAI en </w:t>
      </w:r>
      <w:proofErr w:type="spellStart"/>
      <w:r w:rsidRPr="000B4582">
        <w:rPr>
          <w:rFonts w:ascii="Times New Roman" w:eastAsia="Times New Roman" w:hAnsi="Times New Roman" w:cs="Times New Roman"/>
          <w:sz w:val="24"/>
          <w:szCs w:val="24"/>
          <w:lang w:eastAsia="es-ES"/>
        </w:rPr>
        <w:t>APSIMWheat</w:t>
      </w:r>
      <w:proofErr w:type="spellEnd"/>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Era sensible a </w:t>
      </w:r>
      <w:proofErr w:type="spellStart"/>
      <w:r w:rsidRPr="000B4582">
        <w:rPr>
          <w:rFonts w:ascii="Times New Roman" w:eastAsia="Times New Roman" w:hAnsi="Times New Roman" w:cs="Times New Roman"/>
          <w:sz w:val="24"/>
          <w:szCs w:val="24"/>
          <w:lang w:eastAsia="es-ES"/>
        </w:rPr>
        <w:t>vern_sens</w:t>
      </w:r>
      <w:proofErr w:type="spellEnd"/>
      <w:r w:rsidRPr="000B4582">
        <w:rPr>
          <w:rFonts w:ascii="Times New Roman" w:eastAsia="Times New Roman" w:hAnsi="Times New Roman" w:cs="Times New Roman"/>
          <w:sz w:val="24"/>
          <w:szCs w:val="24"/>
          <w:lang w:eastAsia="es-ES"/>
        </w:rPr>
        <w:t xml:space="preserve"> y en el caso de CERES-Trigo</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SLAS y PARUE fueron los parámetros que controlan el área foliar. Biomasa</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Producción en APSIM-Trigo fue controlado por </w:t>
      </w:r>
      <w:proofErr w:type="spellStart"/>
      <w:r w:rsidRPr="000B4582">
        <w:rPr>
          <w:rFonts w:ascii="Times New Roman" w:eastAsia="Times New Roman" w:hAnsi="Times New Roman" w:cs="Times New Roman"/>
          <w:sz w:val="24"/>
          <w:szCs w:val="24"/>
          <w:lang w:eastAsia="es-ES"/>
        </w:rPr>
        <w:t>vern_sens</w:t>
      </w:r>
      <w:proofErr w:type="spellEnd"/>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Y los parámetros </w:t>
      </w:r>
      <w:proofErr w:type="spellStart"/>
      <w:r w:rsidRPr="000B4582">
        <w:rPr>
          <w:rFonts w:ascii="Times New Roman" w:eastAsia="Times New Roman" w:hAnsi="Times New Roman" w:cs="Times New Roman"/>
          <w:sz w:val="24"/>
          <w:szCs w:val="24"/>
          <w:lang w:eastAsia="es-ES"/>
        </w:rPr>
        <w:t>tt_floral</w:t>
      </w:r>
      <w:proofErr w:type="spellEnd"/>
      <w:r w:rsidRPr="000B4582">
        <w:rPr>
          <w:rFonts w:ascii="Times New Roman" w:eastAsia="Times New Roman" w:hAnsi="Times New Roman" w:cs="Times New Roman"/>
          <w:sz w:val="24"/>
          <w:szCs w:val="24"/>
          <w:lang w:eastAsia="es-ES"/>
        </w:rPr>
        <w:t xml:space="preserve"> de iniciación en CERES-</w:t>
      </w:r>
      <w:proofErr w:type="spellStart"/>
      <w:r w:rsidRPr="000B4582">
        <w:rPr>
          <w:rFonts w:ascii="Times New Roman" w:eastAsia="Times New Roman" w:hAnsi="Times New Roman" w:cs="Times New Roman"/>
          <w:sz w:val="24"/>
          <w:szCs w:val="24"/>
          <w:lang w:eastAsia="es-ES"/>
        </w:rPr>
        <w:t>Wheat</w:t>
      </w:r>
      <w:proofErr w:type="spellEnd"/>
      <w:r w:rsidRPr="000B4582">
        <w:rPr>
          <w:rFonts w:ascii="Times New Roman" w:eastAsia="Times New Roman" w:hAnsi="Times New Roman" w:cs="Times New Roman"/>
          <w:sz w:val="24"/>
          <w:szCs w:val="24"/>
          <w:lang w:eastAsia="es-ES"/>
        </w:rPr>
        <w:t>, PARUE</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Y PARU2 fueron los principales parámetros que controlaron la biomasa</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producción. El rendimiento en APSIM-Trigo fue controlado por parámetros</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Como </w:t>
      </w:r>
      <w:proofErr w:type="spellStart"/>
      <w:r w:rsidRPr="000B4582">
        <w:rPr>
          <w:rFonts w:ascii="Times New Roman" w:eastAsia="Times New Roman" w:hAnsi="Times New Roman" w:cs="Times New Roman"/>
          <w:sz w:val="24"/>
          <w:szCs w:val="24"/>
          <w:lang w:eastAsia="es-ES"/>
        </w:rPr>
        <w:t>tt_floral</w:t>
      </w:r>
      <w:proofErr w:type="spellEnd"/>
      <w:r w:rsidRPr="000B4582">
        <w:rPr>
          <w:rFonts w:ascii="Times New Roman" w:eastAsia="Times New Roman" w:hAnsi="Times New Roman" w:cs="Times New Roman"/>
          <w:sz w:val="24"/>
          <w:szCs w:val="24"/>
          <w:lang w:eastAsia="es-ES"/>
        </w:rPr>
        <w:t xml:space="preserve"> iniciación, </w:t>
      </w:r>
      <w:proofErr w:type="spellStart"/>
      <w:r w:rsidRPr="000B4582">
        <w:rPr>
          <w:rFonts w:ascii="Times New Roman" w:eastAsia="Times New Roman" w:hAnsi="Times New Roman" w:cs="Times New Roman"/>
          <w:sz w:val="24"/>
          <w:szCs w:val="24"/>
          <w:lang w:eastAsia="es-ES"/>
        </w:rPr>
        <w:t>tt_start</w:t>
      </w:r>
      <w:proofErr w:type="spellEnd"/>
      <w:r w:rsidRPr="000B4582">
        <w:rPr>
          <w:rFonts w:ascii="Times New Roman" w:eastAsia="Times New Roman" w:hAnsi="Times New Roman" w:cs="Times New Roman"/>
          <w:sz w:val="24"/>
          <w:szCs w:val="24"/>
          <w:lang w:eastAsia="es-ES"/>
        </w:rPr>
        <w:t xml:space="preserve"> grano de relleno, granos por gramo de tallo,</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Tamaño máximo de grano y tasa potencial de llenado de grano en </w:t>
      </w:r>
      <w:proofErr w:type="spellStart"/>
      <w:r w:rsidRPr="000B4582">
        <w:rPr>
          <w:rFonts w:ascii="Times New Roman" w:eastAsia="Times New Roman" w:hAnsi="Times New Roman" w:cs="Times New Roman"/>
          <w:sz w:val="24"/>
          <w:szCs w:val="24"/>
          <w:lang w:eastAsia="es-ES"/>
        </w:rPr>
        <w:t>CERESWheat</w:t>
      </w:r>
      <w:proofErr w:type="spellEnd"/>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Los parámetros de control del rendimiento fueron TRGF, G1, G2 y G3.</w:t>
      </w:r>
      <w:r w:rsidRPr="000B4582">
        <w:rPr>
          <w:rFonts w:ascii="Times New Roman" w:eastAsia="Times New Roman" w:hAnsi="Times New Roman" w:cs="Times New Roman"/>
          <w:sz w:val="24"/>
          <w:szCs w:val="24"/>
          <w:lang w:eastAsia="es-ES"/>
        </w:rPr>
        <w:br/>
        <w:t>Ambos modelos se llevaron a cabo con escenarios de cambio climático de</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Temperatura elevada, </w:t>
      </w:r>
      <w:r w:rsidRPr="000B4582">
        <w:rPr>
          <w:rFonts w:ascii="Times New Roman" w:eastAsia="Times New Roman" w:hAnsi="Times New Roman" w:cs="Times New Roman"/>
          <w:sz w:val="24"/>
          <w:szCs w:val="24"/>
          <w:lang w:eastAsia="es-ES"/>
        </w:rPr>
        <w:lastRenderedPageBreak/>
        <w:t>CO2 elevado y temperatura elevada +</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 xml:space="preserve">CO2 para los cinco cultivares bajo condiciones de secano en Pakistán. </w:t>
      </w:r>
      <w:r w:rsidR="00260E42" w:rsidRPr="000B4582">
        <w:rPr>
          <w:rFonts w:ascii="Times New Roman" w:eastAsia="Times New Roman" w:hAnsi="Times New Roman" w:cs="Times New Roman"/>
          <w:sz w:val="24"/>
          <w:szCs w:val="24"/>
          <w:lang w:eastAsia="es-ES"/>
        </w:rPr>
        <w:t>L</w:t>
      </w:r>
      <w:r w:rsidRPr="000B4582">
        <w:rPr>
          <w:rFonts w:ascii="Times New Roman" w:eastAsia="Times New Roman" w:hAnsi="Times New Roman" w:cs="Times New Roman"/>
          <w:sz w:val="24"/>
          <w:szCs w:val="24"/>
          <w:lang w:eastAsia="es-ES"/>
        </w:rPr>
        <w:t>os</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Tendencia mostró que el aumento de las temperaturas tuvo un efecto negativo</w:t>
      </w:r>
      <w:r w:rsidRPr="000B4582">
        <w:rPr>
          <w:rFonts w:ascii="Times New Roman" w:eastAsia="Times New Roman" w:hAnsi="Times New Roman" w:cs="Times New Roman"/>
          <w:sz w:val="24"/>
          <w:szCs w:val="24"/>
          <w:lang w:eastAsia="es-ES"/>
        </w:rPr>
        <w:br/>
        <w:t>Sobre el rendimiento de los cultivos, mientras que el CO2 elevado tuvo un efecto positivo. Sin embargo,</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El efecto combinado del aumento de la temperatura + concentración elevada de CO2</w:t>
      </w:r>
      <w:r w:rsidRPr="000B4582">
        <w:rPr>
          <w:rFonts w:ascii="Times New Roman" w:eastAsia="Times New Roman" w:hAnsi="Times New Roman" w:cs="Times New Roman"/>
          <w:sz w:val="24"/>
          <w:szCs w:val="24"/>
          <w:lang w:eastAsia="es-ES"/>
        </w:rPr>
        <w:br/>
        <w:t>Aumento del rendimiento de grano hasta un aumento de 3 ° C en la temperatura.</w:t>
      </w:r>
      <w:r w:rsidRPr="000B4582">
        <w:rPr>
          <w:rFonts w:ascii="Times New Roman" w:eastAsia="Times New Roman" w:hAnsi="Times New Roman" w:cs="Times New Roman"/>
          <w:sz w:val="24"/>
          <w:szCs w:val="24"/>
          <w:lang w:eastAsia="es-ES"/>
        </w:rPr>
        <w:br/>
        <w:t>Como tales, estos modelos pueden usarse para seleccionar cultivares que</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Pueden aportar sostenibilidad en el rendimiento al mitigar el impacto</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Aumento de la temperatura en el crecimiento y desarrollo de los cultivos.</w:t>
      </w:r>
      <w:r w:rsidRPr="000B4582">
        <w:rPr>
          <w:rFonts w:ascii="Times New Roman" w:eastAsia="Times New Roman" w:hAnsi="Times New Roman" w:cs="Times New Roman"/>
          <w:sz w:val="24"/>
          <w:szCs w:val="24"/>
          <w:lang w:eastAsia="es-ES"/>
        </w:rPr>
        <w:br/>
      </w:r>
    </w:p>
    <w:p w:rsidR="000B4582" w:rsidRPr="000B4582" w:rsidRDefault="000B4582" w:rsidP="000B4582">
      <w:pPr>
        <w:spacing w:after="0" w:line="240" w:lineRule="auto"/>
        <w:rPr>
          <w:rFonts w:ascii="Times New Roman" w:eastAsia="Times New Roman" w:hAnsi="Times New Roman" w:cs="Times New Roman"/>
          <w:sz w:val="24"/>
          <w:szCs w:val="24"/>
          <w:lang w:eastAsia="es-ES"/>
        </w:rPr>
      </w:pPr>
      <w:r w:rsidRPr="000B4582">
        <w:rPr>
          <w:rFonts w:ascii="Times New Roman" w:eastAsia="Times New Roman" w:hAnsi="Times New Roman" w:cs="Times New Roman"/>
          <w:sz w:val="24"/>
          <w:szCs w:val="24"/>
          <w:lang w:eastAsia="es-ES"/>
        </w:rPr>
        <w:t>Expresiones de gratitud</w:t>
      </w:r>
      <w:r w:rsidRPr="000B4582">
        <w:rPr>
          <w:rFonts w:ascii="Times New Roman" w:eastAsia="Times New Roman" w:hAnsi="Times New Roman" w:cs="Times New Roman"/>
          <w:sz w:val="24"/>
          <w:szCs w:val="24"/>
          <w:lang w:eastAsia="es-ES"/>
        </w:rPr>
        <w:br/>
        <w:t>El autor principal agradece a la Comisión de Educación Superior</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De Pakistán por el apoyo financiero proporcionado. El primer autor es</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También agradecido al "Centro Nacional de Investigación Agrícola de Islamabad"</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Y PMAS-</w:t>
      </w:r>
      <w:proofErr w:type="spellStart"/>
      <w:r w:rsidRPr="000B4582">
        <w:rPr>
          <w:rFonts w:ascii="Times New Roman" w:eastAsia="Times New Roman" w:hAnsi="Times New Roman" w:cs="Times New Roman"/>
          <w:sz w:val="24"/>
          <w:szCs w:val="24"/>
          <w:lang w:eastAsia="es-ES"/>
        </w:rPr>
        <w:t>Arid</w:t>
      </w:r>
      <w:proofErr w:type="spellEnd"/>
      <w:r w:rsidRPr="000B4582">
        <w:rPr>
          <w:rFonts w:ascii="Times New Roman" w:eastAsia="Times New Roman" w:hAnsi="Times New Roman" w:cs="Times New Roman"/>
          <w:sz w:val="24"/>
          <w:szCs w:val="24"/>
          <w:lang w:eastAsia="es-ES"/>
        </w:rPr>
        <w:t xml:space="preserve"> </w:t>
      </w:r>
      <w:proofErr w:type="spellStart"/>
      <w:r w:rsidRPr="000B4582">
        <w:rPr>
          <w:rFonts w:ascii="Times New Roman" w:eastAsia="Times New Roman" w:hAnsi="Times New Roman" w:cs="Times New Roman"/>
          <w:sz w:val="24"/>
          <w:szCs w:val="24"/>
          <w:lang w:eastAsia="es-ES"/>
        </w:rPr>
        <w:t>Agriculture</w:t>
      </w:r>
      <w:proofErr w:type="spellEnd"/>
      <w:r w:rsidRPr="000B4582">
        <w:rPr>
          <w:rFonts w:ascii="Times New Roman" w:eastAsia="Times New Roman" w:hAnsi="Times New Roman" w:cs="Times New Roman"/>
          <w:sz w:val="24"/>
          <w:szCs w:val="24"/>
          <w:lang w:eastAsia="es-ES"/>
        </w:rPr>
        <w:t xml:space="preserve"> </w:t>
      </w:r>
      <w:proofErr w:type="spellStart"/>
      <w:r w:rsidRPr="000B4582">
        <w:rPr>
          <w:rFonts w:ascii="Times New Roman" w:eastAsia="Times New Roman" w:hAnsi="Times New Roman" w:cs="Times New Roman"/>
          <w:sz w:val="24"/>
          <w:szCs w:val="24"/>
          <w:lang w:eastAsia="es-ES"/>
        </w:rPr>
        <w:t>University</w:t>
      </w:r>
      <w:proofErr w:type="spellEnd"/>
      <w:r w:rsidRPr="000B4582">
        <w:rPr>
          <w:rFonts w:ascii="Times New Roman" w:eastAsia="Times New Roman" w:hAnsi="Times New Roman" w:cs="Times New Roman"/>
          <w:sz w:val="24"/>
          <w:szCs w:val="24"/>
          <w:lang w:eastAsia="es-ES"/>
        </w:rPr>
        <w:t xml:space="preserve"> </w:t>
      </w:r>
      <w:proofErr w:type="spellStart"/>
      <w:r w:rsidRPr="000B4582">
        <w:rPr>
          <w:rFonts w:ascii="Times New Roman" w:eastAsia="Times New Roman" w:hAnsi="Times New Roman" w:cs="Times New Roman"/>
          <w:sz w:val="24"/>
          <w:szCs w:val="24"/>
          <w:lang w:eastAsia="es-ES"/>
        </w:rPr>
        <w:t>Rawalpindi</w:t>
      </w:r>
      <w:proofErr w:type="spellEnd"/>
      <w:r w:rsidRPr="000B4582">
        <w:rPr>
          <w:rFonts w:ascii="Times New Roman" w:eastAsia="Times New Roman" w:hAnsi="Times New Roman" w:cs="Times New Roman"/>
          <w:sz w:val="24"/>
          <w:szCs w:val="24"/>
          <w:lang w:eastAsia="es-ES"/>
        </w:rPr>
        <w:t xml:space="preserve"> por proporcionar</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Las instalaciones de investigación. Los autores agradecen a los revisores desconocidos</w:t>
      </w:r>
      <w:r w:rsidR="00260E42">
        <w:rPr>
          <w:rFonts w:ascii="Times New Roman" w:eastAsia="Times New Roman" w:hAnsi="Times New Roman" w:cs="Times New Roman"/>
          <w:sz w:val="24"/>
          <w:szCs w:val="24"/>
          <w:lang w:eastAsia="es-ES"/>
        </w:rPr>
        <w:t xml:space="preserve"> </w:t>
      </w:r>
      <w:r w:rsidRPr="000B4582">
        <w:rPr>
          <w:rFonts w:ascii="Times New Roman" w:eastAsia="Times New Roman" w:hAnsi="Times New Roman" w:cs="Times New Roman"/>
          <w:sz w:val="24"/>
          <w:szCs w:val="24"/>
          <w:lang w:eastAsia="es-ES"/>
        </w:rPr>
        <w:t>Por su amable apoyo al sugerir mejoras a este</w:t>
      </w:r>
      <w:r w:rsidR="00260E42">
        <w:rPr>
          <w:rFonts w:ascii="Times New Roman" w:eastAsia="Times New Roman" w:hAnsi="Times New Roman" w:cs="Times New Roman"/>
          <w:sz w:val="24"/>
          <w:szCs w:val="24"/>
          <w:lang w:eastAsia="es-ES"/>
        </w:rPr>
        <w:t xml:space="preserve"> </w:t>
      </w:r>
      <w:bookmarkStart w:id="0" w:name="_GoBack"/>
      <w:bookmarkEnd w:id="0"/>
      <w:r w:rsidRPr="000B4582">
        <w:rPr>
          <w:rFonts w:ascii="Times New Roman" w:eastAsia="Times New Roman" w:hAnsi="Times New Roman" w:cs="Times New Roman"/>
          <w:sz w:val="24"/>
          <w:szCs w:val="24"/>
          <w:lang w:eastAsia="es-ES"/>
        </w:rPr>
        <w:t>papel. Los autores no tienen ningún conflicto de interés.</w:t>
      </w:r>
    </w:p>
    <w:p w:rsidR="000B4582" w:rsidRPr="000B4582" w:rsidRDefault="000B4582" w:rsidP="000B4582">
      <w:pPr>
        <w:rPr>
          <w:rFonts w:ascii="Times New Roman" w:eastAsia="Times New Roman" w:hAnsi="Times New Roman" w:cs="Times New Roman"/>
          <w:sz w:val="24"/>
          <w:szCs w:val="24"/>
          <w:lang w:eastAsia="es-ES"/>
        </w:rPr>
      </w:pPr>
    </w:p>
    <w:p w:rsidR="00AA7CBA" w:rsidRDefault="00AA7CBA"/>
    <w:sectPr w:rsidR="00AA7CBA" w:rsidSect="000A199A">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07D"/>
    <w:rsid w:val="000A199A"/>
    <w:rsid w:val="000B4582"/>
    <w:rsid w:val="00260E42"/>
    <w:rsid w:val="00427ABE"/>
    <w:rsid w:val="007575FA"/>
    <w:rsid w:val="007F107D"/>
    <w:rsid w:val="00A70BEC"/>
    <w:rsid w:val="00AA7C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95D34"/>
  <w15:chartTrackingRefBased/>
  <w15:docId w15:val="{29E436D8-C5B1-43EE-93E7-9738EE25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361015">
      <w:bodyDiv w:val="1"/>
      <w:marLeft w:val="0"/>
      <w:marRight w:val="0"/>
      <w:marTop w:val="0"/>
      <w:marBottom w:val="0"/>
      <w:divBdr>
        <w:top w:val="none" w:sz="0" w:space="0" w:color="auto"/>
        <w:left w:val="none" w:sz="0" w:space="0" w:color="auto"/>
        <w:bottom w:val="none" w:sz="0" w:space="0" w:color="auto"/>
        <w:right w:val="none" w:sz="0" w:space="0" w:color="auto"/>
      </w:divBdr>
      <w:divsChild>
        <w:div w:id="1826316416">
          <w:marLeft w:val="0"/>
          <w:marRight w:val="0"/>
          <w:marTop w:val="0"/>
          <w:marBottom w:val="0"/>
          <w:divBdr>
            <w:top w:val="none" w:sz="0" w:space="0" w:color="auto"/>
            <w:left w:val="none" w:sz="0" w:space="0" w:color="auto"/>
            <w:bottom w:val="none" w:sz="0" w:space="0" w:color="auto"/>
            <w:right w:val="none" w:sz="0" w:space="0" w:color="auto"/>
          </w:divBdr>
          <w:divsChild>
            <w:div w:id="149186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9672">
      <w:bodyDiv w:val="1"/>
      <w:marLeft w:val="0"/>
      <w:marRight w:val="0"/>
      <w:marTop w:val="0"/>
      <w:marBottom w:val="0"/>
      <w:divBdr>
        <w:top w:val="none" w:sz="0" w:space="0" w:color="auto"/>
        <w:left w:val="none" w:sz="0" w:space="0" w:color="auto"/>
        <w:bottom w:val="none" w:sz="0" w:space="0" w:color="auto"/>
        <w:right w:val="none" w:sz="0" w:space="0" w:color="auto"/>
      </w:divBdr>
      <w:divsChild>
        <w:div w:id="408698014">
          <w:marLeft w:val="0"/>
          <w:marRight w:val="0"/>
          <w:marTop w:val="0"/>
          <w:marBottom w:val="0"/>
          <w:divBdr>
            <w:top w:val="none" w:sz="0" w:space="0" w:color="auto"/>
            <w:left w:val="none" w:sz="0" w:space="0" w:color="auto"/>
            <w:bottom w:val="none" w:sz="0" w:space="0" w:color="auto"/>
            <w:right w:val="none" w:sz="0" w:space="0" w:color="auto"/>
          </w:divBdr>
          <w:divsChild>
            <w:div w:id="13879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18538">
      <w:bodyDiv w:val="1"/>
      <w:marLeft w:val="0"/>
      <w:marRight w:val="0"/>
      <w:marTop w:val="0"/>
      <w:marBottom w:val="0"/>
      <w:divBdr>
        <w:top w:val="none" w:sz="0" w:space="0" w:color="auto"/>
        <w:left w:val="none" w:sz="0" w:space="0" w:color="auto"/>
        <w:bottom w:val="none" w:sz="0" w:space="0" w:color="auto"/>
        <w:right w:val="none" w:sz="0" w:space="0" w:color="auto"/>
      </w:divBdr>
      <w:divsChild>
        <w:div w:id="763379755">
          <w:marLeft w:val="0"/>
          <w:marRight w:val="0"/>
          <w:marTop w:val="0"/>
          <w:marBottom w:val="0"/>
          <w:divBdr>
            <w:top w:val="none" w:sz="0" w:space="0" w:color="auto"/>
            <w:left w:val="none" w:sz="0" w:space="0" w:color="auto"/>
            <w:bottom w:val="none" w:sz="0" w:space="0" w:color="auto"/>
            <w:right w:val="none" w:sz="0" w:space="0" w:color="auto"/>
          </w:divBdr>
          <w:divsChild>
            <w:div w:id="109066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90265">
      <w:bodyDiv w:val="1"/>
      <w:marLeft w:val="0"/>
      <w:marRight w:val="0"/>
      <w:marTop w:val="0"/>
      <w:marBottom w:val="0"/>
      <w:divBdr>
        <w:top w:val="none" w:sz="0" w:space="0" w:color="auto"/>
        <w:left w:val="none" w:sz="0" w:space="0" w:color="auto"/>
        <w:bottom w:val="none" w:sz="0" w:space="0" w:color="auto"/>
        <w:right w:val="none" w:sz="0" w:space="0" w:color="auto"/>
      </w:divBdr>
      <w:divsChild>
        <w:div w:id="330183076">
          <w:marLeft w:val="0"/>
          <w:marRight w:val="0"/>
          <w:marTop w:val="0"/>
          <w:marBottom w:val="0"/>
          <w:divBdr>
            <w:top w:val="none" w:sz="0" w:space="0" w:color="auto"/>
            <w:left w:val="none" w:sz="0" w:space="0" w:color="auto"/>
            <w:bottom w:val="none" w:sz="0" w:space="0" w:color="auto"/>
            <w:right w:val="none" w:sz="0" w:space="0" w:color="auto"/>
          </w:divBdr>
          <w:divsChild>
            <w:div w:id="14783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13</Pages>
  <Words>7560</Words>
  <Characters>41586</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Florido</dc:creator>
  <cp:keywords/>
  <dc:description/>
  <cp:lastModifiedBy>Florido</cp:lastModifiedBy>
  <cp:revision>2</cp:revision>
  <dcterms:created xsi:type="dcterms:W3CDTF">2017-03-21T09:09:00Z</dcterms:created>
  <dcterms:modified xsi:type="dcterms:W3CDTF">2017-03-21T10:01:00Z</dcterms:modified>
</cp:coreProperties>
</file>