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69F" w:rsidRDefault="00E12F8A">
      <w:pPr>
        <w:rPr>
          <w:rFonts w:ascii="Times New Roman" w:hAnsi="Times New Roman" w:cs="Times New Roman"/>
          <w:b/>
          <w:sz w:val="28"/>
          <w:szCs w:val="28"/>
          <w:lang w:val="es-ES"/>
        </w:rPr>
      </w:pPr>
      <w:r w:rsidRPr="00E12F8A">
        <w:rPr>
          <w:rFonts w:ascii="Times New Roman" w:hAnsi="Times New Roman" w:cs="Times New Roman"/>
          <w:b/>
          <w:sz w:val="28"/>
          <w:szCs w:val="28"/>
          <w:lang w:val="es-ES"/>
        </w:rPr>
        <w:t xml:space="preserve">Utilización del modelo DSSAT versión 4,5 para el cultivo del </w:t>
      </w:r>
      <w:commentRangeStart w:id="0"/>
      <w:r w:rsidRPr="00E12F8A">
        <w:rPr>
          <w:rFonts w:ascii="Times New Roman" w:hAnsi="Times New Roman" w:cs="Times New Roman"/>
          <w:b/>
          <w:sz w:val="28"/>
          <w:szCs w:val="28"/>
          <w:lang w:val="es-ES"/>
        </w:rPr>
        <w:t>maíz</w:t>
      </w:r>
      <w:commentRangeEnd w:id="0"/>
      <w:r w:rsidR="005E0A1B">
        <w:rPr>
          <w:rStyle w:val="Refdecomentario"/>
        </w:rPr>
        <w:commentReference w:id="0"/>
      </w:r>
      <w:r w:rsidRPr="00E12F8A">
        <w:rPr>
          <w:rFonts w:ascii="Times New Roman" w:hAnsi="Times New Roman" w:cs="Times New Roman"/>
          <w:b/>
          <w:sz w:val="28"/>
          <w:szCs w:val="28"/>
          <w:lang w:val="es-ES"/>
        </w:rPr>
        <w:t xml:space="preserve"> en las condiciones de Cuba.</w:t>
      </w:r>
    </w:p>
    <w:p w:rsidR="00E12F8A" w:rsidRPr="002E7D85" w:rsidRDefault="00E12F8A">
      <w:pPr>
        <w:rPr>
          <w:rFonts w:ascii="Times New Roman" w:hAnsi="Times New Roman" w:cs="Times New Roman"/>
          <w:b/>
          <w:sz w:val="24"/>
          <w:szCs w:val="24"/>
        </w:rPr>
      </w:pPr>
      <w:r w:rsidRPr="002E7D85">
        <w:rPr>
          <w:rFonts w:ascii="Times New Roman" w:hAnsi="Times New Roman" w:cs="Times New Roman"/>
          <w:b/>
          <w:sz w:val="24"/>
          <w:szCs w:val="24"/>
        </w:rPr>
        <w:t>Introducción.</w:t>
      </w:r>
    </w:p>
    <w:p w:rsidR="001A0B49" w:rsidRDefault="001A0B49" w:rsidP="005F1B8F">
      <w:pPr>
        <w:autoSpaceDE w:val="0"/>
        <w:autoSpaceDN w:val="0"/>
        <w:adjustRightInd w:val="0"/>
        <w:spacing w:after="0" w:line="240" w:lineRule="auto"/>
        <w:rPr>
          <w:rFonts w:ascii="Times New Roman" w:hAnsi="Times New Roman" w:cs="Times New Roman"/>
          <w:b/>
          <w:bCs/>
          <w:i/>
          <w:iCs/>
          <w:sz w:val="21"/>
          <w:szCs w:val="21"/>
        </w:rPr>
      </w:pPr>
      <w:r w:rsidRPr="0078487B">
        <w:rPr>
          <w:rFonts w:ascii="Times New Roman" w:hAnsi="Times New Roman" w:cs="Times New Roman"/>
          <w:sz w:val="24"/>
          <w:szCs w:val="24"/>
        </w:rPr>
        <w:t>Los modelos de simulación de crecimiento de cultivos y el análisis del sistema suelo-plantaatmósferason herramientas importantes para la investigación agrícola moderna. Un modelo decultivos representa de manera sencilla y sintética los procesos fisiológicos y ecológicos másimportantes que gobiernan el crecimiento utilizando ecuaciones matemáticas</w:t>
      </w:r>
      <w:r w:rsidR="005F1B8F">
        <w:rPr>
          <w:rFonts w:ascii="Times New Roman" w:hAnsi="Times New Roman" w:cs="Times New Roman"/>
          <w:sz w:val="24"/>
          <w:szCs w:val="24"/>
        </w:rPr>
        <w:t xml:space="preserve"> (1)</w:t>
      </w:r>
      <w:r w:rsidRPr="0078487B">
        <w:rPr>
          <w:rFonts w:ascii="Times New Roman" w:hAnsi="Times New Roman" w:cs="Times New Roman"/>
          <w:sz w:val="24"/>
          <w:szCs w:val="24"/>
        </w:rPr>
        <w:t>.</w:t>
      </w:r>
    </w:p>
    <w:p w:rsidR="001A0B49" w:rsidRDefault="001A0B49" w:rsidP="001A0B49">
      <w:pPr>
        <w:autoSpaceDE w:val="0"/>
        <w:autoSpaceDN w:val="0"/>
        <w:adjustRightInd w:val="0"/>
        <w:spacing w:after="0" w:line="240" w:lineRule="auto"/>
        <w:rPr>
          <w:rFonts w:ascii="Times New Roman" w:hAnsi="Times New Roman" w:cs="Times New Roman"/>
          <w:b/>
          <w:bCs/>
          <w:i/>
          <w:iCs/>
          <w:sz w:val="21"/>
          <w:szCs w:val="21"/>
        </w:rPr>
      </w:pPr>
    </w:p>
    <w:p w:rsidR="00CC11AC" w:rsidRDefault="005F1B8F" w:rsidP="00C83DA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modelación posibilita inv</w:t>
      </w:r>
      <w:r w:rsidRPr="005F1B8F">
        <w:rPr>
          <w:rFonts w:ascii="Times New Roman" w:hAnsi="Times New Roman" w:cs="Times New Roman"/>
          <w:sz w:val="24"/>
          <w:szCs w:val="24"/>
        </w:rPr>
        <w:t>estigar las consecuencias de posibles escenarios futuros y permiten</w:t>
      </w:r>
      <w:r>
        <w:rPr>
          <w:rFonts w:ascii="Times New Roman" w:hAnsi="Times New Roman" w:cs="Times New Roman"/>
          <w:sz w:val="24"/>
          <w:szCs w:val="24"/>
        </w:rPr>
        <w:t xml:space="preserve"> prepararse para los cambios antes de q</w:t>
      </w:r>
      <w:r w:rsidRPr="005F1B8F">
        <w:rPr>
          <w:rFonts w:ascii="Times New Roman" w:hAnsi="Times New Roman" w:cs="Times New Roman"/>
          <w:sz w:val="24"/>
          <w:szCs w:val="24"/>
        </w:rPr>
        <w:t>ue estos ocurran</w:t>
      </w:r>
      <w:r>
        <w:rPr>
          <w:rFonts w:ascii="Times New Roman" w:hAnsi="Times New Roman" w:cs="Times New Roman"/>
          <w:sz w:val="24"/>
          <w:szCs w:val="24"/>
        </w:rPr>
        <w:t xml:space="preserve">. </w:t>
      </w:r>
      <w:r w:rsidRPr="00302F9D">
        <w:rPr>
          <w:rFonts w:ascii="Times New Roman" w:hAnsi="Times New Roman" w:cs="Times New Roman"/>
          <w:sz w:val="24"/>
          <w:szCs w:val="24"/>
        </w:rPr>
        <w:t xml:space="preserve">La influencia de los cambios climáticos </w:t>
      </w:r>
      <w:r w:rsidR="00302F9D" w:rsidRPr="00302F9D">
        <w:rPr>
          <w:rFonts w:ascii="Times New Roman" w:hAnsi="Times New Roman" w:cs="Times New Roman"/>
          <w:sz w:val="24"/>
          <w:szCs w:val="24"/>
        </w:rPr>
        <w:t xml:space="preserve">en la agricultura </w:t>
      </w:r>
      <w:r w:rsidR="005A1A58" w:rsidRPr="00302F9D">
        <w:rPr>
          <w:rFonts w:ascii="Times New Roman" w:hAnsi="Times New Roman" w:cs="Times New Roman"/>
          <w:sz w:val="24"/>
          <w:szCs w:val="24"/>
        </w:rPr>
        <w:t>representa</w:t>
      </w:r>
      <w:r w:rsidR="00302F9D" w:rsidRPr="00302F9D">
        <w:rPr>
          <w:rFonts w:ascii="Times New Roman" w:hAnsi="Times New Roman" w:cs="Times New Roman"/>
          <w:sz w:val="24"/>
          <w:szCs w:val="24"/>
        </w:rPr>
        <w:t xml:space="preserve"> un reto para decidir las pol</w:t>
      </w:r>
      <w:r w:rsidR="00302F9D">
        <w:rPr>
          <w:rFonts w:ascii="Times New Roman" w:hAnsi="Times New Roman" w:cs="Times New Roman"/>
          <w:sz w:val="24"/>
          <w:szCs w:val="24"/>
        </w:rPr>
        <w:t>íticas basándose en modelos cuantitativos, considerando la agricultura en su contexto específico (2).</w:t>
      </w:r>
    </w:p>
    <w:p w:rsidR="00CC11AC" w:rsidRDefault="00CC11AC" w:rsidP="00C83DAD">
      <w:pPr>
        <w:autoSpaceDE w:val="0"/>
        <w:autoSpaceDN w:val="0"/>
        <w:adjustRightInd w:val="0"/>
        <w:spacing w:after="0" w:line="240" w:lineRule="auto"/>
        <w:jc w:val="both"/>
        <w:rPr>
          <w:rFonts w:ascii="Times New Roman" w:hAnsi="Times New Roman" w:cs="Times New Roman"/>
          <w:sz w:val="24"/>
          <w:szCs w:val="24"/>
        </w:rPr>
      </w:pPr>
    </w:p>
    <w:p w:rsidR="00C83DAD" w:rsidRDefault="00CC11AC" w:rsidP="00CC11AC">
      <w:pPr>
        <w:autoSpaceDE w:val="0"/>
        <w:autoSpaceDN w:val="0"/>
        <w:adjustRightInd w:val="0"/>
        <w:spacing w:after="0" w:line="240" w:lineRule="auto"/>
        <w:jc w:val="both"/>
        <w:rPr>
          <w:rFonts w:ascii="Times New Roman" w:hAnsi="Times New Roman" w:cs="Times New Roman"/>
          <w:sz w:val="24"/>
          <w:szCs w:val="24"/>
        </w:rPr>
      </w:pPr>
      <w:commentRangeStart w:id="2"/>
      <w:r w:rsidRPr="00CC11AC">
        <w:rPr>
          <w:rFonts w:ascii="Times New Roman" w:hAnsi="Times New Roman" w:cs="Times New Roman"/>
          <w:sz w:val="24"/>
          <w:szCs w:val="24"/>
        </w:rPr>
        <w:t>Una de las aplicaciones más importantes de estos modelos es poder predecir el rendimiento de los cultivos agrícolas en condiciones específicas y ser capaces de adaptarse al cambio de condiciones. Dichos modelos tienen un enorme potencial para usarlas como herramientas de trabajo en una agricultura moderna.</w:t>
      </w:r>
      <w:commentRangeEnd w:id="2"/>
      <w:r w:rsidRPr="00CC11AC">
        <w:rPr>
          <w:rStyle w:val="Refdecomentario"/>
          <w:rFonts w:ascii="Times New Roman" w:hAnsi="Times New Roman" w:cs="Times New Roman"/>
          <w:sz w:val="24"/>
          <w:szCs w:val="24"/>
        </w:rPr>
        <w:commentReference w:id="2"/>
      </w:r>
    </w:p>
    <w:p w:rsidR="00AA1119" w:rsidRDefault="00AA1119" w:rsidP="00CC11AC">
      <w:pPr>
        <w:autoSpaceDE w:val="0"/>
        <w:autoSpaceDN w:val="0"/>
        <w:adjustRightInd w:val="0"/>
        <w:spacing w:after="0" w:line="240" w:lineRule="auto"/>
        <w:jc w:val="both"/>
        <w:rPr>
          <w:rFonts w:ascii="Times New Roman" w:hAnsi="Times New Roman" w:cs="Times New Roman"/>
          <w:sz w:val="24"/>
          <w:szCs w:val="24"/>
        </w:rPr>
      </w:pPr>
    </w:p>
    <w:p w:rsidR="00AA1119" w:rsidRPr="00AA1119" w:rsidRDefault="00AA1119" w:rsidP="0089297B">
      <w:pPr>
        <w:autoSpaceDE w:val="0"/>
        <w:autoSpaceDN w:val="0"/>
        <w:adjustRightInd w:val="0"/>
        <w:spacing w:after="0" w:line="240" w:lineRule="auto"/>
        <w:jc w:val="both"/>
        <w:rPr>
          <w:rFonts w:ascii="Arial" w:hAnsi="Arial" w:cs="Arial"/>
          <w:sz w:val="20"/>
          <w:szCs w:val="20"/>
        </w:rPr>
      </w:pPr>
      <w:commentRangeStart w:id="3"/>
      <w:r>
        <w:rPr>
          <w:rFonts w:ascii="Arial" w:hAnsi="Arial" w:cs="Arial"/>
          <w:sz w:val="20"/>
          <w:szCs w:val="20"/>
        </w:rPr>
        <w:t>En el modelo DSSAT (Sistema de Apoyo para Decisiones de Transferencia de Agrotecnología) se han combinado en un paquete, como parte de un programa de enlaces (</w:t>
      </w:r>
      <w:r>
        <w:rPr>
          <w:rFonts w:ascii="Arial" w:hAnsi="Arial" w:cs="Arial"/>
          <w:i/>
          <w:iCs/>
          <w:sz w:val="20"/>
          <w:szCs w:val="20"/>
        </w:rPr>
        <w:t>software shell</w:t>
      </w:r>
      <w:r>
        <w:rPr>
          <w:rFonts w:ascii="Arial" w:hAnsi="Arial" w:cs="Arial"/>
          <w:sz w:val="20"/>
          <w:szCs w:val="20"/>
        </w:rPr>
        <w:t xml:space="preserve">) (24).archivos de datos para clima, suelo y manejo del cultivo. Estos archivos se utilizanpara proveer en la simulación un ambiente parecido a donde crece el cultivo. El </w:t>
      </w:r>
      <w:r>
        <w:rPr>
          <w:rFonts w:ascii="Arial" w:hAnsi="Arial" w:cs="Arial"/>
          <w:i/>
          <w:iCs/>
          <w:sz w:val="20"/>
          <w:szCs w:val="20"/>
        </w:rPr>
        <w:t>DSSAT</w:t>
      </w:r>
      <w:r>
        <w:rPr>
          <w:rFonts w:ascii="Arial" w:hAnsi="Arial" w:cs="Arial"/>
          <w:sz w:val="20"/>
          <w:szCs w:val="20"/>
        </w:rPr>
        <w:t xml:space="preserve">, además, incluye varios programas de aplicación para análisis estacionales (25), rotación de cultivo y análisis secuencial (26), y análisis espacial a escala de campo o regional (27, 28) </w:t>
      </w:r>
      <w:commentRangeEnd w:id="3"/>
      <w:r w:rsidR="0089297B">
        <w:rPr>
          <w:rStyle w:val="Refdecomentario"/>
        </w:rPr>
        <w:commentReference w:id="3"/>
      </w:r>
    </w:p>
    <w:p w:rsidR="00CC11AC" w:rsidRDefault="0089297B" w:rsidP="0089297B">
      <w:pPr>
        <w:tabs>
          <w:tab w:val="left" w:pos="9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CC11AC" w:rsidRPr="00CC11AC" w:rsidRDefault="00CC11AC" w:rsidP="00CC11AC">
      <w:pPr>
        <w:autoSpaceDE w:val="0"/>
        <w:autoSpaceDN w:val="0"/>
        <w:adjustRightInd w:val="0"/>
        <w:spacing w:after="0" w:line="240" w:lineRule="auto"/>
        <w:jc w:val="both"/>
        <w:rPr>
          <w:rFonts w:ascii="Times New Roman" w:hAnsi="Times New Roman" w:cs="Times New Roman"/>
          <w:sz w:val="24"/>
          <w:szCs w:val="24"/>
        </w:rPr>
      </w:pPr>
      <w:commentRangeStart w:id="4"/>
      <w:r w:rsidRPr="00CC11AC">
        <w:rPr>
          <w:rFonts w:ascii="Times New Roman" w:hAnsi="Times New Roman" w:cs="Times New Roman"/>
          <w:sz w:val="24"/>
          <w:szCs w:val="24"/>
        </w:rPr>
        <w:t>Por otra parte, la agricultura de los países tropicales enfrenta cada vez más nuevos retos, debido a cambios en las políticas macroeconómicas, al crecimiento de la población, el bajo rendimiento y a los límites de sostenibilidad de los recursos naturales utilizados en la producción. Conocer adecuadamente la dinámica y los efectos de los principales factores involucrados en el desarrolloagrícola, para poder elaborar alternativas viables de progreso en nuestros trópicos americanos, conservando los recursos naturales mediante su utilización racional, son aspectos de especial importancia y deben ser objeto prioritario de actualización profesional. Cada día resulta más crucial la necesidad de la información en la toma de decisiones y existe un vacío importante entre lainformación que se necesita y la que se genera tradicionalmente mediante la investigación disciplinaria. Para este propósito una herramienta como los modelos de simulación de loscultivos es de gran utilidad</w:t>
      </w:r>
      <w:commentRangeEnd w:id="4"/>
      <w:r w:rsidRPr="00CC11AC">
        <w:rPr>
          <w:rStyle w:val="Refdecomentario"/>
          <w:rFonts w:ascii="Times New Roman" w:hAnsi="Times New Roman" w:cs="Times New Roman"/>
          <w:sz w:val="24"/>
          <w:szCs w:val="24"/>
        </w:rPr>
        <w:commentReference w:id="4"/>
      </w:r>
    </w:p>
    <w:p w:rsidR="00CC11AC" w:rsidRPr="00CC11AC" w:rsidRDefault="00CC11AC" w:rsidP="00CC11AC">
      <w:pPr>
        <w:autoSpaceDE w:val="0"/>
        <w:autoSpaceDN w:val="0"/>
        <w:adjustRightInd w:val="0"/>
        <w:spacing w:after="0" w:line="240" w:lineRule="auto"/>
        <w:jc w:val="both"/>
        <w:rPr>
          <w:rFonts w:ascii="Times New Roman" w:hAnsi="Times New Roman" w:cs="Times New Roman"/>
          <w:sz w:val="24"/>
          <w:szCs w:val="24"/>
        </w:rPr>
      </w:pPr>
    </w:p>
    <w:p w:rsidR="00C83DAD" w:rsidRPr="00302F9D" w:rsidRDefault="00C83DAD" w:rsidP="00C83DAD">
      <w:pPr>
        <w:autoSpaceDE w:val="0"/>
        <w:autoSpaceDN w:val="0"/>
        <w:adjustRightInd w:val="0"/>
        <w:spacing w:after="0" w:line="240" w:lineRule="auto"/>
        <w:rPr>
          <w:rFonts w:ascii="Times New Roman" w:hAnsi="Times New Roman" w:cs="Times New Roman"/>
          <w:b/>
          <w:bCs/>
          <w:i/>
          <w:iCs/>
          <w:sz w:val="21"/>
          <w:szCs w:val="21"/>
        </w:rPr>
      </w:pPr>
    </w:p>
    <w:p w:rsidR="00C83DAD" w:rsidRPr="00CC11AC" w:rsidRDefault="00D62DFF" w:rsidP="00C83DA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Existe </w:t>
      </w:r>
      <w:r w:rsidR="00CC11AC">
        <w:rPr>
          <w:rFonts w:ascii="Times New Roman" w:hAnsi="Times New Roman" w:cs="Times New Roman"/>
          <w:color w:val="000000"/>
          <w:sz w:val="24"/>
          <w:szCs w:val="24"/>
        </w:rPr>
        <w:t>mucha</w:t>
      </w:r>
      <w:r w:rsidR="00302F9D" w:rsidRPr="00302F9D">
        <w:rPr>
          <w:rFonts w:ascii="Times New Roman" w:hAnsi="Times New Roman" w:cs="Times New Roman"/>
          <w:color w:val="000000"/>
          <w:sz w:val="24"/>
          <w:szCs w:val="24"/>
        </w:rPr>
        <w:t xml:space="preserve"> incertidumbre</w:t>
      </w:r>
      <w:r>
        <w:rPr>
          <w:rFonts w:ascii="Times New Roman" w:hAnsi="Times New Roman" w:cs="Times New Roman"/>
          <w:color w:val="000000"/>
          <w:sz w:val="24"/>
          <w:szCs w:val="24"/>
        </w:rPr>
        <w:t xml:space="preserve"> para el futuro</w:t>
      </w:r>
      <w:r w:rsidR="00302F9D" w:rsidRPr="00302F9D">
        <w:rPr>
          <w:rFonts w:ascii="Times New Roman" w:hAnsi="Times New Roman" w:cs="Times New Roman"/>
          <w:color w:val="000000"/>
          <w:sz w:val="24"/>
          <w:szCs w:val="24"/>
        </w:rPr>
        <w:t xml:space="preserve">, pues los recientes estimados del incremento de la </w:t>
      </w:r>
      <w:r w:rsidR="005A1A58" w:rsidRPr="00302F9D">
        <w:rPr>
          <w:rFonts w:ascii="Times New Roman" w:hAnsi="Times New Roman" w:cs="Times New Roman"/>
          <w:color w:val="000000"/>
          <w:sz w:val="24"/>
          <w:szCs w:val="24"/>
        </w:rPr>
        <w:t>temperatura</w:t>
      </w:r>
      <w:r w:rsidR="005A1A58">
        <w:rPr>
          <w:rFonts w:ascii="Times New Roman" w:hAnsi="Times New Roman" w:cs="Times New Roman"/>
          <w:color w:val="000000"/>
          <w:sz w:val="24"/>
          <w:szCs w:val="24"/>
        </w:rPr>
        <w:t>,</w:t>
      </w:r>
      <w:r w:rsidR="00302F9D" w:rsidRPr="00302F9D">
        <w:rPr>
          <w:rFonts w:ascii="Times New Roman" w:hAnsi="Times New Roman" w:cs="Times New Roman"/>
          <w:color w:val="000000"/>
          <w:sz w:val="24"/>
          <w:szCs w:val="24"/>
        </w:rPr>
        <w:t xml:space="preserve"> de acuerdo al cuarto reporte del IPCC</w:t>
      </w:r>
      <w:r w:rsidR="00302F9D">
        <w:rPr>
          <w:rFonts w:ascii="Times New Roman" w:hAnsi="Times New Roman" w:cs="Times New Roman"/>
          <w:color w:val="000000"/>
          <w:sz w:val="24"/>
          <w:szCs w:val="24"/>
        </w:rPr>
        <w:t>,</w:t>
      </w:r>
      <w:r w:rsidR="00CC11AC">
        <w:rPr>
          <w:rFonts w:ascii="Times New Roman" w:hAnsi="Times New Roman" w:cs="Times New Roman"/>
          <w:color w:val="000000"/>
          <w:sz w:val="24"/>
          <w:szCs w:val="24"/>
        </w:rPr>
        <w:t>esta en el rango de 1.8-4</w:t>
      </w:r>
      <w:r w:rsidR="00302F9D" w:rsidRPr="00CC11AC">
        <w:rPr>
          <w:rFonts w:ascii="Times New Roman" w:hAnsi="Times New Roman" w:cs="Times New Roman"/>
          <w:color w:val="000000"/>
          <w:sz w:val="24"/>
          <w:szCs w:val="24"/>
          <w:vertAlign w:val="superscript"/>
        </w:rPr>
        <w:t>0</w:t>
      </w:r>
      <w:r w:rsidR="00302F9D" w:rsidRPr="00302F9D">
        <w:rPr>
          <w:rFonts w:ascii="Times New Roman" w:hAnsi="Times New Roman" w:cs="Times New Roman"/>
          <w:color w:val="000000"/>
          <w:sz w:val="24"/>
          <w:szCs w:val="24"/>
        </w:rPr>
        <w:t>Cen el period</w:t>
      </w:r>
      <w:r w:rsidR="005A1A58">
        <w:rPr>
          <w:rFonts w:ascii="Times New Roman" w:hAnsi="Times New Roman" w:cs="Times New Roman"/>
          <w:color w:val="000000"/>
          <w:sz w:val="24"/>
          <w:szCs w:val="24"/>
        </w:rPr>
        <w:t>o</w:t>
      </w:r>
      <w:r w:rsidR="00302F9D" w:rsidRPr="00302F9D">
        <w:rPr>
          <w:rFonts w:ascii="Times New Roman" w:hAnsi="Times New Roman" w:cs="Times New Roman"/>
          <w:color w:val="000000"/>
          <w:sz w:val="24"/>
          <w:szCs w:val="24"/>
        </w:rPr>
        <w:t xml:space="preserve"> 2090-2099 con relación 1980-1989, dependiendo del </w:t>
      </w:r>
      <w:r w:rsidR="005A1A58">
        <w:rPr>
          <w:rFonts w:ascii="Times New Roman" w:hAnsi="Times New Roman" w:cs="Times New Roman"/>
          <w:color w:val="000000"/>
          <w:sz w:val="24"/>
          <w:szCs w:val="24"/>
        </w:rPr>
        <w:t>e</w:t>
      </w:r>
      <w:r w:rsidR="00302F9D" w:rsidRPr="00302F9D">
        <w:rPr>
          <w:rFonts w:ascii="Times New Roman" w:hAnsi="Times New Roman" w:cs="Times New Roman"/>
          <w:color w:val="000000"/>
          <w:sz w:val="24"/>
          <w:szCs w:val="24"/>
        </w:rPr>
        <w:t>scenario futurode la emisi</w:t>
      </w:r>
      <w:r w:rsidR="00302F9D">
        <w:rPr>
          <w:rFonts w:ascii="Times New Roman" w:hAnsi="Times New Roman" w:cs="Times New Roman"/>
          <w:color w:val="000000"/>
          <w:sz w:val="24"/>
          <w:szCs w:val="24"/>
        </w:rPr>
        <w:t>ón de gases de efecto invernadero</w:t>
      </w:r>
      <w:r w:rsidR="005A1A58">
        <w:rPr>
          <w:rFonts w:ascii="Times New Roman" w:hAnsi="Times New Roman" w:cs="Times New Roman"/>
          <w:color w:val="000000"/>
          <w:sz w:val="24"/>
          <w:szCs w:val="24"/>
        </w:rPr>
        <w:t xml:space="preserve"> (3).</w:t>
      </w:r>
    </w:p>
    <w:p w:rsidR="00C83DAD" w:rsidRPr="00CC11AC" w:rsidRDefault="00C83DAD" w:rsidP="00C83DAD">
      <w:pPr>
        <w:autoSpaceDE w:val="0"/>
        <w:autoSpaceDN w:val="0"/>
        <w:adjustRightInd w:val="0"/>
        <w:spacing w:after="0" w:line="240" w:lineRule="auto"/>
        <w:rPr>
          <w:rFonts w:ascii="Times New Roman" w:hAnsi="Times New Roman" w:cs="Times New Roman"/>
          <w:sz w:val="24"/>
          <w:szCs w:val="24"/>
        </w:rPr>
      </w:pPr>
    </w:p>
    <w:p w:rsidR="005A1A58" w:rsidRPr="005A1A58" w:rsidRDefault="002F0BB0" w:rsidP="005A1A58">
      <w:pPr>
        <w:autoSpaceDE w:val="0"/>
        <w:autoSpaceDN w:val="0"/>
        <w:adjustRightInd w:val="0"/>
        <w:spacing w:after="0" w:line="240" w:lineRule="auto"/>
        <w:jc w:val="both"/>
        <w:rPr>
          <w:rFonts w:ascii="Times New Roman" w:hAnsi="Times New Roman" w:cs="Times New Roman"/>
          <w:sz w:val="24"/>
          <w:szCs w:val="24"/>
        </w:rPr>
      </w:pPr>
      <w:r w:rsidRPr="005A1A58">
        <w:rPr>
          <w:rFonts w:ascii="Times New Roman" w:hAnsi="Times New Roman" w:cs="Times New Roman"/>
          <w:sz w:val="24"/>
          <w:szCs w:val="24"/>
        </w:rPr>
        <w:lastRenderedPageBreak/>
        <w:t>Cuba no constituye una excepción a lo expresado anteriormente. En lo que respecta al clima, durante el siglo XX la temperatura media anual del país aumentó 0,6 °C con respecto al promedio histórico, en tanto que la temperatura mínima media anual aumentó 1,4 °C</w:t>
      </w:r>
      <w:r w:rsidR="005A1A58" w:rsidRPr="005A1A58">
        <w:rPr>
          <w:rFonts w:ascii="Times New Roman" w:hAnsi="Times New Roman" w:cs="Times New Roman"/>
          <w:sz w:val="24"/>
          <w:szCs w:val="24"/>
        </w:rPr>
        <w:t xml:space="preserve"> (4).</w:t>
      </w:r>
    </w:p>
    <w:p w:rsidR="005A1A58" w:rsidRPr="005A1A58" w:rsidRDefault="005A1A58" w:rsidP="005A1A58">
      <w:pPr>
        <w:autoSpaceDE w:val="0"/>
        <w:autoSpaceDN w:val="0"/>
        <w:adjustRightInd w:val="0"/>
        <w:spacing w:after="0" w:line="240" w:lineRule="auto"/>
        <w:jc w:val="both"/>
        <w:rPr>
          <w:rFonts w:ascii="Times New Roman" w:hAnsi="Times New Roman" w:cs="Times New Roman"/>
          <w:sz w:val="24"/>
          <w:szCs w:val="24"/>
        </w:rPr>
      </w:pPr>
    </w:p>
    <w:p w:rsidR="002F0BB0" w:rsidRPr="005A1A58" w:rsidRDefault="002F0BB0" w:rsidP="005A1A58">
      <w:pPr>
        <w:autoSpaceDE w:val="0"/>
        <w:autoSpaceDN w:val="0"/>
        <w:adjustRightInd w:val="0"/>
        <w:spacing w:after="0" w:line="240" w:lineRule="auto"/>
        <w:jc w:val="both"/>
        <w:rPr>
          <w:rFonts w:ascii="Times New Roman" w:hAnsi="Times New Roman" w:cs="Times New Roman"/>
          <w:sz w:val="24"/>
          <w:szCs w:val="24"/>
          <w:lang w:val="es-ES"/>
        </w:rPr>
      </w:pPr>
      <w:r w:rsidRPr="005A1A58">
        <w:rPr>
          <w:rFonts w:ascii="Times New Roman" w:hAnsi="Times New Roman" w:cs="Times New Roman"/>
          <w:sz w:val="24"/>
          <w:szCs w:val="24"/>
          <w:lang w:val="es-DO"/>
        </w:rPr>
        <w:t>En términos generales se observa que, mientras en el período 1961-1991 la estimación de la temperatura mínima media del aire a nivel del mar varió entre 21,9 y 23,7 °C, en el 2031 estos valores estarían entre 23,2 y 25,2 °C, elevándose hasta un intervalo de 24,0 y 25,2 °C en el 2051, para ubicarse a fines del siglo entre 25,1 y 26,7 °C, con un rango de aumento con respecto al 61-91 de 3,0 a 3,2 °C.</w:t>
      </w:r>
      <w:r w:rsidR="005A1A58" w:rsidRPr="005A1A58">
        <w:rPr>
          <w:rFonts w:ascii="Times New Roman" w:hAnsi="Times New Roman" w:cs="Times New Roman"/>
          <w:sz w:val="24"/>
          <w:szCs w:val="24"/>
          <w:lang w:val="es-DO"/>
        </w:rPr>
        <w:t xml:space="preserve"> En cuanto a la temperatura máxima del aire </w:t>
      </w:r>
      <w:r w:rsidRPr="005A1A58">
        <w:rPr>
          <w:rFonts w:ascii="Times New Roman" w:hAnsi="Times New Roman" w:cs="Times New Roman"/>
          <w:sz w:val="24"/>
          <w:szCs w:val="24"/>
          <w:lang w:val="es-DO"/>
        </w:rPr>
        <w:t xml:space="preserve"> mientras en el período 1961-1991 la estimación varió entre 30,3 y 31,3 °C, en el 2031 estos valores estarían entre 31,7 y 32,0 °C, elevándose hasta un intervalo de 32,3 y 32,4 °C en el 2051, para ubicarse a fines del siglo entre 33,9 y 35,2 °C, con un rango de aumento con respecto al 61-91 de 3,6 a 3,9 °C.</w:t>
      </w:r>
      <w:r w:rsidR="005A1A58" w:rsidRPr="005A1A58">
        <w:rPr>
          <w:rFonts w:ascii="Times New Roman" w:hAnsi="Times New Roman" w:cs="Times New Roman"/>
          <w:sz w:val="24"/>
          <w:szCs w:val="24"/>
          <w:lang w:val="es-DO"/>
        </w:rPr>
        <w:t xml:space="preserve"> (5)</w:t>
      </w:r>
    </w:p>
    <w:p w:rsidR="00C83DAD" w:rsidRDefault="00C83DAD" w:rsidP="00C83DAD">
      <w:pPr>
        <w:autoSpaceDE w:val="0"/>
        <w:autoSpaceDN w:val="0"/>
        <w:adjustRightInd w:val="0"/>
        <w:spacing w:after="0" w:line="240" w:lineRule="auto"/>
        <w:rPr>
          <w:rFonts w:ascii="Times New Roman" w:hAnsi="Times New Roman" w:cs="Times New Roman"/>
          <w:sz w:val="24"/>
          <w:szCs w:val="24"/>
        </w:rPr>
      </w:pPr>
    </w:p>
    <w:p w:rsidR="003526C0" w:rsidRPr="00DC2EB6" w:rsidRDefault="003526C0" w:rsidP="00DC2EB6">
      <w:pPr>
        <w:autoSpaceDE w:val="0"/>
        <w:autoSpaceDN w:val="0"/>
        <w:adjustRightInd w:val="0"/>
        <w:spacing w:after="0" w:line="240" w:lineRule="auto"/>
        <w:jc w:val="both"/>
        <w:rPr>
          <w:rFonts w:ascii="Times New Roman" w:hAnsi="Times New Roman" w:cs="Times New Roman"/>
          <w:sz w:val="24"/>
          <w:szCs w:val="24"/>
        </w:rPr>
      </w:pPr>
      <w:commentRangeStart w:id="5"/>
      <w:r w:rsidRPr="00DC2EB6">
        <w:rPr>
          <w:rFonts w:ascii="Times New Roman" w:hAnsi="Times New Roman" w:cs="Times New Roman"/>
          <w:color w:val="231F20"/>
          <w:sz w:val="24"/>
          <w:szCs w:val="24"/>
        </w:rPr>
        <w:t>El cultivo del maíz, es un importante cereal en laalimentación humana y animal. Además, por el uso quehace del agua, en diferentes condiciones de disponibilidado déficit hídrico, tiene particularidades importantes en elmanejo tecnológico (5). Al mismo tiempo es una de lasespecies con un elevado potencial de rendimiento asociadocon altos niveles de fotosíntesis.</w:t>
      </w:r>
      <w:r w:rsidR="00CC11AC">
        <w:rPr>
          <w:rFonts w:ascii="Times New Roman" w:hAnsi="Times New Roman" w:cs="Times New Roman"/>
          <w:sz w:val="24"/>
          <w:szCs w:val="24"/>
        </w:rPr>
        <w:t>su</w:t>
      </w:r>
      <w:r w:rsidRPr="00DC2EB6">
        <w:rPr>
          <w:rFonts w:ascii="Times New Roman" w:hAnsi="Times New Roman" w:cs="Times New Roman"/>
          <w:sz w:val="24"/>
          <w:szCs w:val="24"/>
        </w:rPr>
        <w:t xml:space="preserve"> comportamie</w:t>
      </w:r>
      <w:r w:rsidR="00CC11AC">
        <w:rPr>
          <w:rFonts w:ascii="Times New Roman" w:hAnsi="Times New Roman" w:cs="Times New Roman"/>
          <w:sz w:val="24"/>
          <w:szCs w:val="24"/>
        </w:rPr>
        <w:t>nto fotosintético</w:t>
      </w:r>
      <w:r w:rsidRPr="00DC2EB6">
        <w:rPr>
          <w:rFonts w:ascii="Times New Roman" w:hAnsi="Times New Roman" w:cs="Times New Roman"/>
          <w:sz w:val="24"/>
          <w:szCs w:val="24"/>
        </w:rPr>
        <w:t>, difierenotablemente del resto de los cultivos templados</w:t>
      </w:r>
      <w:r w:rsidR="002D16FC" w:rsidRPr="00DC2EB6">
        <w:rPr>
          <w:rFonts w:ascii="Times New Roman" w:hAnsi="Times New Roman" w:cs="Times New Roman"/>
          <w:color w:val="231F20"/>
          <w:sz w:val="24"/>
          <w:szCs w:val="24"/>
        </w:rPr>
        <w:t>(2)</w:t>
      </w:r>
      <w:r w:rsidRPr="00DC2EB6">
        <w:rPr>
          <w:rFonts w:ascii="Times New Roman" w:hAnsi="Times New Roman" w:cs="Times New Roman"/>
          <w:sz w:val="24"/>
          <w:szCs w:val="24"/>
        </w:rPr>
        <w:t xml:space="preserve">. Todoello es consecuencia de que </w:t>
      </w:r>
      <w:r w:rsidR="00CC11AC">
        <w:rPr>
          <w:rFonts w:ascii="Times New Roman" w:hAnsi="Times New Roman" w:cs="Times New Roman"/>
          <w:sz w:val="24"/>
          <w:szCs w:val="24"/>
        </w:rPr>
        <w:t>es una planta</w:t>
      </w:r>
      <w:r w:rsidRPr="00DC2EB6">
        <w:rPr>
          <w:rFonts w:ascii="Times New Roman" w:hAnsi="Times New Roman" w:cs="Times New Roman"/>
          <w:sz w:val="24"/>
          <w:szCs w:val="24"/>
        </w:rPr>
        <w:t xml:space="preserve"> C4, al ser elproducto primario de la fijación del carbono </w:t>
      </w:r>
      <w:r w:rsidR="002D16FC">
        <w:rPr>
          <w:rFonts w:ascii="Times New Roman" w:hAnsi="Times New Roman" w:cs="Times New Roman"/>
          <w:sz w:val="24"/>
          <w:szCs w:val="24"/>
        </w:rPr>
        <w:t xml:space="preserve">el </w:t>
      </w:r>
      <w:r w:rsidRPr="00DC2EB6">
        <w:rPr>
          <w:rFonts w:ascii="Times New Roman" w:hAnsi="Times New Roman" w:cs="Times New Roman"/>
          <w:sz w:val="24"/>
          <w:szCs w:val="24"/>
        </w:rPr>
        <w:t>ácidodicarboxílico, con un</w:t>
      </w:r>
      <w:r w:rsidR="002D16FC">
        <w:rPr>
          <w:rFonts w:ascii="Times New Roman" w:hAnsi="Times New Roman" w:cs="Times New Roman"/>
          <w:sz w:val="24"/>
          <w:szCs w:val="24"/>
        </w:rPr>
        <w:t>a estructura de cuatro carbonos; l</w:t>
      </w:r>
      <w:r w:rsidRPr="00DC2EB6">
        <w:rPr>
          <w:rFonts w:ascii="Times New Roman" w:hAnsi="Times New Roman" w:cs="Times New Roman"/>
          <w:sz w:val="24"/>
          <w:szCs w:val="24"/>
        </w:rPr>
        <w:t xml:space="preserve">ocual tiene </w:t>
      </w:r>
      <w:r w:rsidR="00567273" w:rsidRPr="00DC2EB6">
        <w:rPr>
          <w:rFonts w:ascii="Times New Roman" w:hAnsi="Times New Roman" w:cs="Times New Roman"/>
          <w:sz w:val="24"/>
          <w:szCs w:val="24"/>
        </w:rPr>
        <w:t>importantes efectos ecológicos y agronómicos</w:t>
      </w:r>
      <w:r w:rsidRPr="00DC2EB6">
        <w:rPr>
          <w:rFonts w:ascii="Times New Roman" w:hAnsi="Times New Roman" w:cs="Times New Roman"/>
          <w:sz w:val="24"/>
          <w:szCs w:val="24"/>
        </w:rPr>
        <w:t>,entre ellos, la influencia de la temperatura y la intensidadluminosa, que son req</w:t>
      </w:r>
      <w:r w:rsidR="00567273">
        <w:rPr>
          <w:rFonts w:ascii="Times New Roman" w:hAnsi="Times New Roman" w:cs="Times New Roman"/>
          <w:sz w:val="24"/>
          <w:szCs w:val="24"/>
        </w:rPr>
        <w:t>ueridas a altos niveles en este</w:t>
      </w:r>
      <w:r w:rsidRPr="00DC2EB6">
        <w:rPr>
          <w:rFonts w:ascii="Times New Roman" w:hAnsi="Times New Roman" w:cs="Times New Roman"/>
          <w:sz w:val="24"/>
          <w:szCs w:val="24"/>
        </w:rPr>
        <w:t>cultivos (1, 8).</w:t>
      </w:r>
      <w:commentRangeEnd w:id="5"/>
      <w:r w:rsidRPr="00DC2EB6">
        <w:rPr>
          <w:rStyle w:val="Refdecomentario"/>
          <w:rFonts w:ascii="Times New Roman" w:hAnsi="Times New Roman" w:cs="Times New Roman"/>
          <w:sz w:val="24"/>
          <w:szCs w:val="24"/>
        </w:rPr>
        <w:commentReference w:id="5"/>
      </w:r>
    </w:p>
    <w:p w:rsidR="0028583D" w:rsidRDefault="0028583D" w:rsidP="003526C0">
      <w:pPr>
        <w:autoSpaceDE w:val="0"/>
        <w:autoSpaceDN w:val="0"/>
        <w:adjustRightInd w:val="0"/>
        <w:spacing w:after="0" w:line="240" w:lineRule="auto"/>
        <w:rPr>
          <w:rFonts w:ascii="Helvetica" w:hAnsi="Helvetica" w:cs="Helvetica"/>
          <w:sz w:val="20"/>
          <w:szCs w:val="20"/>
        </w:rPr>
      </w:pPr>
    </w:p>
    <w:p w:rsidR="00C83DAD" w:rsidRDefault="00C83DAD" w:rsidP="00C83DAD">
      <w:pPr>
        <w:autoSpaceDE w:val="0"/>
        <w:autoSpaceDN w:val="0"/>
        <w:adjustRightInd w:val="0"/>
        <w:spacing w:after="0" w:line="240" w:lineRule="auto"/>
        <w:rPr>
          <w:rFonts w:ascii="Times New Roman" w:hAnsi="Times New Roman" w:cs="Times New Roman"/>
          <w:sz w:val="24"/>
          <w:szCs w:val="24"/>
        </w:rPr>
      </w:pPr>
    </w:p>
    <w:p w:rsidR="00025947" w:rsidRDefault="00025947" w:rsidP="00C83DAD">
      <w:pPr>
        <w:autoSpaceDE w:val="0"/>
        <w:autoSpaceDN w:val="0"/>
        <w:adjustRightInd w:val="0"/>
        <w:spacing w:after="0" w:line="240" w:lineRule="auto"/>
        <w:rPr>
          <w:rFonts w:ascii="Times New Roman" w:hAnsi="Times New Roman" w:cs="Times New Roman"/>
          <w:sz w:val="24"/>
          <w:szCs w:val="24"/>
        </w:rPr>
      </w:pPr>
    </w:p>
    <w:p w:rsidR="003526C0" w:rsidRDefault="00025947" w:rsidP="00C83DAD">
      <w:pPr>
        <w:autoSpaceDE w:val="0"/>
        <w:autoSpaceDN w:val="0"/>
        <w:adjustRightInd w:val="0"/>
        <w:spacing w:after="0" w:line="240" w:lineRule="auto"/>
        <w:rPr>
          <w:rFonts w:ascii="Times New Roman" w:hAnsi="Times New Roman" w:cs="Times New Roman"/>
          <w:b/>
          <w:sz w:val="24"/>
          <w:szCs w:val="24"/>
        </w:rPr>
      </w:pPr>
      <w:r w:rsidRPr="00025947">
        <w:rPr>
          <w:rFonts w:ascii="Times New Roman" w:hAnsi="Times New Roman" w:cs="Times New Roman"/>
          <w:b/>
          <w:sz w:val="24"/>
          <w:szCs w:val="24"/>
        </w:rPr>
        <w:t>Materiales y Métodos</w:t>
      </w:r>
    </w:p>
    <w:p w:rsidR="00025947" w:rsidRDefault="00025947" w:rsidP="00C83DAD">
      <w:pPr>
        <w:autoSpaceDE w:val="0"/>
        <w:autoSpaceDN w:val="0"/>
        <w:adjustRightInd w:val="0"/>
        <w:spacing w:after="0" w:line="240" w:lineRule="auto"/>
        <w:rPr>
          <w:rFonts w:ascii="Times New Roman" w:hAnsi="Times New Roman" w:cs="Times New Roman"/>
          <w:b/>
          <w:sz w:val="24"/>
          <w:szCs w:val="24"/>
        </w:rPr>
      </w:pPr>
    </w:p>
    <w:p w:rsidR="00785478" w:rsidRDefault="00594882" w:rsidP="0002594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Sit</w:t>
      </w:r>
      <w:r w:rsidR="007C14AF">
        <w:rPr>
          <w:rFonts w:ascii="Times New Roman" w:eastAsia="Calibri" w:hAnsi="Times New Roman" w:cs="Times New Roman"/>
          <w:sz w:val="24"/>
          <w:szCs w:val="24"/>
        </w:rPr>
        <w:t>ios experimentales e información obtenida.</w:t>
      </w:r>
    </w:p>
    <w:p w:rsidR="007C14AF" w:rsidRDefault="007C14AF" w:rsidP="00025947">
      <w:pPr>
        <w:contextualSpacing/>
        <w:jc w:val="both"/>
        <w:rPr>
          <w:rFonts w:ascii="Times New Roman" w:eastAsia="Calibri" w:hAnsi="Times New Roman" w:cs="Times New Roman"/>
          <w:sz w:val="24"/>
          <w:szCs w:val="24"/>
        </w:rPr>
      </w:pPr>
    </w:p>
    <w:p w:rsidR="007C14AF" w:rsidRDefault="007C14AF" w:rsidP="0002594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Los datos de campo para calibrar el modelo se obtuvieron de 4 experimentos con diferentes fechas de siembra, desarrollados en el Instituto Nacional de Ciencias Agrícolas (23</w:t>
      </w:r>
      <w:r w:rsidRPr="007C14AF">
        <w:rPr>
          <w:rFonts w:ascii="Times New Roman" w:eastAsia="Calibri" w:hAnsi="Times New Roman" w:cs="Times New Roman"/>
          <w:sz w:val="24"/>
          <w:szCs w:val="24"/>
          <w:vertAlign w:val="superscript"/>
        </w:rPr>
        <w:t>0</w:t>
      </w:r>
      <w:r>
        <w:rPr>
          <w:rFonts w:ascii="Times New Roman" w:eastAsia="Calibri" w:hAnsi="Times New Roman" w:cs="Times New Roman"/>
          <w:sz w:val="24"/>
          <w:szCs w:val="24"/>
        </w:rPr>
        <w:t xml:space="preserve"> 01' Latitud Norte y 82</w:t>
      </w:r>
      <w:r w:rsidRPr="007C14AF">
        <w:rPr>
          <w:rFonts w:ascii="Times New Roman" w:eastAsia="Calibri" w:hAnsi="Times New Roman" w:cs="Times New Roman"/>
          <w:sz w:val="24"/>
          <w:szCs w:val="24"/>
          <w:vertAlign w:val="superscript"/>
        </w:rPr>
        <w:t>0</w:t>
      </w:r>
      <w:r>
        <w:rPr>
          <w:rFonts w:ascii="Times New Roman" w:eastAsia="Calibri" w:hAnsi="Times New Roman" w:cs="Times New Roman"/>
          <w:sz w:val="24"/>
          <w:szCs w:val="24"/>
        </w:rPr>
        <w:t xml:space="preserve"> 08' Longitud Oeste a 138 msnm), cuyas características de clima y suelo aparecen en las tablas 1 y 2. Se utilizó la variedad de maíz (Zea maíz L.) P-7928, una de las mas extendidas en el país. Las fechas de siembra fueron: noviembre de 2008, junio y julio de 2009 y enero de 2010; se utilizó un diseño muestral den parcelas de 100 m</w:t>
      </w:r>
      <w:r w:rsidRPr="00F71AED">
        <w:rPr>
          <w:rFonts w:ascii="Times New Roman" w:eastAsia="Calibri" w:hAnsi="Times New Roman" w:cs="Times New Roman"/>
          <w:sz w:val="24"/>
          <w:szCs w:val="24"/>
          <w:vertAlign w:val="superscript"/>
        </w:rPr>
        <w:t>2</w:t>
      </w:r>
      <w:r w:rsidR="00F71AED">
        <w:rPr>
          <w:rFonts w:ascii="Times New Roman" w:eastAsia="Calibri" w:hAnsi="Times New Roman" w:cs="Times New Roman"/>
          <w:sz w:val="24"/>
          <w:szCs w:val="24"/>
        </w:rPr>
        <w:t>.</w:t>
      </w:r>
    </w:p>
    <w:p w:rsidR="00F71AED" w:rsidRDefault="00F71AED" w:rsidP="00025947">
      <w:pPr>
        <w:contextualSpacing/>
        <w:jc w:val="both"/>
        <w:rPr>
          <w:rFonts w:ascii="Times New Roman" w:eastAsia="Calibri" w:hAnsi="Times New Roman" w:cs="Times New Roman"/>
          <w:sz w:val="24"/>
          <w:szCs w:val="24"/>
        </w:rPr>
      </w:pPr>
    </w:p>
    <w:p w:rsidR="00F71AED" w:rsidRDefault="00F71AED" w:rsidP="0002594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Se utilizó una densidad de 50000 plantas.ha</w:t>
      </w:r>
      <w:r w:rsidRPr="00F71AED">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se aplicaron a 120 Kg de N. ha</w:t>
      </w:r>
      <w:r w:rsidRPr="00F71AED">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en tres momentos: siembra y a los 30 y días después de la emergencia) y 60 Kg de P</w:t>
      </w:r>
      <w:r w:rsidRPr="00F71AED">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O</w:t>
      </w:r>
      <w:r w:rsidRPr="00F71AED">
        <w:rPr>
          <w:rFonts w:ascii="Times New Roman" w:eastAsia="Calibri" w:hAnsi="Times New Roman" w:cs="Times New Roman"/>
          <w:sz w:val="24"/>
          <w:szCs w:val="24"/>
          <w:vertAlign w:val="subscript"/>
        </w:rPr>
        <w:t>5</w:t>
      </w:r>
      <w:r>
        <w:rPr>
          <w:rFonts w:ascii="Times New Roman" w:eastAsia="Calibri" w:hAnsi="Times New Roman" w:cs="Times New Roman"/>
          <w:sz w:val="24"/>
          <w:szCs w:val="24"/>
        </w:rPr>
        <w:t xml:space="preserve"> y de K</w:t>
      </w:r>
      <w:r w:rsidRPr="00F71AED">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O. ha</w:t>
      </w:r>
      <w:r w:rsidRPr="00F71AED">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en el momento de la siembra; las atenciones culturales se hicieron de acuerdo a las recomendaciones técnicas para el cultivo del maíz ( ), de tal forma que las plantas de desarrollaran sin ningún tipo de limitación.</w:t>
      </w:r>
    </w:p>
    <w:p w:rsidR="00F71AED" w:rsidRDefault="00F71AED" w:rsidP="00025947">
      <w:pPr>
        <w:contextualSpacing/>
        <w:jc w:val="both"/>
        <w:rPr>
          <w:rFonts w:ascii="Times New Roman" w:eastAsia="Calibri" w:hAnsi="Times New Roman" w:cs="Times New Roman"/>
          <w:sz w:val="24"/>
          <w:szCs w:val="24"/>
        </w:rPr>
      </w:pPr>
    </w:p>
    <w:p w:rsidR="00C82083" w:rsidRDefault="00F71AED" w:rsidP="0002594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Se anotaron las fechas en que ocurrieron las diferentes fases fenológicas analizadas (emergencia, emisión de la hoja bandera, emisión de la espiga, floración, formación de los granos, madurez fisiológica y cosecha), en cada una de esas fases</w:t>
      </w:r>
      <w:r w:rsidR="00C82083">
        <w:rPr>
          <w:rFonts w:ascii="Times New Roman" w:eastAsia="Calibri" w:hAnsi="Times New Roman" w:cs="Times New Roman"/>
          <w:sz w:val="24"/>
          <w:szCs w:val="24"/>
        </w:rPr>
        <w:t xml:space="preserve"> se tomaron 10 plantas y se les evaluó lo siguiente:</w:t>
      </w:r>
    </w:p>
    <w:p w:rsidR="00C82083" w:rsidRDefault="00C82083" w:rsidP="00025947">
      <w:pPr>
        <w:contextualSpacing/>
        <w:jc w:val="both"/>
        <w:rPr>
          <w:rFonts w:ascii="Times New Roman" w:eastAsia="Calibri" w:hAnsi="Times New Roman" w:cs="Times New Roman"/>
          <w:sz w:val="24"/>
          <w:szCs w:val="24"/>
        </w:rPr>
      </w:pPr>
    </w:p>
    <w:p w:rsidR="00C82083" w:rsidRDefault="00C82083" w:rsidP="0002594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Masa seca de la parte aérea por cada uno de los órganos.</w:t>
      </w:r>
    </w:p>
    <w:p w:rsidR="00C82083" w:rsidRDefault="00C82083" w:rsidP="0002594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Índice de Área Foliar.</w:t>
      </w:r>
    </w:p>
    <w:p w:rsidR="00C82083" w:rsidRDefault="00C82083" w:rsidP="0002594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Peso de 1000 granos.</w:t>
      </w:r>
    </w:p>
    <w:p w:rsidR="00F71AED" w:rsidRDefault="00C82083" w:rsidP="0002594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Granos.m</w:t>
      </w:r>
      <w:r w:rsidRPr="00C82083">
        <w:rPr>
          <w:rFonts w:ascii="Times New Roman" w:eastAsia="Calibri" w:hAnsi="Times New Roman" w:cs="Times New Roman"/>
          <w:sz w:val="24"/>
          <w:szCs w:val="24"/>
          <w:vertAlign w:val="superscript"/>
        </w:rPr>
        <w:t>2</w:t>
      </w:r>
    </w:p>
    <w:p w:rsidR="00C82083" w:rsidRDefault="00C82083" w:rsidP="00025947">
      <w:pPr>
        <w:contextualSpacing/>
        <w:jc w:val="both"/>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 Granos.mazorca</w:t>
      </w:r>
      <w:r w:rsidRPr="00C82083">
        <w:rPr>
          <w:rFonts w:ascii="Times New Roman" w:eastAsia="Calibri" w:hAnsi="Times New Roman" w:cs="Times New Roman"/>
          <w:sz w:val="24"/>
          <w:szCs w:val="24"/>
          <w:vertAlign w:val="superscript"/>
        </w:rPr>
        <w:t>-1</w:t>
      </w:r>
    </w:p>
    <w:p w:rsidR="00C82083" w:rsidRDefault="00C82083" w:rsidP="00025947">
      <w:pPr>
        <w:contextualSpacing/>
        <w:jc w:val="both"/>
        <w:rPr>
          <w:rFonts w:ascii="Times New Roman" w:eastAsia="Calibri" w:hAnsi="Times New Roman" w:cs="Times New Roman"/>
          <w:sz w:val="24"/>
          <w:szCs w:val="24"/>
        </w:rPr>
      </w:pPr>
      <w:r w:rsidRPr="00C82083">
        <w:rPr>
          <w:rFonts w:ascii="Times New Roman" w:eastAsia="Calibri" w:hAnsi="Times New Roman" w:cs="Times New Roman"/>
          <w:sz w:val="24"/>
          <w:szCs w:val="24"/>
        </w:rPr>
        <w:t>. Índice de cosecha.</w:t>
      </w:r>
    </w:p>
    <w:p w:rsidR="00C82083" w:rsidRDefault="00C82083" w:rsidP="00025947">
      <w:pPr>
        <w:contextualSpacing/>
        <w:jc w:val="both"/>
        <w:rPr>
          <w:rFonts w:ascii="Times New Roman" w:eastAsia="Calibri" w:hAnsi="Times New Roman" w:cs="Times New Roman"/>
          <w:sz w:val="24"/>
          <w:szCs w:val="24"/>
        </w:rPr>
      </w:pPr>
    </w:p>
    <w:p w:rsidR="00C82083" w:rsidRDefault="00C82083" w:rsidP="0002594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Además se realizaron los análisis de suelo en cada experimento y los contenidos de N, P y K en cada órgano de la planta en el momento de la cosecha.</w:t>
      </w:r>
    </w:p>
    <w:p w:rsidR="00C82083" w:rsidRDefault="00C82083" w:rsidP="00025947">
      <w:pPr>
        <w:contextualSpacing/>
        <w:jc w:val="both"/>
        <w:rPr>
          <w:rFonts w:ascii="Times New Roman" w:eastAsia="Calibri" w:hAnsi="Times New Roman" w:cs="Times New Roman"/>
          <w:sz w:val="24"/>
          <w:szCs w:val="24"/>
        </w:rPr>
      </w:pPr>
    </w:p>
    <w:p w:rsidR="00C82083" w:rsidRDefault="00C82083" w:rsidP="0002594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Calibración del modelo.</w:t>
      </w:r>
    </w:p>
    <w:p w:rsidR="00C82083" w:rsidRDefault="00C82083" w:rsidP="00025947">
      <w:pPr>
        <w:contextualSpacing/>
        <w:jc w:val="both"/>
        <w:rPr>
          <w:rFonts w:ascii="Times New Roman" w:eastAsia="Calibri" w:hAnsi="Times New Roman" w:cs="Times New Roman"/>
          <w:sz w:val="24"/>
          <w:szCs w:val="24"/>
        </w:rPr>
      </w:pPr>
    </w:p>
    <w:p w:rsidR="007B7018" w:rsidRDefault="007B7018" w:rsidP="0002594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Se obtuvieron los coeficientes genéticos P</w:t>
      </w:r>
      <w:r w:rsidRPr="007B7018">
        <w:rPr>
          <w:rFonts w:ascii="Times New Roman" w:eastAsia="Calibri" w:hAnsi="Times New Roman" w:cs="Times New Roman"/>
          <w:sz w:val="24"/>
          <w:szCs w:val="24"/>
          <w:vertAlign w:val="subscript"/>
        </w:rPr>
        <w:t>1</w:t>
      </w:r>
      <w:r>
        <w:rPr>
          <w:rFonts w:ascii="Times New Roman" w:eastAsia="Calibri" w:hAnsi="Times New Roman" w:cs="Times New Roman"/>
          <w:sz w:val="24"/>
          <w:szCs w:val="24"/>
        </w:rPr>
        <w:t>, P</w:t>
      </w:r>
      <w:r w:rsidRPr="007B7018">
        <w:rPr>
          <w:rFonts w:ascii="Times New Roman" w:eastAsia="Calibri" w:hAnsi="Times New Roman" w:cs="Times New Roman"/>
          <w:sz w:val="24"/>
          <w:szCs w:val="24"/>
          <w:vertAlign w:val="subscript"/>
        </w:rPr>
        <w:t>5</w:t>
      </w:r>
      <w:r>
        <w:rPr>
          <w:rFonts w:ascii="Times New Roman" w:eastAsia="Calibri" w:hAnsi="Times New Roman" w:cs="Times New Roman"/>
          <w:sz w:val="24"/>
          <w:szCs w:val="24"/>
        </w:rPr>
        <w:t xml:space="preserve"> y G</w:t>
      </w:r>
      <w:r w:rsidRPr="007B7018">
        <w:rPr>
          <w:rFonts w:ascii="Times New Roman" w:eastAsia="Calibri" w:hAnsi="Times New Roman" w:cs="Times New Roman"/>
          <w:sz w:val="24"/>
          <w:szCs w:val="24"/>
          <w:vertAlign w:val="subscript"/>
        </w:rPr>
        <w:t>3</w:t>
      </w:r>
      <w:r>
        <w:rPr>
          <w:rFonts w:ascii="Times New Roman" w:eastAsia="Calibri" w:hAnsi="Times New Roman" w:cs="Times New Roman"/>
          <w:sz w:val="24"/>
          <w:szCs w:val="24"/>
          <w:vertAlign w:val="subscript"/>
        </w:rPr>
        <w:t>,</w:t>
      </w:r>
      <w:r>
        <w:rPr>
          <w:rFonts w:ascii="Times New Roman" w:eastAsia="Calibri" w:hAnsi="Times New Roman" w:cs="Times New Roman"/>
          <w:sz w:val="24"/>
          <w:szCs w:val="24"/>
        </w:rPr>
        <w:t xml:space="preserve"> además se calcularon las diferentes variables que contienen los ficheros A, </w:t>
      </w:r>
      <w:r w:rsidR="00766692">
        <w:rPr>
          <w:rFonts w:ascii="Times New Roman" w:eastAsia="Calibri" w:hAnsi="Times New Roman" w:cs="Times New Roman"/>
          <w:sz w:val="24"/>
          <w:szCs w:val="24"/>
        </w:rPr>
        <w:t>T y X del modelo DSSAT v 4</w:t>
      </w:r>
      <w:r>
        <w:rPr>
          <w:rFonts w:ascii="Times New Roman" w:eastAsia="Calibri" w:hAnsi="Times New Roman" w:cs="Times New Roman"/>
          <w:sz w:val="24"/>
          <w:szCs w:val="24"/>
        </w:rPr>
        <w:t>,5, así como los ficheros de suelo y clima, en este último caso los datos fueron tomados de una Estación Meteorológica próxima al sitio experimental.</w:t>
      </w:r>
    </w:p>
    <w:p w:rsidR="007B7018" w:rsidRDefault="007B7018" w:rsidP="00025947">
      <w:pPr>
        <w:contextualSpacing/>
        <w:jc w:val="both"/>
        <w:rPr>
          <w:rFonts w:ascii="Times New Roman" w:eastAsia="Calibri" w:hAnsi="Times New Roman" w:cs="Times New Roman"/>
          <w:sz w:val="24"/>
          <w:szCs w:val="24"/>
        </w:rPr>
      </w:pPr>
    </w:p>
    <w:p w:rsidR="007B7018" w:rsidRDefault="007B7018" w:rsidP="0002594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Para evaluar la validez del modelo se utilizaron dos indicadores de eficiencia: RMSE (Cuadrado Medio del Error Residual) y d (Índice de aceptación), comparando los valores observados con los simulados</w:t>
      </w:r>
      <w:r w:rsidR="00594882">
        <w:rPr>
          <w:rFonts w:ascii="Times New Roman" w:eastAsia="Calibri" w:hAnsi="Times New Roman" w:cs="Times New Roman"/>
          <w:sz w:val="24"/>
          <w:szCs w:val="24"/>
        </w:rPr>
        <w:t xml:space="preserve"> </w:t>
      </w:r>
      <w:r w:rsidR="008238C3" w:rsidRPr="008238C3">
        <w:rPr>
          <w:rStyle w:val="Textoennegrita"/>
          <w:rFonts w:ascii="Times New Roman" w:hAnsi="Times New Roman" w:cs="Times New Roman"/>
          <w:b w:val="0"/>
          <w:color w:val="000000"/>
          <w:sz w:val="24"/>
          <w:szCs w:val="24"/>
          <w:lang w:val="es-ES"/>
        </w:rPr>
        <w:t>Sascendan et. al., (2010)</w:t>
      </w:r>
      <w:r>
        <w:rPr>
          <w:rFonts w:ascii="Times New Roman" w:eastAsia="Calibri" w:hAnsi="Times New Roman" w:cs="Times New Roman"/>
          <w:sz w:val="24"/>
          <w:szCs w:val="24"/>
        </w:rPr>
        <w:t>; las fórmulas para el cálculo de dichos indicadores fueron:</w:t>
      </w:r>
    </w:p>
    <w:p w:rsidR="007B7018" w:rsidRDefault="007B7018" w:rsidP="00025947">
      <w:pPr>
        <w:contextualSpacing/>
        <w:jc w:val="both"/>
        <w:rPr>
          <w:rFonts w:ascii="Times New Roman" w:eastAsia="Calibri" w:hAnsi="Times New Roman" w:cs="Times New Roman"/>
          <w:sz w:val="24"/>
          <w:szCs w:val="24"/>
        </w:rPr>
      </w:pPr>
    </w:p>
    <w:p w:rsidR="008238C3" w:rsidRPr="008238C3" w:rsidRDefault="008238C3" w:rsidP="008238C3">
      <w:pPr>
        <w:jc w:val="both"/>
        <w:rPr>
          <w:rFonts w:ascii="Times New Roman" w:eastAsia="Calibri" w:hAnsi="Times New Roman" w:cs="Times New Roman"/>
          <w:b/>
          <w:color w:val="000000"/>
          <w:sz w:val="24"/>
          <w:szCs w:val="24"/>
          <w:vertAlign w:val="superscript"/>
          <w:lang w:val="es-ES"/>
        </w:rPr>
      </w:pPr>
      <w:r w:rsidRPr="008238C3">
        <w:rPr>
          <w:rFonts w:ascii="Times New Roman" w:eastAsia="Calibri" w:hAnsi="Times New Roman" w:cs="Times New Roman"/>
          <w:b/>
          <w:color w:val="000000"/>
          <w:sz w:val="24"/>
          <w:szCs w:val="24"/>
          <w:lang w:val="es-ES"/>
        </w:rPr>
        <w:t>RMSE = √1/n ∑ (S</w:t>
      </w:r>
      <w:r w:rsidRPr="008238C3">
        <w:rPr>
          <w:rFonts w:ascii="Times New Roman" w:eastAsia="Calibri" w:hAnsi="Times New Roman" w:cs="Times New Roman"/>
          <w:b/>
          <w:color w:val="000000"/>
          <w:sz w:val="24"/>
          <w:szCs w:val="24"/>
          <w:vertAlign w:val="subscript"/>
          <w:lang w:val="es-ES"/>
        </w:rPr>
        <w:t xml:space="preserve">i </w:t>
      </w:r>
      <w:r w:rsidRPr="008238C3">
        <w:rPr>
          <w:rFonts w:ascii="Times New Roman" w:eastAsia="Calibri" w:hAnsi="Times New Roman" w:cs="Times New Roman"/>
          <w:b/>
          <w:color w:val="000000"/>
          <w:sz w:val="24"/>
          <w:szCs w:val="24"/>
          <w:lang w:val="es-ES"/>
        </w:rPr>
        <w:t>– O</w:t>
      </w:r>
      <w:r w:rsidRPr="008238C3">
        <w:rPr>
          <w:rFonts w:ascii="Times New Roman" w:eastAsia="Calibri" w:hAnsi="Times New Roman" w:cs="Times New Roman"/>
          <w:b/>
          <w:color w:val="000000"/>
          <w:sz w:val="24"/>
          <w:szCs w:val="24"/>
          <w:vertAlign w:val="subscript"/>
          <w:lang w:val="es-ES"/>
        </w:rPr>
        <w:t>i</w:t>
      </w:r>
      <w:r w:rsidRPr="008238C3">
        <w:rPr>
          <w:rFonts w:ascii="Times New Roman" w:eastAsia="Calibri" w:hAnsi="Times New Roman" w:cs="Times New Roman"/>
          <w:b/>
          <w:color w:val="000000"/>
          <w:sz w:val="24"/>
          <w:szCs w:val="24"/>
          <w:lang w:val="es-ES"/>
        </w:rPr>
        <w:t>)</w:t>
      </w:r>
      <w:r w:rsidRPr="008238C3">
        <w:rPr>
          <w:rFonts w:ascii="Times New Roman" w:eastAsia="Calibri" w:hAnsi="Times New Roman" w:cs="Times New Roman"/>
          <w:b/>
          <w:color w:val="000000"/>
          <w:sz w:val="24"/>
          <w:szCs w:val="24"/>
          <w:vertAlign w:val="superscript"/>
          <w:lang w:val="es-ES"/>
        </w:rPr>
        <w:t>2</w:t>
      </w:r>
    </w:p>
    <w:p w:rsidR="008238C3" w:rsidRPr="008238C3" w:rsidRDefault="008238C3" w:rsidP="008238C3">
      <w:pPr>
        <w:jc w:val="both"/>
        <w:rPr>
          <w:rFonts w:ascii="Times New Roman" w:eastAsia="Calibri" w:hAnsi="Times New Roman" w:cs="Times New Roman"/>
          <w:b/>
          <w:color w:val="000000"/>
          <w:sz w:val="24"/>
          <w:szCs w:val="24"/>
          <w:lang w:val="es-ES"/>
        </w:rPr>
      </w:pPr>
      <w:r w:rsidRPr="008238C3">
        <w:rPr>
          <w:rFonts w:ascii="Times New Roman" w:eastAsia="Calibri" w:hAnsi="Times New Roman" w:cs="Times New Roman"/>
          <w:b/>
          <w:color w:val="000000"/>
          <w:sz w:val="24"/>
          <w:szCs w:val="24"/>
          <w:lang w:val="es-ES"/>
        </w:rPr>
        <w:t>d = 1.0 - ∑ (S</w:t>
      </w:r>
      <w:r w:rsidRPr="008238C3">
        <w:rPr>
          <w:rFonts w:ascii="Times New Roman" w:eastAsia="Calibri" w:hAnsi="Times New Roman" w:cs="Times New Roman"/>
          <w:b/>
          <w:color w:val="000000"/>
          <w:sz w:val="24"/>
          <w:szCs w:val="24"/>
          <w:vertAlign w:val="subscript"/>
          <w:lang w:val="es-ES"/>
        </w:rPr>
        <w:t xml:space="preserve">i </w:t>
      </w:r>
      <w:r w:rsidRPr="008238C3">
        <w:rPr>
          <w:rFonts w:ascii="Times New Roman" w:eastAsia="Calibri" w:hAnsi="Times New Roman" w:cs="Times New Roman"/>
          <w:b/>
          <w:color w:val="000000"/>
          <w:sz w:val="24"/>
          <w:szCs w:val="24"/>
          <w:lang w:val="es-ES"/>
        </w:rPr>
        <w:t>– O</w:t>
      </w:r>
      <w:r w:rsidRPr="008238C3">
        <w:rPr>
          <w:rFonts w:ascii="Times New Roman" w:eastAsia="Calibri" w:hAnsi="Times New Roman" w:cs="Times New Roman"/>
          <w:b/>
          <w:color w:val="000000"/>
          <w:sz w:val="24"/>
          <w:szCs w:val="24"/>
          <w:vertAlign w:val="subscript"/>
          <w:lang w:val="es-ES"/>
        </w:rPr>
        <w:t>i</w:t>
      </w:r>
      <w:r w:rsidRPr="008238C3">
        <w:rPr>
          <w:rFonts w:ascii="Times New Roman" w:eastAsia="Calibri" w:hAnsi="Times New Roman" w:cs="Times New Roman"/>
          <w:b/>
          <w:color w:val="000000"/>
          <w:sz w:val="24"/>
          <w:szCs w:val="24"/>
          <w:lang w:val="es-ES"/>
        </w:rPr>
        <w:t>)</w:t>
      </w:r>
      <w:r w:rsidRPr="008238C3">
        <w:rPr>
          <w:rFonts w:ascii="Times New Roman" w:eastAsia="Calibri" w:hAnsi="Times New Roman" w:cs="Times New Roman"/>
          <w:b/>
          <w:color w:val="000000"/>
          <w:sz w:val="24"/>
          <w:szCs w:val="24"/>
          <w:vertAlign w:val="superscript"/>
          <w:lang w:val="es-ES"/>
        </w:rPr>
        <w:t xml:space="preserve">2 </w:t>
      </w:r>
      <w:r w:rsidRPr="008238C3">
        <w:rPr>
          <w:rFonts w:ascii="Times New Roman" w:eastAsia="Calibri" w:hAnsi="Times New Roman" w:cs="Times New Roman"/>
          <w:b/>
          <w:color w:val="000000"/>
          <w:sz w:val="24"/>
          <w:szCs w:val="24"/>
          <w:lang w:val="es-ES"/>
        </w:rPr>
        <w:t>/  ∑ ǀ (S</w:t>
      </w:r>
      <w:r w:rsidRPr="008238C3">
        <w:rPr>
          <w:rFonts w:ascii="Times New Roman" w:eastAsia="Calibri" w:hAnsi="Times New Roman" w:cs="Times New Roman"/>
          <w:b/>
          <w:color w:val="000000"/>
          <w:sz w:val="24"/>
          <w:szCs w:val="24"/>
          <w:vertAlign w:val="subscript"/>
          <w:lang w:val="es-ES"/>
        </w:rPr>
        <w:t xml:space="preserve">i </w:t>
      </w:r>
      <w:r w:rsidRPr="008238C3">
        <w:rPr>
          <w:rFonts w:ascii="Times New Roman" w:eastAsia="Calibri" w:hAnsi="Times New Roman" w:cs="Times New Roman"/>
          <w:b/>
          <w:color w:val="000000"/>
          <w:sz w:val="24"/>
          <w:szCs w:val="24"/>
          <w:lang w:val="es-ES"/>
        </w:rPr>
        <w:t>– O</w:t>
      </w:r>
      <w:r w:rsidRPr="008238C3">
        <w:rPr>
          <w:rFonts w:ascii="Times New Roman" w:eastAsia="Calibri" w:hAnsi="Times New Roman" w:cs="Times New Roman"/>
          <w:b/>
          <w:color w:val="000000"/>
          <w:sz w:val="24"/>
          <w:szCs w:val="24"/>
          <w:vertAlign w:val="subscript"/>
          <w:lang w:val="es-ES"/>
        </w:rPr>
        <w:t>x</w:t>
      </w:r>
      <w:r w:rsidRPr="008238C3">
        <w:rPr>
          <w:rFonts w:ascii="Times New Roman" w:eastAsia="Calibri" w:hAnsi="Times New Roman" w:cs="Times New Roman"/>
          <w:b/>
          <w:color w:val="000000"/>
          <w:sz w:val="24"/>
          <w:szCs w:val="24"/>
          <w:lang w:val="es-ES"/>
        </w:rPr>
        <w:t>)ǀ + ǀ (O</w:t>
      </w:r>
      <w:r w:rsidRPr="008238C3">
        <w:rPr>
          <w:rFonts w:ascii="Times New Roman" w:eastAsia="Calibri" w:hAnsi="Times New Roman" w:cs="Times New Roman"/>
          <w:b/>
          <w:color w:val="000000"/>
          <w:sz w:val="24"/>
          <w:szCs w:val="24"/>
          <w:vertAlign w:val="subscript"/>
          <w:lang w:val="es-ES"/>
        </w:rPr>
        <w:t>i</w:t>
      </w:r>
      <w:r w:rsidRPr="008238C3">
        <w:rPr>
          <w:rFonts w:ascii="Times New Roman" w:eastAsia="Calibri" w:hAnsi="Times New Roman" w:cs="Times New Roman"/>
          <w:b/>
          <w:color w:val="000000"/>
          <w:sz w:val="24"/>
          <w:szCs w:val="24"/>
          <w:lang w:val="es-ES"/>
        </w:rPr>
        <w:t xml:space="preserve"> – O</w:t>
      </w:r>
      <w:r w:rsidRPr="008238C3">
        <w:rPr>
          <w:rFonts w:ascii="Times New Roman" w:eastAsia="Calibri" w:hAnsi="Times New Roman" w:cs="Times New Roman"/>
          <w:b/>
          <w:color w:val="000000"/>
          <w:sz w:val="24"/>
          <w:szCs w:val="24"/>
          <w:vertAlign w:val="subscript"/>
          <w:lang w:val="es-ES"/>
        </w:rPr>
        <w:t>x</w:t>
      </w:r>
      <w:r w:rsidRPr="008238C3">
        <w:rPr>
          <w:rFonts w:ascii="Times New Roman" w:eastAsia="Calibri" w:hAnsi="Times New Roman" w:cs="Times New Roman"/>
          <w:b/>
          <w:color w:val="000000"/>
          <w:sz w:val="24"/>
          <w:szCs w:val="24"/>
          <w:lang w:val="es-ES"/>
        </w:rPr>
        <w:t>)</w:t>
      </w:r>
      <w:r w:rsidRPr="008238C3">
        <w:rPr>
          <w:rFonts w:ascii="Times New Roman" w:eastAsia="Calibri" w:hAnsi="Times New Roman" w:cs="Times New Roman"/>
          <w:b/>
          <w:color w:val="000000"/>
          <w:sz w:val="24"/>
          <w:szCs w:val="24"/>
          <w:vertAlign w:val="superscript"/>
          <w:lang w:val="es-ES"/>
        </w:rPr>
        <w:t>2</w:t>
      </w:r>
    </w:p>
    <w:p w:rsidR="008238C3" w:rsidRPr="008238C3" w:rsidRDefault="008238C3" w:rsidP="008238C3">
      <w:pPr>
        <w:jc w:val="both"/>
        <w:rPr>
          <w:rFonts w:ascii="Times New Roman" w:eastAsia="Calibri" w:hAnsi="Times New Roman" w:cs="Times New Roman"/>
          <w:color w:val="000000"/>
          <w:sz w:val="24"/>
          <w:szCs w:val="24"/>
          <w:lang w:val="es-ES"/>
        </w:rPr>
      </w:pPr>
      <w:r w:rsidRPr="008238C3">
        <w:rPr>
          <w:rFonts w:ascii="Times New Roman" w:eastAsia="Calibri" w:hAnsi="Times New Roman" w:cs="Times New Roman"/>
          <w:b/>
          <w:color w:val="000000"/>
          <w:sz w:val="24"/>
          <w:szCs w:val="24"/>
          <w:lang w:val="es-ES"/>
        </w:rPr>
        <w:t>Dónde: S</w:t>
      </w:r>
      <w:r w:rsidRPr="008238C3">
        <w:rPr>
          <w:rFonts w:ascii="Times New Roman" w:eastAsia="Calibri" w:hAnsi="Times New Roman" w:cs="Times New Roman"/>
          <w:b/>
          <w:color w:val="000000"/>
          <w:sz w:val="24"/>
          <w:szCs w:val="24"/>
          <w:vertAlign w:val="subscript"/>
          <w:lang w:val="es-ES"/>
        </w:rPr>
        <w:t>i</w:t>
      </w:r>
      <w:r w:rsidRPr="008238C3">
        <w:rPr>
          <w:rFonts w:ascii="Times New Roman" w:eastAsia="Calibri" w:hAnsi="Times New Roman" w:cs="Times New Roman"/>
          <w:color w:val="000000"/>
          <w:sz w:val="24"/>
          <w:szCs w:val="24"/>
          <w:lang w:val="es-ES"/>
        </w:rPr>
        <w:t xml:space="preserve"> es</w:t>
      </w:r>
      <w:r w:rsidR="00397F71">
        <w:rPr>
          <w:rFonts w:ascii="Times New Roman" w:eastAsia="Calibri" w:hAnsi="Times New Roman" w:cs="Times New Roman"/>
          <w:color w:val="000000"/>
          <w:sz w:val="24"/>
          <w:szCs w:val="24"/>
          <w:lang w:val="es-ES"/>
        </w:rPr>
        <w:t xml:space="preserve"> </w:t>
      </w:r>
      <w:r w:rsidRPr="008238C3">
        <w:rPr>
          <w:rFonts w:ascii="Times New Roman" w:eastAsia="Calibri" w:hAnsi="Times New Roman" w:cs="Times New Roman"/>
          <w:color w:val="000000"/>
          <w:sz w:val="24"/>
          <w:szCs w:val="24"/>
          <w:lang w:val="es-ES"/>
        </w:rPr>
        <w:t>el valor simulado, O</w:t>
      </w:r>
      <w:r w:rsidRPr="008238C3">
        <w:rPr>
          <w:rFonts w:ascii="Times New Roman" w:eastAsia="Calibri" w:hAnsi="Times New Roman" w:cs="Times New Roman"/>
          <w:color w:val="000000"/>
          <w:sz w:val="24"/>
          <w:szCs w:val="24"/>
          <w:vertAlign w:val="subscript"/>
          <w:lang w:val="es-ES"/>
        </w:rPr>
        <w:t>i</w:t>
      </w:r>
      <w:r w:rsidRPr="008238C3">
        <w:rPr>
          <w:rFonts w:ascii="Times New Roman" w:eastAsia="Calibri" w:hAnsi="Times New Roman" w:cs="Times New Roman"/>
          <w:color w:val="000000"/>
          <w:sz w:val="24"/>
          <w:szCs w:val="24"/>
          <w:lang w:val="es-ES"/>
        </w:rPr>
        <w:t xml:space="preserve"> es el valor observado y n es el número de pares de valores. El indicador “d” varía entre 0 (mala predicción) y 1 (predicción perfecta).</w:t>
      </w:r>
    </w:p>
    <w:p w:rsidR="00C82083" w:rsidRPr="007B7018" w:rsidRDefault="00C82083" w:rsidP="00025947">
      <w:pPr>
        <w:contextualSpacing/>
        <w:jc w:val="both"/>
        <w:rPr>
          <w:rFonts w:ascii="Times New Roman" w:eastAsia="Calibri" w:hAnsi="Times New Roman" w:cs="Times New Roman"/>
          <w:sz w:val="24"/>
          <w:szCs w:val="24"/>
        </w:rPr>
      </w:pPr>
    </w:p>
    <w:p w:rsidR="00C82083" w:rsidRPr="00C82083" w:rsidRDefault="00C82083" w:rsidP="00025947">
      <w:pPr>
        <w:contextualSpacing/>
        <w:jc w:val="both"/>
        <w:rPr>
          <w:rFonts w:ascii="Times New Roman" w:eastAsia="Calibri" w:hAnsi="Times New Roman" w:cs="Times New Roman"/>
          <w:sz w:val="24"/>
          <w:szCs w:val="24"/>
        </w:rPr>
      </w:pPr>
    </w:p>
    <w:p w:rsidR="00E27A8D" w:rsidRDefault="00E27A8D" w:rsidP="00025947">
      <w:pPr>
        <w:contextualSpacing/>
        <w:jc w:val="both"/>
        <w:rPr>
          <w:rFonts w:ascii="Times New Roman" w:eastAsia="Calibri" w:hAnsi="Times New Roman" w:cs="Times New Roman"/>
          <w:sz w:val="24"/>
          <w:szCs w:val="24"/>
        </w:rPr>
      </w:pPr>
    </w:p>
    <w:p w:rsidR="008238C3" w:rsidRDefault="008238C3" w:rsidP="00025947">
      <w:pPr>
        <w:contextualSpacing/>
        <w:jc w:val="both"/>
        <w:rPr>
          <w:rFonts w:ascii="Times New Roman" w:eastAsia="Calibri" w:hAnsi="Times New Roman" w:cs="Times New Roman"/>
          <w:sz w:val="24"/>
          <w:szCs w:val="24"/>
        </w:rPr>
      </w:pPr>
    </w:p>
    <w:p w:rsidR="008238C3" w:rsidRDefault="008238C3" w:rsidP="00025947">
      <w:pPr>
        <w:contextualSpacing/>
        <w:jc w:val="both"/>
        <w:rPr>
          <w:rFonts w:ascii="Times New Roman" w:eastAsia="Calibri" w:hAnsi="Times New Roman" w:cs="Times New Roman"/>
          <w:sz w:val="24"/>
          <w:szCs w:val="24"/>
        </w:rPr>
      </w:pPr>
    </w:p>
    <w:p w:rsidR="008238C3" w:rsidRDefault="008238C3" w:rsidP="00025947">
      <w:pPr>
        <w:contextualSpacing/>
        <w:jc w:val="both"/>
        <w:rPr>
          <w:rFonts w:ascii="Times New Roman" w:eastAsia="Calibri" w:hAnsi="Times New Roman" w:cs="Times New Roman"/>
          <w:sz w:val="24"/>
          <w:szCs w:val="24"/>
        </w:rPr>
      </w:pPr>
    </w:p>
    <w:p w:rsidR="008238C3" w:rsidRDefault="008238C3" w:rsidP="00025947">
      <w:pPr>
        <w:contextualSpacing/>
        <w:jc w:val="both"/>
        <w:rPr>
          <w:rFonts w:ascii="Times New Roman" w:eastAsia="Calibri" w:hAnsi="Times New Roman" w:cs="Times New Roman"/>
          <w:sz w:val="24"/>
          <w:szCs w:val="24"/>
        </w:rPr>
      </w:pPr>
    </w:p>
    <w:p w:rsidR="00E27A8D" w:rsidRDefault="00E27A8D" w:rsidP="00025947">
      <w:pPr>
        <w:contextualSpacing/>
        <w:jc w:val="both"/>
        <w:rPr>
          <w:rFonts w:ascii="Times New Roman" w:eastAsia="Calibri" w:hAnsi="Times New Roman" w:cs="Times New Roman"/>
          <w:sz w:val="24"/>
          <w:szCs w:val="24"/>
        </w:rPr>
      </w:pPr>
    </w:p>
    <w:p w:rsidR="00E27A8D" w:rsidRDefault="00E27A8D" w:rsidP="00025947">
      <w:pPr>
        <w:contextualSpacing/>
        <w:jc w:val="both"/>
        <w:rPr>
          <w:rFonts w:ascii="Times New Roman" w:eastAsia="Calibri" w:hAnsi="Times New Roman" w:cs="Times New Roman"/>
          <w:sz w:val="24"/>
          <w:szCs w:val="24"/>
        </w:rPr>
      </w:pPr>
    </w:p>
    <w:p w:rsidR="00E27A8D" w:rsidRDefault="00E27A8D" w:rsidP="00025947">
      <w:pPr>
        <w:contextualSpacing/>
        <w:jc w:val="both"/>
        <w:rPr>
          <w:rFonts w:ascii="Times New Roman" w:eastAsia="Calibri" w:hAnsi="Times New Roman" w:cs="Times New Roman"/>
          <w:sz w:val="24"/>
          <w:szCs w:val="24"/>
        </w:rPr>
      </w:pPr>
    </w:p>
    <w:p w:rsidR="00785478" w:rsidRDefault="00E27A8D" w:rsidP="00785478">
      <w:pPr>
        <w:autoSpaceDE w:val="0"/>
        <w:autoSpaceDN w:val="0"/>
        <w:adjustRightInd w:val="0"/>
        <w:spacing w:after="0" w:line="240" w:lineRule="auto"/>
        <w:rPr>
          <w:rFonts w:ascii="Times New Roman" w:eastAsia="Calibri" w:hAnsi="Times New Roman" w:cs="Times New Roman"/>
          <w:sz w:val="24"/>
          <w:szCs w:val="24"/>
        </w:rPr>
      </w:pPr>
      <w:r>
        <w:rPr>
          <w:rFonts w:ascii="Times New Roman" w:hAnsi="Times New Roman" w:cs="Times New Roman"/>
          <w:sz w:val="24"/>
          <w:szCs w:val="24"/>
        </w:rPr>
        <w:t>Tabla 1.</w:t>
      </w:r>
      <w:r w:rsidR="003C1188">
        <w:rPr>
          <w:rFonts w:ascii="Times New Roman" w:hAnsi="Times New Roman" w:cs="Times New Roman"/>
          <w:sz w:val="24"/>
          <w:szCs w:val="24"/>
        </w:rPr>
        <w:t xml:space="preserve"> Temperatura máxima y mínima y precipitaciones en los años </w:t>
      </w:r>
      <w:r w:rsidR="00933C81">
        <w:rPr>
          <w:rFonts w:ascii="Times New Roman" w:hAnsi="Times New Roman" w:cs="Times New Roman"/>
          <w:sz w:val="24"/>
          <w:szCs w:val="24"/>
        </w:rPr>
        <w:t>en los que</w:t>
      </w:r>
      <w:r w:rsidR="003C1188">
        <w:rPr>
          <w:rFonts w:ascii="Times New Roman" w:hAnsi="Times New Roman" w:cs="Times New Roman"/>
          <w:sz w:val="24"/>
          <w:szCs w:val="24"/>
        </w:rPr>
        <w:t xml:space="preserve"> se desarrollaron</w:t>
      </w:r>
      <w:r w:rsidR="00785478" w:rsidRPr="006C4221">
        <w:rPr>
          <w:rFonts w:ascii="Times New Roman" w:hAnsi="Times New Roman" w:cs="Times New Roman"/>
          <w:sz w:val="24"/>
          <w:szCs w:val="24"/>
        </w:rPr>
        <w:t xml:space="preserve"> los experimentos</w:t>
      </w:r>
      <w:r w:rsidR="003C1188">
        <w:rPr>
          <w:rFonts w:ascii="Times New Roman" w:hAnsi="Times New Roman" w:cs="Times New Roman"/>
          <w:sz w:val="24"/>
          <w:szCs w:val="24"/>
        </w:rPr>
        <w:t>.</w:t>
      </w:r>
    </w:p>
    <w:tbl>
      <w:tblPr>
        <w:tblStyle w:val="Tablaconcuadrcula"/>
        <w:tblpPr w:leftFromText="141" w:rightFromText="141" w:vertAnchor="text" w:horzAnchor="margin" w:tblpXSpec="right" w:tblpY="186"/>
        <w:tblW w:w="0" w:type="auto"/>
        <w:tblLook w:val="04A0" w:firstRow="1" w:lastRow="0" w:firstColumn="1" w:lastColumn="0" w:noHBand="0" w:noVBand="1"/>
      </w:tblPr>
      <w:tblGrid>
        <w:gridCol w:w="904"/>
        <w:gridCol w:w="904"/>
        <w:gridCol w:w="905"/>
        <w:gridCol w:w="905"/>
        <w:gridCol w:w="906"/>
        <w:gridCol w:w="906"/>
        <w:gridCol w:w="906"/>
        <w:gridCol w:w="906"/>
        <w:gridCol w:w="906"/>
        <w:gridCol w:w="906"/>
      </w:tblGrid>
      <w:tr w:rsidR="00785478" w:rsidTr="00785478">
        <w:tc>
          <w:tcPr>
            <w:tcW w:w="904" w:type="dxa"/>
            <w:vMerge w:val="restart"/>
          </w:tcPr>
          <w:p w:rsidR="00785478" w:rsidRPr="006233EA" w:rsidRDefault="00785478" w:rsidP="00785478">
            <w:pPr>
              <w:autoSpaceDE w:val="0"/>
              <w:autoSpaceDN w:val="0"/>
              <w:adjustRightInd w:val="0"/>
              <w:jc w:val="center"/>
              <w:rPr>
                <w:rFonts w:ascii="Times New Roman" w:hAnsi="Times New Roman" w:cs="Times New Roman"/>
                <w:sz w:val="20"/>
                <w:szCs w:val="20"/>
              </w:rPr>
            </w:pPr>
          </w:p>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meses</w:t>
            </w:r>
          </w:p>
        </w:tc>
        <w:tc>
          <w:tcPr>
            <w:tcW w:w="2714" w:type="dxa"/>
            <w:gridSpan w:val="3"/>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2008</w:t>
            </w:r>
          </w:p>
        </w:tc>
        <w:tc>
          <w:tcPr>
            <w:tcW w:w="2718" w:type="dxa"/>
            <w:gridSpan w:val="3"/>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2009</w:t>
            </w:r>
          </w:p>
        </w:tc>
        <w:tc>
          <w:tcPr>
            <w:tcW w:w="2718" w:type="dxa"/>
            <w:gridSpan w:val="3"/>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2010</w:t>
            </w:r>
          </w:p>
        </w:tc>
      </w:tr>
      <w:tr w:rsidR="00785478" w:rsidTr="00785478">
        <w:tc>
          <w:tcPr>
            <w:tcW w:w="904" w:type="dxa"/>
            <w:vMerge/>
          </w:tcPr>
          <w:p w:rsidR="00785478" w:rsidRPr="006233EA" w:rsidRDefault="00785478" w:rsidP="00785478">
            <w:pPr>
              <w:autoSpaceDE w:val="0"/>
              <w:autoSpaceDN w:val="0"/>
              <w:adjustRightInd w:val="0"/>
              <w:jc w:val="center"/>
              <w:rPr>
                <w:rFonts w:ascii="Times New Roman" w:hAnsi="Times New Roman" w:cs="Times New Roman"/>
                <w:sz w:val="20"/>
                <w:szCs w:val="20"/>
              </w:rPr>
            </w:pP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T max</w:t>
            </w:r>
          </w:p>
        </w:tc>
        <w:tc>
          <w:tcPr>
            <w:tcW w:w="905"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T min</w:t>
            </w:r>
          </w:p>
        </w:tc>
        <w:tc>
          <w:tcPr>
            <w:tcW w:w="905" w:type="dxa"/>
          </w:tcPr>
          <w:p w:rsidR="00785478" w:rsidRPr="006233EA" w:rsidRDefault="003C1188" w:rsidP="00EA6F24">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Precip.</w:t>
            </w:r>
          </w:p>
        </w:tc>
        <w:tc>
          <w:tcPr>
            <w:tcW w:w="906"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T max</w:t>
            </w:r>
          </w:p>
        </w:tc>
        <w:tc>
          <w:tcPr>
            <w:tcW w:w="906"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T min</w:t>
            </w:r>
          </w:p>
        </w:tc>
        <w:tc>
          <w:tcPr>
            <w:tcW w:w="906" w:type="dxa"/>
          </w:tcPr>
          <w:p w:rsidR="00785478" w:rsidRPr="006233EA" w:rsidRDefault="003C1188" w:rsidP="00785478">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Precip.</w:t>
            </w:r>
          </w:p>
        </w:tc>
        <w:tc>
          <w:tcPr>
            <w:tcW w:w="906"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T max</w:t>
            </w:r>
          </w:p>
        </w:tc>
        <w:tc>
          <w:tcPr>
            <w:tcW w:w="906"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T min</w:t>
            </w:r>
          </w:p>
        </w:tc>
        <w:tc>
          <w:tcPr>
            <w:tcW w:w="906" w:type="dxa"/>
          </w:tcPr>
          <w:p w:rsidR="00785478" w:rsidRPr="006233EA" w:rsidRDefault="003C1188" w:rsidP="00785478">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Precip.</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E</w:t>
            </w: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27.1</w:t>
            </w: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14.9</w:t>
            </w:r>
          </w:p>
        </w:tc>
        <w:tc>
          <w:tcPr>
            <w:tcW w:w="905" w:type="dxa"/>
            <w:vAlign w:val="bottom"/>
          </w:tcPr>
          <w:p w:rsidR="00785478" w:rsidRPr="006233EA" w:rsidRDefault="00042B72"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38.3</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25.8</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14</w:t>
            </w:r>
          </w:p>
        </w:tc>
        <w:tc>
          <w:tcPr>
            <w:tcW w:w="906" w:type="dxa"/>
            <w:vAlign w:val="bottom"/>
          </w:tcPr>
          <w:p w:rsidR="00785478" w:rsidRPr="006233EA" w:rsidRDefault="000B0C15"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50.8</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24.5</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13.6</w:t>
            </w:r>
          </w:p>
        </w:tc>
        <w:tc>
          <w:tcPr>
            <w:tcW w:w="906" w:type="dxa"/>
            <w:vAlign w:val="bottom"/>
          </w:tcPr>
          <w:p w:rsidR="00785478" w:rsidRPr="006233EA" w:rsidRDefault="009B288C"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22.1</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F</w:t>
            </w: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29</w:t>
            </w: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17.4</w:t>
            </w:r>
          </w:p>
        </w:tc>
        <w:tc>
          <w:tcPr>
            <w:tcW w:w="905" w:type="dxa"/>
            <w:vAlign w:val="bottom"/>
          </w:tcPr>
          <w:p w:rsidR="00785478" w:rsidRPr="006233EA" w:rsidRDefault="00042B72"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27.1</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25.6</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12.8</w:t>
            </w:r>
          </w:p>
        </w:tc>
        <w:tc>
          <w:tcPr>
            <w:tcW w:w="906" w:type="dxa"/>
            <w:vAlign w:val="bottom"/>
          </w:tcPr>
          <w:p w:rsidR="00785478" w:rsidRPr="006233EA" w:rsidRDefault="000B0C15"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29.9</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24.5</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13.6</w:t>
            </w:r>
          </w:p>
        </w:tc>
        <w:tc>
          <w:tcPr>
            <w:tcW w:w="906" w:type="dxa"/>
            <w:vAlign w:val="bottom"/>
          </w:tcPr>
          <w:p w:rsidR="00785478" w:rsidRPr="006233EA" w:rsidRDefault="009B288C"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130.7</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M</w:t>
            </w: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29.2</w:t>
            </w: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17.6</w:t>
            </w:r>
          </w:p>
        </w:tc>
        <w:tc>
          <w:tcPr>
            <w:tcW w:w="905" w:type="dxa"/>
            <w:vAlign w:val="bottom"/>
          </w:tcPr>
          <w:p w:rsidR="00785478" w:rsidRPr="006233EA" w:rsidRDefault="00D9308A"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115.3</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28</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15.5</w:t>
            </w:r>
          </w:p>
        </w:tc>
        <w:tc>
          <w:tcPr>
            <w:tcW w:w="906" w:type="dxa"/>
            <w:vAlign w:val="bottom"/>
          </w:tcPr>
          <w:p w:rsidR="00785478" w:rsidRPr="006233EA" w:rsidRDefault="000B0C15"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21.9</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25.8</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13.1</w:t>
            </w:r>
          </w:p>
        </w:tc>
        <w:tc>
          <w:tcPr>
            <w:tcW w:w="906" w:type="dxa"/>
            <w:vAlign w:val="bottom"/>
          </w:tcPr>
          <w:p w:rsidR="00785478" w:rsidRPr="006233EA" w:rsidRDefault="009B288C"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16.7</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A</w:t>
            </w: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29.2</w:t>
            </w: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16.9</w:t>
            </w:r>
          </w:p>
        </w:tc>
        <w:tc>
          <w:tcPr>
            <w:tcW w:w="905" w:type="dxa"/>
            <w:vAlign w:val="bottom"/>
          </w:tcPr>
          <w:p w:rsidR="00785478" w:rsidRPr="006233EA" w:rsidRDefault="00D9308A"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145.6</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30.3</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18.4</w:t>
            </w:r>
          </w:p>
        </w:tc>
        <w:tc>
          <w:tcPr>
            <w:tcW w:w="906" w:type="dxa"/>
            <w:vAlign w:val="bottom"/>
          </w:tcPr>
          <w:p w:rsidR="00785478" w:rsidRPr="006233EA" w:rsidRDefault="000B0C15"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17.1</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29.5</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18</w:t>
            </w:r>
          </w:p>
        </w:tc>
        <w:tc>
          <w:tcPr>
            <w:tcW w:w="906" w:type="dxa"/>
            <w:vAlign w:val="bottom"/>
          </w:tcPr>
          <w:p w:rsidR="00785478" w:rsidRPr="006233EA" w:rsidRDefault="009B288C"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87.1</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M</w:t>
            </w: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32.1</w:t>
            </w: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20.4</w:t>
            </w:r>
          </w:p>
        </w:tc>
        <w:tc>
          <w:tcPr>
            <w:tcW w:w="905" w:type="dxa"/>
            <w:vAlign w:val="bottom"/>
          </w:tcPr>
          <w:p w:rsidR="00785478" w:rsidRPr="006233EA" w:rsidRDefault="00D9308A"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139.2</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31.7</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20.4</w:t>
            </w:r>
          </w:p>
        </w:tc>
        <w:tc>
          <w:tcPr>
            <w:tcW w:w="906" w:type="dxa"/>
            <w:vAlign w:val="bottom"/>
          </w:tcPr>
          <w:p w:rsidR="00785478" w:rsidRPr="006233EA" w:rsidRDefault="000B0C15"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238.5</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31.3</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21</w:t>
            </w:r>
          </w:p>
        </w:tc>
        <w:tc>
          <w:tcPr>
            <w:tcW w:w="906" w:type="dxa"/>
            <w:vAlign w:val="bottom"/>
          </w:tcPr>
          <w:p w:rsidR="00785478" w:rsidRPr="006233EA" w:rsidRDefault="009B288C"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123.3</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J</w:t>
            </w: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31.6</w:t>
            </w: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21.7</w:t>
            </w:r>
          </w:p>
        </w:tc>
        <w:tc>
          <w:tcPr>
            <w:tcW w:w="905" w:type="dxa"/>
            <w:vAlign w:val="bottom"/>
          </w:tcPr>
          <w:p w:rsidR="00785478" w:rsidRPr="006233EA" w:rsidRDefault="00D9308A"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222.2</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31.3</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20.8</w:t>
            </w:r>
          </w:p>
        </w:tc>
        <w:tc>
          <w:tcPr>
            <w:tcW w:w="906" w:type="dxa"/>
            <w:vAlign w:val="bottom"/>
          </w:tcPr>
          <w:p w:rsidR="00785478" w:rsidRPr="006233EA" w:rsidRDefault="000B0C15"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225.5</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33</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23.1</w:t>
            </w:r>
          </w:p>
        </w:tc>
        <w:tc>
          <w:tcPr>
            <w:tcW w:w="906" w:type="dxa"/>
            <w:vAlign w:val="bottom"/>
          </w:tcPr>
          <w:p w:rsidR="00785478" w:rsidRPr="006233EA" w:rsidRDefault="009B288C"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169.8</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J</w:t>
            </w: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32.2</w:t>
            </w: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21.3</w:t>
            </w:r>
          </w:p>
        </w:tc>
        <w:tc>
          <w:tcPr>
            <w:tcW w:w="905" w:type="dxa"/>
            <w:vAlign w:val="bottom"/>
          </w:tcPr>
          <w:p w:rsidR="00785478" w:rsidRPr="006233EA" w:rsidRDefault="00D9308A"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177.5</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33</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22.3</w:t>
            </w:r>
          </w:p>
        </w:tc>
        <w:tc>
          <w:tcPr>
            <w:tcW w:w="906" w:type="dxa"/>
            <w:vAlign w:val="bottom"/>
          </w:tcPr>
          <w:p w:rsidR="00785478" w:rsidRPr="006233EA" w:rsidRDefault="000B0C15"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80.4</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31.8</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22.5</w:t>
            </w:r>
          </w:p>
        </w:tc>
        <w:tc>
          <w:tcPr>
            <w:tcW w:w="906" w:type="dxa"/>
            <w:vAlign w:val="bottom"/>
          </w:tcPr>
          <w:p w:rsidR="00785478" w:rsidRPr="006233EA" w:rsidRDefault="009B288C"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222.4</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A</w:t>
            </w: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32.3</w:t>
            </w: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21.5</w:t>
            </w:r>
          </w:p>
        </w:tc>
        <w:tc>
          <w:tcPr>
            <w:tcW w:w="905" w:type="dxa"/>
            <w:vAlign w:val="bottom"/>
          </w:tcPr>
          <w:p w:rsidR="00785478" w:rsidRPr="006233EA" w:rsidRDefault="00D9308A"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248.2</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32.6</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22.5</w:t>
            </w:r>
          </w:p>
        </w:tc>
        <w:tc>
          <w:tcPr>
            <w:tcW w:w="906" w:type="dxa"/>
            <w:vAlign w:val="bottom"/>
          </w:tcPr>
          <w:p w:rsidR="00785478" w:rsidRPr="006233EA" w:rsidRDefault="000B0C15"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197.7</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32.2</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22.1</w:t>
            </w:r>
          </w:p>
        </w:tc>
        <w:tc>
          <w:tcPr>
            <w:tcW w:w="906" w:type="dxa"/>
            <w:vAlign w:val="bottom"/>
          </w:tcPr>
          <w:p w:rsidR="00785478" w:rsidRPr="006233EA" w:rsidRDefault="009B288C"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159.2</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S</w:t>
            </w: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31.1</w:t>
            </w: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21.8</w:t>
            </w:r>
          </w:p>
        </w:tc>
        <w:tc>
          <w:tcPr>
            <w:tcW w:w="905" w:type="dxa"/>
            <w:vAlign w:val="bottom"/>
          </w:tcPr>
          <w:p w:rsidR="00785478" w:rsidRPr="006233EA" w:rsidRDefault="00D9308A"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346.0</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32.3</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21.9</w:t>
            </w:r>
          </w:p>
        </w:tc>
        <w:tc>
          <w:tcPr>
            <w:tcW w:w="906" w:type="dxa"/>
            <w:vAlign w:val="bottom"/>
          </w:tcPr>
          <w:p w:rsidR="00785478" w:rsidRPr="006233EA" w:rsidRDefault="000B0C15"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189.4</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31.5</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22.2</w:t>
            </w:r>
          </w:p>
        </w:tc>
        <w:tc>
          <w:tcPr>
            <w:tcW w:w="906" w:type="dxa"/>
            <w:vAlign w:val="bottom"/>
          </w:tcPr>
          <w:p w:rsidR="00785478" w:rsidRPr="006233EA" w:rsidRDefault="009B288C"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186.7</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O</w:t>
            </w: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29.5</w:t>
            </w: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20</w:t>
            </w:r>
          </w:p>
        </w:tc>
        <w:tc>
          <w:tcPr>
            <w:tcW w:w="905" w:type="dxa"/>
            <w:vAlign w:val="bottom"/>
          </w:tcPr>
          <w:p w:rsidR="00785478" w:rsidRPr="006233EA" w:rsidRDefault="00D9308A"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110.0</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31.5</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21.3</w:t>
            </w:r>
          </w:p>
        </w:tc>
        <w:tc>
          <w:tcPr>
            <w:tcW w:w="906" w:type="dxa"/>
            <w:vAlign w:val="bottom"/>
          </w:tcPr>
          <w:p w:rsidR="00785478" w:rsidRPr="006233EA" w:rsidRDefault="000B0C15"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102.7</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29.2</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19.3</w:t>
            </w:r>
          </w:p>
        </w:tc>
        <w:tc>
          <w:tcPr>
            <w:tcW w:w="906" w:type="dxa"/>
            <w:vAlign w:val="bottom"/>
          </w:tcPr>
          <w:p w:rsidR="00785478" w:rsidRPr="006233EA" w:rsidRDefault="009B288C"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63.7</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N</w:t>
            </w: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26</w:t>
            </w: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15.5</w:t>
            </w:r>
          </w:p>
        </w:tc>
        <w:tc>
          <w:tcPr>
            <w:tcW w:w="905" w:type="dxa"/>
            <w:vAlign w:val="bottom"/>
          </w:tcPr>
          <w:p w:rsidR="00785478" w:rsidRPr="006233EA" w:rsidRDefault="00D9308A"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116.4</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28</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17.7</w:t>
            </w:r>
          </w:p>
        </w:tc>
        <w:tc>
          <w:tcPr>
            <w:tcW w:w="906" w:type="dxa"/>
            <w:vAlign w:val="bottom"/>
          </w:tcPr>
          <w:p w:rsidR="00785478" w:rsidRPr="006233EA" w:rsidRDefault="000B0C15"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27.2</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17.3</w:t>
            </w:r>
          </w:p>
        </w:tc>
        <w:tc>
          <w:tcPr>
            <w:tcW w:w="906" w:type="dxa"/>
            <w:vAlign w:val="bottom"/>
          </w:tcPr>
          <w:p w:rsidR="00785478" w:rsidRPr="006233EA" w:rsidRDefault="009B288C"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146.6</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r w:rsidRPr="006233EA">
              <w:rPr>
                <w:rFonts w:ascii="Times New Roman" w:hAnsi="Times New Roman" w:cs="Times New Roman"/>
                <w:sz w:val="20"/>
                <w:szCs w:val="20"/>
              </w:rPr>
              <w:t>D</w:t>
            </w: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26.6</w:t>
            </w: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16.1</w:t>
            </w:r>
          </w:p>
        </w:tc>
        <w:tc>
          <w:tcPr>
            <w:tcW w:w="905" w:type="dxa"/>
            <w:vAlign w:val="bottom"/>
          </w:tcPr>
          <w:p w:rsidR="00785478" w:rsidRPr="006233EA" w:rsidRDefault="00D9308A"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18.1</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28</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17.8</w:t>
            </w:r>
          </w:p>
        </w:tc>
        <w:tc>
          <w:tcPr>
            <w:tcW w:w="906" w:type="dxa"/>
            <w:vAlign w:val="bottom"/>
          </w:tcPr>
          <w:p w:rsidR="00785478" w:rsidRPr="006233EA" w:rsidRDefault="000B0C15"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60.1</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22.7</w:t>
            </w: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r w:rsidRPr="006233EA">
              <w:rPr>
                <w:rFonts w:ascii="Times New Roman" w:hAnsi="Times New Roman" w:cs="Times New Roman"/>
                <w:color w:val="000000"/>
                <w:sz w:val="20"/>
                <w:szCs w:val="20"/>
              </w:rPr>
              <w:t>10.6</w:t>
            </w:r>
          </w:p>
        </w:tc>
        <w:tc>
          <w:tcPr>
            <w:tcW w:w="906" w:type="dxa"/>
            <w:vAlign w:val="bottom"/>
          </w:tcPr>
          <w:p w:rsidR="00785478" w:rsidRPr="006233EA" w:rsidRDefault="009B288C" w:rsidP="00EA6F24">
            <w:pPr>
              <w:jc w:val="center"/>
              <w:rPr>
                <w:rFonts w:ascii="Times New Roman" w:hAnsi="Times New Roman" w:cs="Times New Roman"/>
                <w:color w:val="000000"/>
                <w:sz w:val="20"/>
                <w:szCs w:val="20"/>
              </w:rPr>
            </w:pPr>
            <w:r>
              <w:rPr>
                <w:rFonts w:ascii="Times New Roman" w:hAnsi="Times New Roman" w:cs="Times New Roman"/>
                <w:color w:val="000000"/>
                <w:sz w:val="20"/>
                <w:szCs w:val="20"/>
              </w:rPr>
              <w:t>18.2</w:t>
            </w:r>
          </w:p>
        </w:tc>
      </w:tr>
      <w:tr w:rsidR="00785478" w:rsidTr="00785478">
        <w:tc>
          <w:tcPr>
            <w:tcW w:w="904" w:type="dxa"/>
          </w:tcPr>
          <w:p w:rsidR="00785478" w:rsidRPr="006233EA" w:rsidRDefault="00785478" w:rsidP="00785478">
            <w:pPr>
              <w:autoSpaceDE w:val="0"/>
              <w:autoSpaceDN w:val="0"/>
              <w:adjustRightInd w:val="0"/>
              <w:jc w:val="center"/>
              <w:rPr>
                <w:rFonts w:ascii="Times New Roman" w:hAnsi="Times New Roman" w:cs="Times New Roman"/>
                <w:sz w:val="20"/>
                <w:szCs w:val="20"/>
              </w:rPr>
            </w:pPr>
          </w:p>
        </w:tc>
        <w:tc>
          <w:tcPr>
            <w:tcW w:w="904" w:type="dxa"/>
            <w:vAlign w:val="bottom"/>
          </w:tcPr>
          <w:p w:rsidR="00785478" w:rsidRPr="006233EA" w:rsidRDefault="00785478" w:rsidP="00785478">
            <w:pPr>
              <w:jc w:val="center"/>
              <w:rPr>
                <w:rFonts w:ascii="Times New Roman" w:hAnsi="Times New Roman" w:cs="Times New Roman"/>
                <w:color w:val="000000"/>
                <w:sz w:val="20"/>
                <w:szCs w:val="20"/>
              </w:rPr>
            </w:pPr>
          </w:p>
        </w:tc>
        <w:tc>
          <w:tcPr>
            <w:tcW w:w="905" w:type="dxa"/>
            <w:vAlign w:val="bottom"/>
          </w:tcPr>
          <w:p w:rsidR="00785478" w:rsidRPr="006233EA" w:rsidRDefault="00785478" w:rsidP="00785478">
            <w:pPr>
              <w:jc w:val="center"/>
              <w:rPr>
                <w:rFonts w:ascii="Times New Roman" w:hAnsi="Times New Roman" w:cs="Times New Roman"/>
                <w:color w:val="000000"/>
                <w:sz w:val="20"/>
                <w:szCs w:val="20"/>
              </w:rPr>
            </w:pPr>
          </w:p>
        </w:tc>
        <w:tc>
          <w:tcPr>
            <w:tcW w:w="905" w:type="dxa"/>
            <w:vAlign w:val="bottom"/>
          </w:tcPr>
          <w:p w:rsidR="00785478" w:rsidRPr="006233EA" w:rsidRDefault="00785478" w:rsidP="00785478">
            <w:pPr>
              <w:jc w:val="right"/>
              <w:rPr>
                <w:rFonts w:ascii="Times New Roman" w:hAnsi="Times New Roman" w:cs="Times New Roman"/>
                <w:color w:val="000000"/>
                <w:sz w:val="20"/>
                <w:szCs w:val="20"/>
              </w:rPr>
            </w:pP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p>
        </w:tc>
        <w:tc>
          <w:tcPr>
            <w:tcW w:w="906" w:type="dxa"/>
            <w:vAlign w:val="bottom"/>
          </w:tcPr>
          <w:p w:rsidR="00785478" w:rsidRPr="006233EA" w:rsidRDefault="00785478" w:rsidP="00785478">
            <w:pPr>
              <w:jc w:val="right"/>
              <w:rPr>
                <w:rFonts w:ascii="Times New Roman" w:hAnsi="Times New Roman" w:cs="Times New Roman"/>
                <w:color w:val="000000"/>
                <w:sz w:val="20"/>
                <w:szCs w:val="20"/>
              </w:rPr>
            </w:pP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p>
        </w:tc>
        <w:tc>
          <w:tcPr>
            <w:tcW w:w="906" w:type="dxa"/>
            <w:vAlign w:val="bottom"/>
          </w:tcPr>
          <w:p w:rsidR="00785478" w:rsidRPr="006233EA" w:rsidRDefault="00785478" w:rsidP="00785478">
            <w:pPr>
              <w:jc w:val="center"/>
              <w:rPr>
                <w:rFonts w:ascii="Times New Roman" w:hAnsi="Times New Roman" w:cs="Times New Roman"/>
                <w:color w:val="000000"/>
                <w:sz w:val="20"/>
                <w:szCs w:val="20"/>
              </w:rPr>
            </w:pPr>
          </w:p>
        </w:tc>
        <w:tc>
          <w:tcPr>
            <w:tcW w:w="906" w:type="dxa"/>
            <w:vAlign w:val="bottom"/>
          </w:tcPr>
          <w:p w:rsidR="00785478" w:rsidRPr="006233EA" w:rsidRDefault="00785478" w:rsidP="00785478">
            <w:pPr>
              <w:jc w:val="right"/>
              <w:rPr>
                <w:rFonts w:ascii="Times New Roman" w:hAnsi="Times New Roman" w:cs="Times New Roman"/>
                <w:color w:val="000000"/>
                <w:sz w:val="20"/>
                <w:szCs w:val="20"/>
              </w:rPr>
            </w:pPr>
          </w:p>
        </w:tc>
      </w:tr>
    </w:tbl>
    <w:p w:rsidR="00785478" w:rsidRDefault="00785478" w:rsidP="00025947">
      <w:pPr>
        <w:contextualSpacing/>
        <w:jc w:val="both"/>
        <w:rPr>
          <w:rFonts w:ascii="Times New Roman" w:eastAsia="Calibri" w:hAnsi="Times New Roman" w:cs="Times New Roman"/>
          <w:sz w:val="24"/>
          <w:szCs w:val="24"/>
        </w:rPr>
      </w:pPr>
    </w:p>
    <w:p w:rsidR="00101DDD" w:rsidRDefault="00785478" w:rsidP="00025947">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Tabla 2</w:t>
      </w:r>
      <w:r w:rsidR="004E5FA0">
        <w:rPr>
          <w:rFonts w:ascii="Times New Roman" w:eastAsia="Calibri" w:hAnsi="Times New Roman" w:cs="Times New Roman"/>
          <w:sz w:val="24"/>
          <w:szCs w:val="24"/>
        </w:rPr>
        <w:t xml:space="preserve">. Características del suelo Ferralítico rojo </w:t>
      </w:r>
      <w:r w:rsidR="00E2226C">
        <w:rPr>
          <w:rFonts w:ascii="Times New Roman" w:eastAsia="Calibri" w:hAnsi="Times New Roman" w:cs="Times New Roman"/>
          <w:sz w:val="24"/>
          <w:szCs w:val="24"/>
        </w:rPr>
        <w:t>compactado hidratado</w:t>
      </w:r>
      <w:r w:rsidR="003C1188">
        <w:rPr>
          <w:rFonts w:ascii="Times New Roman" w:eastAsia="Calibri" w:hAnsi="Times New Roman" w:cs="Times New Roman"/>
          <w:sz w:val="24"/>
          <w:szCs w:val="24"/>
        </w:rPr>
        <w:t>.</w:t>
      </w:r>
    </w:p>
    <w:tbl>
      <w:tblPr>
        <w:tblStyle w:val="Tablaconcuadrcula1"/>
        <w:tblpPr w:leftFromText="141" w:rightFromText="141" w:vertAnchor="text" w:horzAnchor="page" w:tblpX="818" w:tblpY="92"/>
        <w:tblW w:w="5461" w:type="pct"/>
        <w:tblLayout w:type="fixed"/>
        <w:tblLook w:val="01E0" w:firstRow="1" w:lastRow="1" w:firstColumn="1" w:lastColumn="1" w:noHBand="0" w:noVBand="0"/>
      </w:tblPr>
      <w:tblGrid>
        <w:gridCol w:w="826"/>
        <w:gridCol w:w="708"/>
        <w:gridCol w:w="710"/>
        <w:gridCol w:w="708"/>
        <w:gridCol w:w="708"/>
        <w:gridCol w:w="993"/>
        <w:gridCol w:w="850"/>
        <w:gridCol w:w="989"/>
        <w:gridCol w:w="993"/>
        <w:gridCol w:w="566"/>
        <w:gridCol w:w="566"/>
        <w:gridCol w:w="564"/>
        <w:gridCol w:w="708"/>
      </w:tblGrid>
      <w:tr w:rsidR="003102C2" w:rsidRPr="002D0B90" w:rsidTr="003102C2">
        <w:tc>
          <w:tcPr>
            <w:tcW w:w="418" w:type="pct"/>
            <w:vMerge w:val="restart"/>
          </w:tcPr>
          <w:p w:rsidR="002D0B90" w:rsidRPr="003102C2" w:rsidRDefault="002D0B90" w:rsidP="002D0B90">
            <w:pPr>
              <w:jc w:val="center"/>
              <w:rPr>
                <w:rFonts w:ascii="Arial" w:hAnsi="Arial" w:cs="Arial"/>
                <w:b/>
                <w:sz w:val="16"/>
                <w:szCs w:val="16"/>
              </w:rPr>
            </w:pPr>
          </w:p>
          <w:p w:rsidR="002D0B90" w:rsidRPr="003102C2" w:rsidRDefault="003102C2" w:rsidP="002D0B90">
            <w:pPr>
              <w:jc w:val="center"/>
              <w:rPr>
                <w:rFonts w:ascii="Arial" w:hAnsi="Arial" w:cs="Arial"/>
                <w:b/>
                <w:sz w:val="16"/>
                <w:szCs w:val="16"/>
              </w:rPr>
            </w:pPr>
            <w:r>
              <w:rPr>
                <w:rFonts w:ascii="Arial" w:hAnsi="Arial" w:cs="Arial"/>
                <w:b/>
                <w:sz w:val="16"/>
                <w:szCs w:val="16"/>
              </w:rPr>
              <w:t>Profun</w:t>
            </w: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cm</w:t>
            </w:r>
          </w:p>
        </w:tc>
        <w:tc>
          <w:tcPr>
            <w:tcW w:w="1075" w:type="pct"/>
            <w:gridSpan w:val="3"/>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Textura %</w:t>
            </w:r>
          </w:p>
        </w:tc>
        <w:tc>
          <w:tcPr>
            <w:tcW w:w="358" w:type="pct"/>
            <w:vMerge w:val="restart"/>
          </w:tcPr>
          <w:p w:rsidR="002D0B90" w:rsidRPr="003102C2" w:rsidRDefault="002D0B90" w:rsidP="002D0B90">
            <w:pPr>
              <w:jc w:val="center"/>
              <w:rPr>
                <w:rFonts w:ascii="Arial" w:hAnsi="Arial" w:cs="Arial"/>
                <w:b/>
                <w:sz w:val="16"/>
                <w:szCs w:val="16"/>
              </w:rPr>
            </w:pP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D.A.</w:t>
            </w:r>
          </w:p>
          <w:p w:rsidR="002D0B90" w:rsidRPr="003102C2" w:rsidRDefault="002D0B90" w:rsidP="002D0B90">
            <w:pPr>
              <w:jc w:val="center"/>
              <w:rPr>
                <w:rFonts w:ascii="Arial" w:hAnsi="Arial" w:cs="Arial"/>
                <w:b/>
                <w:sz w:val="16"/>
                <w:szCs w:val="16"/>
              </w:rPr>
            </w:pPr>
            <w:r w:rsidRPr="003102C2">
              <w:rPr>
                <w:rFonts w:ascii="Arial" w:hAnsi="Arial" w:cs="Arial"/>
                <w:b/>
                <w:sz w:val="16"/>
                <w:szCs w:val="16"/>
                <w:lang w:val="en-US"/>
              </w:rPr>
              <w:t>g/m</w:t>
            </w:r>
            <w:r w:rsidRPr="003102C2">
              <w:rPr>
                <w:rFonts w:ascii="Arial" w:hAnsi="Arial" w:cs="Arial"/>
                <w:b/>
                <w:sz w:val="16"/>
                <w:szCs w:val="16"/>
                <w:vertAlign w:val="superscript"/>
                <w:lang w:val="en-US"/>
              </w:rPr>
              <w:t>3</w:t>
            </w:r>
          </w:p>
        </w:tc>
        <w:tc>
          <w:tcPr>
            <w:tcW w:w="502" w:type="pct"/>
            <w:vMerge w:val="restart"/>
          </w:tcPr>
          <w:p w:rsidR="002D0B90" w:rsidRPr="003102C2" w:rsidRDefault="002D0B90" w:rsidP="002D0B90">
            <w:pPr>
              <w:jc w:val="center"/>
              <w:rPr>
                <w:rFonts w:ascii="Arial" w:hAnsi="Arial" w:cs="Arial"/>
                <w:b/>
                <w:sz w:val="16"/>
                <w:szCs w:val="16"/>
              </w:rPr>
            </w:pP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Cc</w:t>
            </w: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cm</w:t>
            </w:r>
            <w:r w:rsidRPr="003102C2">
              <w:rPr>
                <w:rFonts w:ascii="Arial" w:hAnsi="Arial" w:cs="Arial"/>
                <w:b/>
                <w:sz w:val="16"/>
                <w:szCs w:val="16"/>
                <w:vertAlign w:val="superscript"/>
              </w:rPr>
              <w:t>3</w:t>
            </w:r>
            <w:r w:rsidRPr="003102C2">
              <w:rPr>
                <w:rFonts w:ascii="Arial" w:hAnsi="Arial" w:cs="Arial"/>
                <w:b/>
                <w:sz w:val="16"/>
                <w:szCs w:val="16"/>
              </w:rPr>
              <w:t>.cm</w:t>
            </w:r>
            <w:r w:rsidRPr="003102C2">
              <w:rPr>
                <w:rFonts w:ascii="Arial" w:hAnsi="Arial" w:cs="Arial"/>
                <w:b/>
                <w:sz w:val="16"/>
                <w:szCs w:val="16"/>
                <w:vertAlign w:val="superscript"/>
              </w:rPr>
              <w:t>-3</w:t>
            </w:r>
          </w:p>
        </w:tc>
        <w:tc>
          <w:tcPr>
            <w:tcW w:w="430" w:type="pct"/>
            <w:vMerge w:val="restart"/>
          </w:tcPr>
          <w:p w:rsidR="002D0B90" w:rsidRPr="003102C2" w:rsidRDefault="002D0B90" w:rsidP="002D0B90">
            <w:pPr>
              <w:jc w:val="center"/>
              <w:rPr>
                <w:rFonts w:ascii="Arial" w:hAnsi="Arial" w:cs="Arial"/>
                <w:b/>
                <w:sz w:val="16"/>
                <w:szCs w:val="16"/>
              </w:rPr>
            </w:pP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Drenaje</w:t>
            </w: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m.dia</w:t>
            </w:r>
            <w:r w:rsidRPr="003102C2">
              <w:rPr>
                <w:rFonts w:ascii="Arial" w:hAnsi="Arial" w:cs="Arial"/>
                <w:b/>
                <w:sz w:val="16"/>
                <w:szCs w:val="16"/>
                <w:vertAlign w:val="superscript"/>
              </w:rPr>
              <w:t>-1</w:t>
            </w:r>
          </w:p>
          <w:p w:rsidR="002D0B90" w:rsidRPr="003102C2" w:rsidRDefault="002D0B90" w:rsidP="002D0B90">
            <w:pPr>
              <w:jc w:val="center"/>
              <w:rPr>
                <w:rFonts w:ascii="Arial" w:hAnsi="Arial" w:cs="Arial"/>
                <w:b/>
                <w:sz w:val="16"/>
                <w:szCs w:val="16"/>
              </w:rPr>
            </w:pPr>
          </w:p>
        </w:tc>
        <w:tc>
          <w:tcPr>
            <w:tcW w:w="500" w:type="pct"/>
            <w:vMerge w:val="restart"/>
          </w:tcPr>
          <w:p w:rsidR="002D0B90" w:rsidRPr="003102C2" w:rsidRDefault="002D0B90" w:rsidP="002D0B90">
            <w:pPr>
              <w:jc w:val="center"/>
              <w:rPr>
                <w:rFonts w:ascii="Arial" w:hAnsi="Arial" w:cs="Arial"/>
                <w:b/>
                <w:sz w:val="16"/>
                <w:szCs w:val="16"/>
              </w:rPr>
            </w:pP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LP H</w:t>
            </w:r>
            <w:r w:rsidRPr="003102C2">
              <w:rPr>
                <w:rFonts w:ascii="Arial" w:hAnsi="Arial" w:cs="Arial"/>
                <w:b/>
                <w:sz w:val="16"/>
                <w:szCs w:val="16"/>
                <w:vertAlign w:val="subscript"/>
              </w:rPr>
              <w:t>2</w:t>
            </w:r>
            <w:r w:rsidRPr="003102C2">
              <w:rPr>
                <w:rFonts w:ascii="Arial" w:hAnsi="Arial" w:cs="Arial"/>
                <w:b/>
                <w:sz w:val="16"/>
                <w:szCs w:val="16"/>
              </w:rPr>
              <w:t>O</w:t>
            </w: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cm</w:t>
            </w:r>
            <w:r w:rsidRPr="003102C2">
              <w:rPr>
                <w:rFonts w:ascii="Arial" w:hAnsi="Arial" w:cs="Arial"/>
                <w:b/>
                <w:sz w:val="16"/>
                <w:szCs w:val="16"/>
                <w:vertAlign w:val="superscript"/>
              </w:rPr>
              <w:t>3</w:t>
            </w:r>
            <w:r w:rsidRPr="003102C2">
              <w:rPr>
                <w:rFonts w:ascii="Arial" w:hAnsi="Arial" w:cs="Arial"/>
                <w:b/>
                <w:sz w:val="16"/>
                <w:szCs w:val="16"/>
              </w:rPr>
              <w:t>.cm</w:t>
            </w:r>
            <w:r w:rsidRPr="003102C2">
              <w:rPr>
                <w:rFonts w:ascii="Arial" w:hAnsi="Arial" w:cs="Arial"/>
                <w:b/>
                <w:sz w:val="16"/>
                <w:szCs w:val="16"/>
                <w:vertAlign w:val="superscript"/>
              </w:rPr>
              <w:t>-3</w:t>
            </w:r>
          </w:p>
        </w:tc>
        <w:tc>
          <w:tcPr>
            <w:tcW w:w="502" w:type="pct"/>
            <w:vMerge w:val="restart"/>
          </w:tcPr>
          <w:p w:rsidR="002D0B90" w:rsidRPr="003102C2" w:rsidRDefault="002D0B90" w:rsidP="002D0B90">
            <w:pPr>
              <w:jc w:val="center"/>
              <w:rPr>
                <w:rFonts w:ascii="Arial" w:hAnsi="Arial" w:cs="Arial"/>
                <w:b/>
                <w:sz w:val="16"/>
                <w:szCs w:val="16"/>
              </w:rPr>
            </w:pP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Suelo</w:t>
            </w: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Saturado</w:t>
            </w: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cm</w:t>
            </w:r>
            <w:r w:rsidRPr="003102C2">
              <w:rPr>
                <w:rFonts w:ascii="Arial" w:hAnsi="Arial" w:cs="Arial"/>
                <w:b/>
                <w:sz w:val="16"/>
                <w:szCs w:val="16"/>
                <w:vertAlign w:val="superscript"/>
              </w:rPr>
              <w:t>3</w:t>
            </w:r>
            <w:r w:rsidRPr="003102C2">
              <w:rPr>
                <w:rFonts w:ascii="Arial" w:hAnsi="Arial" w:cs="Arial"/>
                <w:b/>
                <w:sz w:val="16"/>
                <w:szCs w:val="16"/>
              </w:rPr>
              <w:t>.cm</w:t>
            </w:r>
            <w:r w:rsidRPr="003102C2">
              <w:rPr>
                <w:rFonts w:ascii="Arial" w:hAnsi="Arial" w:cs="Arial"/>
                <w:b/>
                <w:sz w:val="16"/>
                <w:szCs w:val="16"/>
                <w:vertAlign w:val="superscript"/>
              </w:rPr>
              <w:t>-3</w:t>
            </w:r>
          </w:p>
        </w:tc>
        <w:tc>
          <w:tcPr>
            <w:tcW w:w="857" w:type="pct"/>
            <w:gridSpan w:val="3"/>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Porosidad %</w:t>
            </w:r>
          </w:p>
        </w:tc>
        <w:tc>
          <w:tcPr>
            <w:tcW w:w="358" w:type="pct"/>
            <w:vMerge w:val="restart"/>
          </w:tcPr>
          <w:p w:rsidR="002D0B90" w:rsidRPr="003102C2" w:rsidRDefault="002D0B90" w:rsidP="002D0B90">
            <w:pPr>
              <w:jc w:val="center"/>
              <w:rPr>
                <w:rFonts w:ascii="Arial" w:hAnsi="Arial" w:cs="Arial"/>
                <w:b/>
                <w:sz w:val="16"/>
                <w:szCs w:val="16"/>
              </w:rPr>
            </w:pP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CHS</w:t>
            </w: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cm.h</w:t>
            </w:r>
            <w:r w:rsidRPr="003102C2">
              <w:rPr>
                <w:rFonts w:ascii="Arial" w:hAnsi="Arial" w:cs="Arial"/>
                <w:b/>
                <w:sz w:val="16"/>
                <w:szCs w:val="16"/>
                <w:vertAlign w:val="superscript"/>
              </w:rPr>
              <w:t>1</w:t>
            </w:r>
          </w:p>
          <w:p w:rsidR="002D0B90" w:rsidRPr="003102C2" w:rsidRDefault="002D0B90" w:rsidP="002D0B90">
            <w:pPr>
              <w:jc w:val="center"/>
              <w:rPr>
                <w:rFonts w:ascii="Arial" w:hAnsi="Arial" w:cs="Arial"/>
                <w:b/>
                <w:sz w:val="16"/>
                <w:szCs w:val="16"/>
              </w:rPr>
            </w:pPr>
          </w:p>
        </w:tc>
      </w:tr>
      <w:tr w:rsidR="003102C2" w:rsidRPr="002D0B90" w:rsidTr="003102C2">
        <w:tc>
          <w:tcPr>
            <w:tcW w:w="418" w:type="pct"/>
            <w:vMerge/>
          </w:tcPr>
          <w:p w:rsidR="002D0B90" w:rsidRPr="003102C2" w:rsidRDefault="002D0B90" w:rsidP="002D0B90">
            <w:pPr>
              <w:jc w:val="center"/>
              <w:rPr>
                <w:rFonts w:ascii="Arial" w:hAnsi="Arial" w:cs="Arial"/>
                <w:b/>
                <w:sz w:val="16"/>
                <w:szCs w:val="16"/>
              </w:rPr>
            </w:pPr>
          </w:p>
        </w:tc>
        <w:tc>
          <w:tcPr>
            <w:tcW w:w="358" w:type="pct"/>
          </w:tcPr>
          <w:p w:rsidR="002D0B90" w:rsidRPr="003102C2" w:rsidRDefault="002D0B90" w:rsidP="002D0B90">
            <w:pPr>
              <w:jc w:val="center"/>
              <w:rPr>
                <w:rFonts w:ascii="Arial" w:hAnsi="Arial" w:cs="Arial"/>
                <w:b/>
                <w:sz w:val="16"/>
                <w:szCs w:val="16"/>
              </w:rPr>
            </w:pP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Arena</w:t>
            </w:r>
          </w:p>
          <w:p w:rsidR="002D0B90" w:rsidRPr="003102C2" w:rsidRDefault="002D0B90" w:rsidP="002D0B90">
            <w:pPr>
              <w:jc w:val="center"/>
              <w:rPr>
                <w:rFonts w:ascii="Arial" w:hAnsi="Arial" w:cs="Arial"/>
                <w:b/>
                <w:sz w:val="16"/>
                <w:szCs w:val="16"/>
              </w:rPr>
            </w:pPr>
          </w:p>
        </w:tc>
        <w:tc>
          <w:tcPr>
            <w:tcW w:w="359" w:type="pct"/>
          </w:tcPr>
          <w:p w:rsidR="002D0B90" w:rsidRPr="003102C2" w:rsidRDefault="002D0B90" w:rsidP="002D0B90">
            <w:pPr>
              <w:jc w:val="center"/>
              <w:rPr>
                <w:rFonts w:ascii="Arial" w:hAnsi="Arial" w:cs="Arial"/>
                <w:b/>
                <w:sz w:val="16"/>
                <w:szCs w:val="16"/>
              </w:rPr>
            </w:pP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Limo</w:t>
            </w:r>
          </w:p>
        </w:tc>
        <w:tc>
          <w:tcPr>
            <w:tcW w:w="358" w:type="pct"/>
          </w:tcPr>
          <w:p w:rsidR="002D0B90" w:rsidRPr="003102C2" w:rsidRDefault="002D0B90" w:rsidP="002D0B90">
            <w:pPr>
              <w:jc w:val="center"/>
              <w:rPr>
                <w:rFonts w:ascii="Arial" w:hAnsi="Arial" w:cs="Arial"/>
                <w:b/>
                <w:sz w:val="16"/>
                <w:szCs w:val="16"/>
              </w:rPr>
            </w:pP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Arcilla</w:t>
            </w:r>
          </w:p>
        </w:tc>
        <w:tc>
          <w:tcPr>
            <w:tcW w:w="358" w:type="pct"/>
            <w:vMerge/>
          </w:tcPr>
          <w:p w:rsidR="002D0B90" w:rsidRPr="003102C2" w:rsidRDefault="002D0B90" w:rsidP="002D0B90">
            <w:pPr>
              <w:jc w:val="center"/>
              <w:rPr>
                <w:rFonts w:ascii="Arial" w:hAnsi="Arial" w:cs="Arial"/>
                <w:b/>
                <w:sz w:val="16"/>
                <w:szCs w:val="16"/>
              </w:rPr>
            </w:pPr>
          </w:p>
        </w:tc>
        <w:tc>
          <w:tcPr>
            <w:tcW w:w="502" w:type="pct"/>
            <w:vMerge/>
          </w:tcPr>
          <w:p w:rsidR="002D0B90" w:rsidRPr="003102C2" w:rsidRDefault="002D0B90" w:rsidP="002D0B90">
            <w:pPr>
              <w:jc w:val="center"/>
              <w:rPr>
                <w:rFonts w:ascii="Arial" w:hAnsi="Arial" w:cs="Arial"/>
                <w:b/>
                <w:sz w:val="16"/>
                <w:szCs w:val="16"/>
              </w:rPr>
            </w:pPr>
          </w:p>
        </w:tc>
        <w:tc>
          <w:tcPr>
            <w:tcW w:w="430" w:type="pct"/>
            <w:vMerge/>
          </w:tcPr>
          <w:p w:rsidR="002D0B90" w:rsidRPr="003102C2" w:rsidRDefault="002D0B90" w:rsidP="002D0B90">
            <w:pPr>
              <w:jc w:val="center"/>
              <w:rPr>
                <w:rFonts w:ascii="Arial" w:hAnsi="Arial" w:cs="Arial"/>
                <w:b/>
                <w:sz w:val="16"/>
                <w:szCs w:val="16"/>
              </w:rPr>
            </w:pPr>
          </w:p>
        </w:tc>
        <w:tc>
          <w:tcPr>
            <w:tcW w:w="500" w:type="pct"/>
            <w:vMerge/>
          </w:tcPr>
          <w:p w:rsidR="002D0B90" w:rsidRPr="003102C2" w:rsidRDefault="002D0B90" w:rsidP="002D0B90">
            <w:pPr>
              <w:jc w:val="center"/>
              <w:rPr>
                <w:rFonts w:ascii="Arial" w:hAnsi="Arial" w:cs="Arial"/>
                <w:b/>
                <w:sz w:val="16"/>
                <w:szCs w:val="16"/>
              </w:rPr>
            </w:pPr>
          </w:p>
        </w:tc>
        <w:tc>
          <w:tcPr>
            <w:tcW w:w="502" w:type="pct"/>
            <w:vMerge/>
          </w:tcPr>
          <w:p w:rsidR="002D0B90" w:rsidRPr="003102C2" w:rsidRDefault="002D0B90" w:rsidP="002D0B90">
            <w:pPr>
              <w:jc w:val="center"/>
              <w:rPr>
                <w:rFonts w:ascii="Arial" w:hAnsi="Arial" w:cs="Arial"/>
                <w:b/>
                <w:sz w:val="16"/>
                <w:szCs w:val="16"/>
              </w:rPr>
            </w:pPr>
          </w:p>
        </w:tc>
        <w:tc>
          <w:tcPr>
            <w:tcW w:w="286" w:type="pct"/>
          </w:tcPr>
          <w:p w:rsidR="002D0B90" w:rsidRPr="003102C2" w:rsidRDefault="002D0B90" w:rsidP="002D0B90">
            <w:pPr>
              <w:jc w:val="center"/>
              <w:rPr>
                <w:rFonts w:ascii="Arial" w:hAnsi="Arial" w:cs="Arial"/>
                <w:b/>
                <w:sz w:val="16"/>
                <w:szCs w:val="16"/>
              </w:rPr>
            </w:pP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PG</w:t>
            </w:r>
          </w:p>
        </w:tc>
        <w:tc>
          <w:tcPr>
            <w:tcW w:w="286" w:type="pct"/>
          </w:tcPr>
          <w:p w:rsidR="002D0B90" w:rsidRPr="003102C2" w:rsidRDefault="002D0B90" w:rsidP="002D0B90">
            <w:pPr>
              <w:jc w:val="center"/>
              <w:rPr>
                <w:rFonts w:ascii="Arial" w:hAnsi="Arial" w:cs="Arial"/>
                <w:b/>
                <w:sz w:val="16"/>
                <w:szCs w:val="16"/>
              </w:rPr>
            </w:pP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PT</w:t>
            </w:r>
          </w:p>
        </w:tc>
        <w:tc>
          <w:tcPr>
            <w:tcW w:w="284" w:type="pct"/>
          </w:tcPr>
          <w:p w:rsidR="002D0B90" w:rsidRPr="003102C2" w:rsidRDefault="002D0B90" w:rsidP="002D0B90">
            <w:pPr>
              <w:jc w:val="center"/>
              <w:rPr>
                <w:rFonts w:ascii="Arial" w:hAnsi="Arial" w:cs="Arial"/>
                <w:b/>
                <w:sz w:val="16"/>
                <w:szCs w:val="16"/>
              </w:rPr>
            </w:pPr>
          </w:p>
          <w:p w:rsidR="002D0B90" w:rsidRPr="003102C2" w:rsidRDefault="002D0B90" w:rsidP="002D0B90">
            <w:pPr>
              <w:jc w:val="center"/>
              <w:rPr>
                <w:rFonts w:ascii="Arial" w:hAnsi="Arial" w:cs="Arial"/>
                <w:b/>
                <w:sz w:val="16"/>
                <w:szCs w:val="16"/>
              </w:rPr>
            </w:pPr>
            <w:r w:rsidRPr="003102C2">
              <w:rPr>
                <w:rFonts w:ascii="Arial" w:hAnsi="Arial" w:cs="Arial"/>
                <w:b/>
                <w:sz w:val="16"/>
                <w:szCs w:val="16"/>
              </w:rPr>
              <w:t>PE</w:t>
            </w:r>
          </w:p>
        </w:tc>
        <w:tc>
          <w:tcPr>
            <w:tcW w:w="358" w:type="pct"/>
            <w:vMerge/>
          </w:tcPr>
          <w:p w:rsidR="002D0B90" w:rsidRPr="003102C2" w:rsidRDefault="002D0B90" w:rsidP="002D0B90">
            <w:pPr>
              <w:jc w:val="center"/>
              <w:rPr>
                <w:rFonts w:ascii="Arial" w:hAnsi="Arial" w:cs="Arial"/>
                <w:b/>
                <w:sz w:val="16"/>
                <w:szCs w:val="16"/>
              </w:rPr>
            </w:pPr>
          </w:p>
        </w:tc>
      </w:tr>
      <w:tr w:rsidR="003102C2" w:rsidRPr="002D0B90" w:rsidTr="003102C2">
        <w:tc>
          <w:tcPr>
            <w:tcW w:w="41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0-15</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34.5</w:t>
            </w:r>
          </w:p>
        </w:tc>
        <w:tc>
          <w:tcPr>
            <w:tcW w:w="359"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26.5</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39.0</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1.11</w:t>
            </w:r>
          </w:p>
        </w:tc>
        <w:tc>
          <w:tcPr>
            <w:tcW w:w="502"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0.374</w:t>
            </w:r>
          </w:p>
        </w:tc>
        <w:tc>
          <w:tcPr>
            <w:tcW w:w="430"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1.90</w:t>
            </w:r>
          </w:p>
        </w:tc>
        <w:tc>
          <w:tcPr>
            <w:tcW w:w="500"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0.299</w:t>
            </w:r>
          </w:p>
        </w:tc>
        <w:tc>
          <w:tcPr>
            <w:tcW w:w="502"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0.517</w:t>
            </w:r>
          </w:p>
        </w:tc>
        <w:tc>
          <w:tcPr>
            <w:tcW w:w="286"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65</w:t>
            </w:r>
          </w:p>
        </w:tc>
        <w:tc>
          <w:tcPr>
            <w:tcW w:w="286"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35</w:t>
            </w:r>
          </w:p>
        </w:tc>
        <w:tc>
          <w:tcPr>
            <w:tcW w:w="284"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30</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45.0</w:t>
            </w:r>
          </w:p>
        </w:tc>
      </w:tr>
      <w:tr w:rsidR="003102C2" w:rsidRPr="002D0B90" w:rsidTr="003102C2">
        <w:tc>
          <w:tcPr>
            <w:tcW w:w="41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15-30</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35.5</w:t>
            </w:r>
          </w:p>
        </w:tc>
        <w:tc>
          <w:tcPr>
            <w:tcW w:w="359"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26.0</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38.5</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1.20</w:t>
            </w:r>
          </w:p>
        </w:tc>
        <w:tc>
          <w:tcPr>
            <w:tcW w:w="502"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0.413</w:t>
            </w:r>
          </w:p>
        </w:tc>
        <w:tc>
          <w:tcPr>
            <w:tcW w:w="430"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1,96</w:t>
            </w:r>
          </w:p>
        </w:tc>
        <w:tc>
          <w:tcPr>
            <w:tcW w:w="500"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0.330</w:t>
            </w:r>
          </w:p>
        </w:tc>
        <w:tc>
          <w:tcPr>
            <w:tcW w:w="502"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0.594</w:t>
            </w:r>
          </w:p>
        </w:tc>
        <w:tc>
          <w:tcPr>
            <w:tcW w:w="286"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63</w:t>
            </w:r>
          </w:p>
        </w:tc>
        <w:tc>
          <w:tcPr>
            <w:tcW w:w="286"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40</w:t>
            </w:r>
          </w:p>
        </w:tc>
        <w:tc>
          <w:tcPr>
            <w:tcW w:w="284"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23</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46,3</w:t>
            </w:r>
          </w:p>
        </w:tc>
      </w:tr>
      <w:tr w:rsidR="003102C2" w:rsidRPr="002D0B90" w:rsidTr="003102C2">
        <w:tc>
          <w:tcPr>
            <w:tcW w:w="41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30-50</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41.0</w:t>
            </w:r>
          </w:p>
        </w:tc>
        <w:tc>
          <w:tcPr>
            <w:tcW w:w="359"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21.4</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37.6</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1.20</w:t>
            </w:r>
          </w:p>
        </w:tc>
        <w:tc>
          <w:tcPr>
            <w:tcW w:w="502"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0.408</w:t>
            </w:r>
          </w:p>
        </w:tc>
        <w:tc>
          <w:tcPr>
            <w:tcW w:w="430"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2,26</w:t>
            </w:r>
          </w:p>
        </w:tc>
        <w:tc>
          <w:tcPr>
            <w:tcW w:w="500"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0.326</w:t>
            </w:r>
          </w:p>
        </w:tc>
        <w:tc>
          <w:tcPr>
            <w:tcW w:w="502"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0.474</w:t>
            </w:r>
          </w:p>
        </w:tc>
        <w:tc>
          <w:tcPr>
            <w:tcW w:w="286"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55</w:t>
            </w:r>
          </w:p>
        </w:tc>
        <w:tc>
          <w:tcPr>
            <w:tcW w:w="286"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35</w:t>
            </w:r>
          </w:p>
        </w:tc>
        <w:tc>
          <w:tcPr>
            <w:tcW w:w="284"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20</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53,5</w:t>
            </w:r>
          </w:p>
        </w:tc>
      </w:tr>
      <w:tr w:rsidR="003102C2" w:rsidRPr="002D0B90" w:rsidTr="003102C2">
        <w:tc>
          <w:tcPr>
            <w:tcW w:w="41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50-70</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31.7</w:t>
            </w:r>
          </w:p>
        </w:tc>
        <w:tc>
          <w:tcPr>
            <w:tcW w:w="359"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28.7</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39.6</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1.25</w:t>
            </w:r>
          </w:p>
        </w:tc>
        <w:tc>
          <w:tcPr>
            <w:tcW w:w="502"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0.421</w:t>
            </w:r>
          </w:p>
        </w:tc>
        <w:tc>
          <w:tcPr>
            <w:tcW w:w="430"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1,75</w:t>
            </w:r>
          </w:p>
        </w:tc>
        <w:tc>
          <w:tcPr>
            <w:tcW w:w="500"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0.337</w:t>
            </w:r>
          </w:p>
        </w:tc>
        <w:tc>
          <w:tcPr>
            <w:tcW w:w="502"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0.434</w:t>
            </w:r>
          </w:p>
        </w:tc>
        <w:tc>
          <w:tcPr>
            <w:tcW w:w="286"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53</w:t>
            </w:r>
          </w:p>
        </w:tc>
        <w:tc>
          <w:tcPr>
            <w:tcW w:w="286"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33</w:t>
            </w:r>
          </w:p>
        </w:tc>
        <w:tc>
          <w:tcPr>
            <w:tcW w:w="284"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20</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41,3</w:t>
            </w:r>
          </w:p>
        </w:tc>
      </w:tr>
      <w:tr w:rsidR="003102C2" w:rsidRPr="002D0B90" w:rsidTr="003102C2">
        <w:tc>
          <w:tcPr>
            <w:tcW w:w="41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70-100</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30.0</w:t>
            </w:r>
          </w:p>
        </w:tc>
        <w:tc>
          <w:tcPr>
            <w:tcW w:w="359"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33.0</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37.0</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1.30</w:t>
            </w:r>
          </w:p>
        </w:tc>
        <w:tc>
          <w:tcPr>
            <w:tcW w:w="502"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0.425</w:t>
            </w:r>
          </w:p>
        </w:tc>
        <w:tc>
          <w:tcPr>
            <w:tcW w:w="430"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1,65</w:t>
            </w:r>
          </w:p>
        </w:tc>
        <w:tc>
          <w:tcPr>
            <w:tcW w:w="500"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0.340</w:t>
            </w:r>
          </w:p>
        </w:tc>
        <w:tc>
          <w:tcPr>
            <w:tcW w:w="502"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0.478</w:t>
            </w:r>
          </w:p>
        </w:tc>
        <w:tc>
          <w:tcPr>
            <w:tcW w:w="286"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50</w:t>
            </w:r>
          </w:p>
        </w:tc>
        <w:tc>
          <w:tcPr>
            <w:tcW w:w="286"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32</w:t>
            </w:r>
          </w:p>
        </w:tc>
        <w:tc>
          <w:tcPr>
            <w:tcW w:w="284"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18</w:t>
            </w:r>
          </w:p>
        </w:tc>
        <w:tc>
          <w:tcPr>
            <w:tcW w:w="358" w:type="pct"/>
          </w:tcPr>
          <w:p w:rsidR="002D0B90" w:rsidRPr="003102C2" w:rsidRDefault="002D0B90" w:rsidP="002D0B90">
            <w:pPr>
              <w:jc w:val="center"/>
              <w:rPr>
                <w:rFonts w:ascii="Arial" w:hAnsi="Arial" w:cs="Arial"/>
                <w:b/>
                <w:sz w:val="16"/>
                <w:szCs w:val="16"/>
              </w:rPr>
            </w:pPr>
            <w:r w:rsidRPr="003102C2">
              <w:rPr>
                <w:rFonts w:ascii="Arial" w:hAnsi="Arial" w:cs="Arial"/>
                <w:b/>
                <w:sz w:val="16"/>
                <w:szCs w:val="16"/>
              </w:rPr>
              <w:t>39,1</w:t>
            </w:r>
          </w:p>
        </w:tc>
      </w:tr>
    </w:tbl>
    <w:p w:rsidR="001014E0" w:rsidRDefault="001014E0" w:rsidP="00025947">
      <w:pPr>
        <w:autoSpaceDE w:val="0"/>
        <w:autoSpaceDN w:val="0"/>
        <w:adjustRightInd w:val="0"/>
        <w:spacing w:after="0" w:line="240" w:lineRule="auto"/>
        <w:rPr>
          <w:rFonts w:ascii="Times New Roman" w:hAnsi="Times New Roman" w:cs="Times New Roman"/>
          <w:b/>
          <w:sz w:val="24"/>
          <w:szCs w:val="24"/>
        </w:rPr>
      </w:pPr>
    </w:p>
    <w:p w:rsidR="001014E0" w:rsidRDefault="001014E0" w:rsidP="006233EA">
      <w:pPr>
        <w:autoSpaceDE w:val="0"/>
        <w:autoSpaceDN w:val="0"/>
        <w:adjustRightInd w:val="0"/>
        <w:spacing w:after="0" w:line="240" w:lineRule="auto"/>
        <w:jc w:val="both"/>
        <w:rPr>
          <w:sz w:val="36"/>
          <w:szCs w:val="36"/>
        </w:rPr>
      </w:pPr>
    </w:p>
    <w:p w:rsidR="0000545E" w:rsidRDefault="0000545E" w:rsidP="006233EA">
      <w:pPr>
        <w:autoSpaceDE w:val="0"/>
        <w:autoSpaceDN w:val="0"/>
        <w:adjustRightInd w:val="0"/>
        <w:spacing w:after="0" w:line="240" w:lineRule="auto"/>
        <w:jc w:val="both"/>
        <w:rPr>
          <w:sz w:val="36"/>
          <w:szCs w:val="36"/>
        </w:rPr>
      </w:pPr>
    </w:p>
    <w:p w:rsidR="0000545E" w:rsidRDefault="0000545E" w:rsidP="006233EA">
      <w:pPr>
        <w:autoSpaceDE w:val="0"/>
        <w:autoSpaceDN w:val="0"/>
        <w:adjustRightInd w:val="0"/>
        <w:spacing w:after="0" w:line="240" w:lineRule="auto"/>
        <w:jc w:val="both"/>
        <w:rPr>
          <w:sz w:val="36"/>
          <w:szCs w:val="36"/>
        </w:rPr>
      </w:pPr>
    </w:p>
    <w:p w:rsidR="0000545E" w:rsidRDefault="0000545E" w:rsidP="006233EA">
      <w:pPr>
        <w:autoSpaceDE w:val="0"/>
        <w:autoSpaceDN w:val="0"/>
        <w:adjustRightInd w:val="0"/>
        <w:spacing w:after="0" w:line="240" w:lineRule="auto"/>
        <w:jc w:val="both"/>
        <w:rPr>
          <w:sz w:val="36"/>
          <w:szCs w:val="36"/>
        </w:rPr>
      </w:pPr>
    </w:p>
    <w:p w:rsidR="0000545E" w:rsidRDefault="0000545E" w:rsidP="006233EA">
      <w:pPr>
        <w:autoSpaceDE w:val="0"/>
        <w:autoSpaceDN w:val="0"/>
        <w:adjustRightInd w:val="0"/>
        <w:spacing w:after="0" w:line="240" w:lineRule="auto"/>
        <w:jc w:val="both"/>
        <w:rPr>
          <w:sz w:val="36"/>
          <w:szCs w:val="36"/>
        </w:rPr>
      </w:pPr>
    </w:p>
    <w:p w:rsidR="0000545E" w:rsidRDefault="0000545E" w:rsidP="006233EA">
      <w:pPr>
        <w:autoSpaceDE w:val="0"/>
        <w:autoSpaceDN w:val="0"/>
        <w:adjustRightInd w:val="0"/>
        <w:spacing w:after="0" w:line="240" w:lineRule="auto"/>
        <w:jc w:val="both"/>
        <w:rPr>
          <w:sz w:val="36"/>
          <w:szCs w:val="36"/>
        </w:rPr>
      </w:pPr>
    </w:p>
    <w:p w:rsidR="0000545E" w:rsidRDefault="0000545E" w:rsidP="006233EA">
      <w:pPr>
        <w:autoSpaceDE w:val="0"/>
        <w:autoSpaceDN w:val="0"/>
        <w:adjustRightInd w:val="0"/>
        <w:spacing w:after="0" w:line="240" w:lineRule="auto"/>
        <w:jc w:val="both"/>
        <w:rPr>
          <w:sz w:val="36"/>
          <w:szCs w:val="36"/>
        </w:rPr>
      </w:pPr>
    </w:p>
    <w:p w:rsidR="0000545E" w:rsidRDefault="0000545E" w:rsidP="006233EA">
      <w:pPr>
        <w:autoSpaceDE w:val="0"/>
        <w:autoSpaceDN w:val="0"/>
        <w:adjustRightInd w:val="0"/>
        <w:spacing w:after="0" w:line="240" w:lineRule="auto"/>
        <w:jc w:val="both"/>
        <w:rPr>
          <w:sz w:val="36"/>
          <w:szCs w:val="36"/>
        </w:rPr>
      </w:pPr>
    </w:p>
    <w:p w:rsidR="0000545E" w:rsidRDefault="0000545E" w:rsidP="006233EA">
      <w:pPr>
        <w:autoSpaceDE w:val="0"/>
        <w:autoSpaceDN w:val="0"/>
        <w:adjustRightInd w:val="0"/>
        <w:spacing w:after="0" w:line="240" w:lineRule="auto"/>
        <w:jc w:val="both"/>
        <w:rPr>
          <w:sz w:val="36"/>
          <w:szCs w:val="36"/>
        </w:rPr>
      </w:pPr>
    </w:p>
    <w:p w:rsidR="0000545E" w:rsidRDefault="0000545E" w:rsidP="006233EA">
      <w:pPr>
        <w:autoSpaceDE w:val="0"/>
        <w:autoSpaceDN w:val="0"/>
        <w:adjustRightInd w:val="0"/>
        <w:spacing w:after="0" w:line="240" w:lineRule="auto"/>
        <w:jc w:val="both"/>
        <w:rPr>
          <w:sz w:val="36"/>
          <w:szCs w:val="36"/>
        </w:rPr>
      </w:pPr>
    </w:p>
    <w:p w:rsidR="0000545E" w:rsidRDefault="0000545E" w:rsidP="006233EA">
      <w:pPr>
        <w:autoSpaceDE w:val="0"/>
        <w:autoSpaceDN w:val="0"/>
        <w:adjustRightInd w:val="0"/>
        <w:spacing w:after="0" w:line="240" w:lineRule="auto"/>
        <w:jc w:val="both"/>
        <w:rPr>
          <w:sz w:val="36"/>
          <w:szCs w:val="36"/>
        </w:rPr>
      </w:pPr>
    </w:p>
    <w:p w:rsidR="001014E0" w:rsidRDefault="001014E0" w:rsidP="006233EA">
      <w:pPr>
        <w:autoSpaceDE w:val="0"/>
        <w:autoSpaceDN w:val="0"/>
        <w:adjustRightInd w:val="0"/>
        <w:spacing w:after="0" w:line="240" w:lineRule="auto"/>
        <w:jc w:val="both"/>
        <w:rPr>
          <w:sz w:val="36"/>
          <w:szCs w:val="36"/>
        </w:rPr>
      </w:pPr>
    </w:p>
    <w:p w:rsidR="0000545E" w:rsidRDefault="0000545E" w:rsidP="006233EA">
      <w:pPr>
        <w:autoSpaceDE w:val="0"/>
        <w:autoSpaceDN w:val="0"/>
        <w:adjustRightInd w:val="0"/>
        <w:spacing w:after="0" w:line="240" w:lineRule="auto"/>
        <w:jc w:val="both"/>
        <w:rPr>
          <w:sz w:val="36"/>
          <w:szCs w:val="36"/>
        </w:rPr>
      </w:pPr>
    </w:p>
    <w:p w:rsidR="00982496" w:rsidRDefault="00785478" w:rsidP="006233EA">
      <w:pPr>
        <w:autoSpaceDE w:val="0"/>
        <w:autoSpaceDN w:val="0"/>
        <w:adjustRightInd w:val="0"/>
        <w:spacing w:after="0" w:line="240" w:lineRule="auto"/>
        <w:jc w:val="both"/>
        <w:rPr>
          <w:sz w:val="36"/>
          <w:szCs w:val="36"/>
        </w:rPr>
      </w:pPr>
      <w:r>
        <w:rPr>
          <w:sz w:val="36"/>
          <w:szCs w:val="36"/>
        </w:rPr>
        <w:t>Tabla  Validación del DSSAT en el cultivo del maíz.</w:t>
      </w:r>
    </w:p>
    <w:p w:rsidR="001014E0" w:rsidRDefault="001014E0" w:rsidP="006233EA">
      <w:pPr>
        <w:autoSpaceDE w:val="0"/>
        <w:autoSpaceDN w:val="0"/>
        <w:adjustRightInd w:val="0"/>
        <w:spacing w:after="0" w:line="240" w:lineRule="auto"/>
        <w:jc w:val="both"/>
        <w:rPr>
          <w:sz w:val="36"/>
          <w:szCs w:val="36"/>
        </w:rPr>
      </w:pPr>
    </w:p>
    <w:p w:rsidR="001014E0" w:rsidRDefault="001014E0" w:rsidP="006233EA">
      <w:pPr>
        <w:autoSpaceDE w:val="0"/>
        <w:autoSpaceDN w:val="0"/>
        <w:adjustRightInd w:val="0"/>
        <w:spacing w:after="0" w:line="240" w:lineRule="auto"/>
        <w:jc w:val="both"/>
        <w:rPr>
          <w:sz w:val="36"/>
          <w:szCs w:val="36"/>
        </w:rPr>
      </w:pPr>
    </w:p>
    <w:p w:rsidR="001014E0" w:rsidRDefault="001014E0" w:rsidP="006233EA">
      <w:pPr>
        <w:autoSpaceDE w:val="0"/>
        <w:autoSpaceDN w:val="0"/>
        <w:adjustRightInd w:val="0"/>
        <w:spacing w:after="0" w:line="240" w:lineRule="auto"/>
        <w:jc w:val="both"/>
        <w:rPr>
          <w:sz w:val="36"/>
          <w:szCs w:val="36"/>
        </w:rPr>
      </w:pPr>
    </w:p>
    <w:p w:rsidR="001014E0" w:rsidRDefault="001014E0" w:rsidP="006233EA">
      <w:pPr>
        <w:autoSpaceDE w:val="0"/>
        <w:autoSpaceDN w:val="0"/>
        <w:adjustRightInd w:val="0"/>
        <w:spacing w:after="0" w:line="240" w:lineRule="auto"/>
        <w:jc w:val="both"/>
        <w:rPr>
          <w:sz w:val="36"/>
          <w:szCs w:val="36"/>
        </w:rPr>
      </w:pPr>
    </w:p>
    <w:p w:rsidR="001014E0" w:rsidRDefault="001014E0" w:rsidP="006233EA">
      <w:pPr>
        <w:autoSpaceDE w:val="0"/>
        <w:autoSpaceDN w:val="0"/>
        <w:adjustRightInd w:val="0"/>
        <w:spacing w:after="0" w:line="240" w:lineRule="auto"/>
        <w:jc w:val="both"/>
        <w:rPr>
          <w:sz w:val="36"/>
          <w:szCs w:val="36"/>
        </w:rPr>
      </w:pPr>
    </w:p>
    <w:p w:rsidR="001014E0" w:rsidRDefault="001014E0" w:rsidP="006233EA">
      <w:pPr>
        <w:autoSpaceDE w:val="0"/>
        <w:autoSpaceDN w:val="0"/>
        <w:adjustRightInd w:val="0"/>
        <w:spacing w:after="0" w:line="240" w:lineRule="auto"/>
        <w:jc w:val="both"/>
        <w:rPr>
          <w:sz w:val="36"/>
          <w:szCs w:val="36"/>
        </w:rPr>
      </w:pPr>
    </w:p>
    <w:p w:rsidR="001014E0" w:rsidRDefault="001014E0" w:rsidP="006233EA">
      <w:pPr>
        <w:autoSpaceDE w:val="0"/>
        <w:autoSpaceDN w:val="0"/>
        <w:adjustRightInd w:val="0"/>
        <w:spacing w:after="0" w:line="240" w:lineRule="auto"/>
        <w:jc w:val="both"/>
        <w:rPr>
          <w:sz w:val="36"/>
          <w:szCs w:val="36"/>
        </w:rPr>
      </w:pPr>
    </w:p>
    <w:p w:rsidR="001014E0" w:rsidRDefault="001014E0" w:rsidP="006233EA">
      <w:pPr>
        <w:autoSpaceDE w:val="0"/>
        <w:autoSpaceDN w:val="0"/>
        <w:adjustRightInd w:val="0"/>
        <w:spacing w:after="0" w:line="240" w:lineRule="auto"/>
        <w:jc w:val="both"/>
        <w:rPr>
          <w:sz w:val="36"/>
          <w:szCs w:val="36"/>
        </w:rPr>
      </w:pPr>
    </w:p>
    <w:p w:rsidR="001014E0" w:rsidRDefault="001014E0" w:rsidP="006233EA">
      <w:pPr>
        <w:autoSpaceDE w:val="0"/>
        <w:autoSpaceDN w:val="0"/>
        <w:adjustRightInd w:val="0"/>
        <w:spacing w:after="0" w:line="240" w:lineRule="auto"/>
        <w:jc w:val="both"/>
        <w:rPr>
          <w:sz w:val="36"/>
          <w:szCs w:val="36"/>
        </w:rPr>
      </w:pPr>
    </w:p>
    <w:p w:rsidR="001014E0" w:rsidRDefault="001014E0" w:rsidP="006233EA">
      <w:pPr>
        <w:autoSpaceDE w:val="0"/>
        <w:autoSpaceDN w:val="0"/>
        <w:adjustRightInd w:val="0"/>
        <w:spacing w:after="0" w:line="240" w:lineRule="auto"/>
        <w:jc w:val="both"/>
        <w:rPr>
          <w:sz w:val="36"/>
          <w:szCs w:val="36"/>
        </w:rPr>
      </w:pPr>
    </w:p>
    <w:p w:rsidR="001014E0" w:rsidRPr="002F0BB0" w:rsidRDefault="001014E0" w:rsidP="006233EA">
      <w:pPr>
        <w:autoSpaceDE w:val="0"/>
        <w:autoSpaceDN w:val="0"/>
        <w:adjustRightInd w:val="0"/>
        <w:spacing w:after="0" w:line="240" w:lineRule="auto"/>
        <w:jc w:val="both"/>
        <w:rPr>
          <w:rFonts w:ascii="Times New Roman" w:hAnsi="Times New Roman" w:cs="Times New Roman"/>
          <w:sz w:val="24"/>
          <w:szCs w:val="24"/>
        </w:rPr>
      </w:pPr>
    </w:p>
    <w:tbl>
      <w:tblPr>
        <w:tblStyle w:val="Tablaconcuadrcula"/>
        <w:tblpPr w:leftFromText="141" w:rightFromText="141" w:vertAnchor="page" w:horzAnchor="page" w:tblpX="2191" w:tblpY="3034"/>
        <w:tblW w:w="6062" w:type="dxa"/>
        <w:tblLook w:val="04A0" w:firstRow="1" w:lastRow="0" w:firstColumn="1" w:lastColumn="0" w:noHBand="0" w:noVBand="1"/>
      </w:tblPr>
      <w:tblGrid>
        <w:gridCol w:w="3652"/>
        <w:gridCol w:w="1276"/>
        <w:gridCol w:w="1134"/>
      </w:tblGrid>
      <w:tr w:rsidR="003C16EC" w:rsidRPr="00982496" w:rsidTr="001014E0">
        <w:trPr>
          <w:trHeight w:val="322"/>
        </w:trPr>
        <w:tc>
          <w:tcPr>
            <w:tcW w:w="3652" w:type="dxa"/>
            <w:vMerge w:val="restart"/>
          </w:tcPr>
          <w:p w:rsidR="003C16EC" w:rsidRPr="003C16EC" w:rsidRDefault="003C16EC" w:rsidP="001014E0">
            <w:pPr>
              <w:jc w:val="center"/>
              <w:rPr>
                <w:rFonts w:ascii="Arial" w:hAnsi="Arial" w:cs="Arial"/>
                <w:b/>
                <w:sz w:val="28"/>
                <w:szCs w:val="28"/>
              </w:rPr>
            </w:pPr>
            <w:r w:rsidRPr="003C16EC">
              <w:rPr>
                <w:rFonts w:ascii="Arial" w:hAnsi="Arial" w:cs="Arial"/>
                <w:b/>
                <w:sz w:val="28"/>
                <w:szCs w:val="28"/>
              </w:rPr>
              <w:t>Indicador</w:t>
            </w:r>
          </w:p>
        </w:tc>
        <w:tc>
          <w:tcPr>
            <w:tcW w:w="1276" w:type="dxa"/>
            <w:vMerge w:val="restart"/>
          </w:tcPr>
          <w:p w:rsidR="003C16EC" w:rsidRPr="003C16EC" w:rsidRDefault="003C16EC" w:rsidP="001014E0">
            <w:pPr>
              <w:jc w:val="center"/>
              <w:rPr>
                <w:rFonts w:ascii="Arial" w:hAnsi="Arial" w:cs="Arial"/>
                <w:b/>
                <w:sz w:val="28"/>
                <w:szCs w:val="28"/>
              </w:rPr>
            </w:pPr>
            <w:r w:rsidRPr="003C16EC">
              <w:rPr>
                <w:rFonts w:ascii="Arial" w:hAnsi="Arial" w:cs="Arial"/>
                <w:b/>
                <w:sz w:val="28"/>
                <w:szCs w:val="28"/>
              </w:rPr>
              <w:t>RMSE</w:t>
            </w:r>
          </w:p>
        </w:tc>
        <w:tc>
          <w:tcPr>
            <w:tcW w:w="1134" w:type="dxa"/>
            <w:vMerge w:val="restart"/>
          </w:tcPr>
          <w:p w:rsidR="003C16EC" w:rsidRPr="003C16EC" w:rsidRDefault="003C16EC" w:rsidP="001014E0">
            <w:pPr>
              <w:jc w:val="center"/>
              <w:rPr>
                <w:rFonts w:ascii="Arial" w:hAnsi="Arial" w:cs="Arial"/>
                <w:b/>
                <w:sz w:val="28"/>
                <w:szCs w:val="28"/>
              </w:rPr>
            </w:pPr>
            <w:r w:rsidRPr="003C16EC">
              <w:rPr>
                <w:rFonts w:ascii="Arial" w:hAnsi="Arial" w:cs="Arial"/>
                <w:b/>
                <w:sz w:val="28"/>
                <w:szCs w:val="28"/>
              </w:rPr>
              <w:t>d</w:t>
            </w:r>
          </w:p>
        </w:tc>
      </w:tr>
      <w:tr w:rsidR="003C16EC" w:rsidRPr="00982496" w:rsidTr="001014E0">
        <w:trPr>
          <w:trHeight w:val="230"/>
        </w:trPr>
        <w:tc>
          <w:tcPr>
            <w:tcW w:w="3652" w:type="dxa"/>
            <w:vMerge/>
          </w:tcPr>
          <w:p w:rsidR="003C16EC" w:rsidRPr="002D0B90" w:rsidRDefault="003C16EC" w:rsidP="001014E0">
            <w:pPr>
              <w:jc w:val="center"/>
              <w:rPr>
                <w:rFonts w:ascii="Arial" w:hAnsi="Arial" w:cs="Arial"/>
                <w:sz w:val="20"/>
                <w:szCs w:val="20"/>
              </w:rPr>
            </w:pPr>
          </w:p>
        </w:tc>
        <w:tc>
          <w:tcPr>
            <w:tcW w:w="1276" w:type="dxa"/>
            <w:vMerge/>
          </w:tcPr>
          <w:p w:rsidR="003C16EC" w:rsidRPr="002D0B90" w:rsidRDefault="003C16EC" w:rsidP="001014E0">
            <w:pPr>
              <w:jc w:val="center"/>
              <w:rPr>
                <w:rFonts w:ascii="Arial" w:hAnsi="Arial" w:cs="Arial"/>
                <w:sz w:val="20"/>
                <w:szCs w:val="20"/>
              </w:rPr>
            </w:pPr>
          </w:p>
        </w:tc>
        <w:tc>
          <w:tcPr>
            <w:tcW w:w="1134" w:type="dxa"/>
            <w:vMerge/>
          </w:tcPr>
          <w:p w:rsidR="003C16EC" w:rsidRPr="002D0B90" w:rsidRDefault="003C16EC" w:rsidP="001014E0">
            <w:pPr>
              <w:jc w:val="center"/>
              <w:rPr>
                <w:rFonts w:ascii="Arial" w:hAnsi="Arial" w:cs="Arial"/>
                <w:sz w:val="20"/>
                <w:szCs w:val="20"/>
              </w:rPr>
            </w:pPr>
          </w:p>
        </w:tc>
      </w:tr>
      <w:tr w:rsidR="003C16EC" w:rsidRPr="00982496" w:rsidTr="001014E0">
        <w:tc>
          <w:tcPr>
            <w:tcW w:w="3652"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Fecha florac</w:t>
            </w:r>
            <w:r>
              <w:rPr>
                <w:rFonts w:ascii="Arial" w:hAnsi="Arial" w:cs="Arial"/>
                <w:sz w:val="24"/>
                <w:szCs w:val="24"/>
              </w:rPr>
              <w:t>ión</w:t>
            </w:r>
          </w:p>
        </w:tc>
        <w:tc>
          <w:tcPr>
            <w:tcW w:w="1276"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1.87</w:t>
            </w:r>
          </w:p>
        </w:tc>
        <w:tc>
          <w:tcPr>
            <w:tcW w:w="1134"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0.99</w:t>
            </w:r>
          </w:p>
        </w:tc>
      </w:tr>
      <w:tr w:rsidR="003C16EC" w:rsidRPr="00982496" w:rsidTr="001014E0">
        <w:tc>
          <w:tcPr>
            <w:tcW w:w="3652"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Fecha mad</w:t>
            </w:r>
            <w:r>
              <w:rPr>
                <w:rFonts w:ascii="Arial" w:hAnsi="Arial" w:cs="Arial"/>
                <w:sz w:val="24"/>
                <w:szCs w:val="24"/>
              </w:rPr>
              <w:t>urez fisiológica</w:t>
            </w:r>
          </w:p>
        </w:tc>
        <w:tc>
          <w:tcPr>
            <w:tcW w:w="1276"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0.71</w:t>
            </w:r>
          </w:p>
        </w:tc>
        <w:tc>
          <w:tcPr>
            <w:tcW w:w="1134"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0.99</w:t>
            </w:r>
          </w:p>
        </w:tc>
      </w:tr>
      <w:tr w:rsidR="003C16EC" w:rsidRPr="00982496" w:rsidTr="001014E0">
        <w:tc>
          <w:tcPr>
            <w:tcW w:w="3652"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Rendim</w:t>
            </w:r>
            <w:r>
              <w:rPr>
                <w:rFonts w:ascii="Arial" w:hAnsi="Arial" w:cs="Arial"/>
                <w:sz w:val="24"/>
                <w:szCs w:val="24"/>
              </w:rPr>
              <w:t>iento</w:t>
            </w:r>
          </w:p>
        </w:tc>
        <w:tc>
          <w:tcPr>
            <w:tcW w:w="1276"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22.52</w:t>
            </w:r>
          </w:p>
        </w:tc>
        <w:tc>
          <w:tcPr>
            <w:tcW w:w="1134"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0.99</w:t>
            </w:r>
          </w:p>
        </w:tc>
      </w:tr>
      <w:tr w:rsidR="003C16EC" w:rsidRPr="00982496" w:rsidTr="001014E0">
        <w:tc>
          <w:tcPr>
            <w:tcW w:w="3652"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Peso de un grano</w:t>
            </w:r>
          </w:p>
        </w:tc>
        <w:tc>
          <w:tcPr>
            <w:tcW w:w="1276"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0.0014</w:t>
            </w:r>
          </w:p>
        </w:tc>
        <w:tc>
          <w:tcPr>
            <w:tcW w:w="1134"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0.99</w:t>
            </w:r>
          </w:p>
        </w:tc>
      </w:tr>
      <w:tr w:rsidR="003C16EC" w:rsidRPr="00982496" w:rsidTr="001014E0">
        <w:tc>
          <w:tcPr>
            <w:tcW w:w="3652" w:type="dxa"/>
          </w:tcPr>
          <w:p w:rsidR="003C16EC" w:rsidRPr="003C16EC" w:rsidRDefault="003C16EC" w:rsidP="001014E0">
            <w:pPr>
              <w:jc w:val="center"/>
              <w:rPr>
                <w:rFonts w:ascii="Arial" w:hAnsi="Arial" w:cs="Arial"/>
                <w:sz w:val="24"/>
                <w:szCs w:val="24"/>
              </w:rPr>
            </w:pPr>
            <w:r>
              <w:rPr>
                <w:rFonts w:ascii="Arial" w:hAnsi="Arial" w:cs="Arial"/>
                <w:sz w:val="24"/>
                <w:szCs w:val="24"/>
              </w:rPr>
              <w:t>Granos.</w:t>
            </w:r>
            <w:r w:rsidRPr="003C16EC">
              <w:rPr>
                <w:rFonts w:ascii="Arial" w:hAnsi="Arial" w:cs="Arial"/>
                <w:sz w:val="24"/>
                <w:szCs w:val="24"/>
              </w:rPr>
              <w:t>m</w:t>
            </w:r>
            <w:r w:rsidRPr="003C16EC">
              <w:rPr>
                <w:rFonts w:ascii="Arial" w:hAnsi="Arial" w:cs="Arial"/>
                <w:sz w:val="24"/>
                <w:szCs w:val="24"/>
                <w:vertAlign w:val="superscript"/>
              </w:rPr>
              <w:t>2</w:t>
            </w:r>
          </w:p>
        </w:tc>
        <w:tc>
          <w:tcPr>
            <w:tcW w:w="1276"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3.39</w:t>
            </w:r>
          </w:p>
        </w:tc>
        <w:tc>
          <w:tcPr>
            <w:tcW w:w="1134"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0.99</w:t>
            </w:r>
          </w:p>
        </w:tc>
      </w:tr>
      <w:tr w:rsidR="003C16EC" w:rsidRPr="00982496" w:rsidTr="001014E0">
        <w:tc>
          <w:tcPr>
            <w:tcW w:w="3652" w:type="dxa"/>
          </w:tcPr>
          <w:p w:rsidR="003C16EC" w:rsidRPr="003C16EC" w:rsidRDefault="003C16EC" w:rsidP="001014E0">
            <w:pPr>
              <w:jc w:val="center"/>
              <w:rPr>
                <w:rFonts w:ascii="Arial" w:hAnsi="Arial" w:cs="Arial"/>
                <w:sz w:val="24"/>
                <w:szCs w:val="24"/>
              </w:rPr>
            </w:pPr>
            <w:r>
              <w:rPr>
                <w:rFonts w:ascii="Arial" w:hAnsi="Arial" w:cs="Arial"/>
                <w:sz w:val="24"/>
                <w:szCs w:val="24"/>
              </w:rPr>
              <w:t>Granos/mazorca</w:t>
            </w:r>
          </w:p>
        </w:tc>
        <w:tc>
          <w:tcPr>
            <w:tcW w:w="1276"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0.0014</w:t>
            </w:r>
          </w:p>
        </w:tc>
        <w:tc>
          <w:tcPr>
            <w:tcW w:w="1134"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0.99</w:t>
            </w:r>
          </w:p>
        </w:tc>
      </w:tr>
      <w:tr w:rsidR="003C16EC" w:rsidRPr="00982496" w:rsidTr="001014E0">
        <w:tc>
          <w:tcPr>
            <w:tcW w:w="3652"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IAF máx</w:t>
            </w:r>
            <w:r>
              <w:rPr>
                <w:rFonts w:ascii="Arial" w:hAnsi="Arial" w:cs="Arial"/>
                <w:sz w:val="24"/>
                <w:szCs w:val="24"/>
              </w:rPr>
              <w:t>imo</w:t>
            </w:r>
          </w:p>
        </w:tc>
        <w:tc>
          <w:tcPr>
            <w:tcW w:w="1276"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4.15</w:t>
            </w:r>
          </w:p>
        </w:tc>
        <w:tc>
          <w:tcPr>
            <w:tcW w:w="1134"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0.84</w:t>
            </w:r>
          </w:p>
        </w:tc>
      </w:tr>
      <w:tr w:rsidR="003C16EC" w:rsidRPr="00982496" w:rsidTr="001014E0">
        <w:tc>
          <w:tcPr>
            <w:tcW w:w="3652"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Biom</w:t>
            </w:r>
            <w:r>
              <w:rPr>
                <w:rFonts w:ascii="Arial" w:hAnsi="Arial" w:cs="Arial"/>
                <w:sz w:val="24"/>
                <w:szCs w:val="24"/>
              </w:rPr>
              <w:t>asa a</w:t>
            </w:r>
            <w:r w:rsidRPr="003C16EC">
              <w:rPr>
                <w:rFonts w:ascii="Arial" w:hAnsi="Arial" w:cs="Arial"/>
                <w:sz w:val="24"/>
                <w:szCs w:val="24"/>
              </w:rPr>
              <w:t xml:space="preserve"> antesis</w:t>
            </w:r>
          </w:p>
        </w:tc>
        <w:tc>
          <w:tcPr>
            <w:tcW w:w="1276"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1957.16</w:t>
            </w:r>
          </w:p>
        </w:tc>
        <w:tc>
          <w:tcPr>
            <w:tcW w:w="1134"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0.92</w:t>
            </w:r>
          </w:p>
        </w:tc>
      </w:tr>
      <w:tr w:rsidR="003C16EC" w:rsidRPr="00982496" w:rsidTr="001014E0">
        <w:tc>
          <w:tcPr>
            <w:tcW w:w="3652"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Biom</w:t>
            </w:r>
            <w:r>
              <w:rPr>
                <w:rFonts w:ascii="Arial" w:hAnsi="Arial" w:cs="Arial"/>
                <w:sz w:val="24"/>
                <w:szCs w:val="24"/>
              </w:rPr>
              <w:t xml:space="preserve">asa a </w:t>
            </w:r>
            <w:r w:rsidRPr="003C16EC">
              <w:rPr>
                <w:rFonts w:ascii="Arial" w:hAnsi="Arial" w:cs="Arial"/>
                <w:sz w:val="24"/>
                <w:szCs w:val="24"/>
              </w:rPr>
              <w:t xml:space="preserve"> mad</w:t>
            </w:r>
            <w:r>
              <w:rPr>
                <w:rFonts w:ascii="Arial" w:hAnsi="Arial" w:cs="Arial"/>
                <w:sz w:val="24"/>
                <w:szCs w:val="24"/>
              </w:rPr>
              <w:t>urez</w:t>
            </w:r>
            <w:r w:rsidRPr="003C16EC">
              <w:rPr>
                <w:rFonts w:ascii="Arial" w:hAnsi="Arial" w:cs="Arial"/>
                <w:sz w:val="24"/>
                <w:szCs w:val="24"/>
              </w:rPr>
              <w:t xml:space="preserve"> fis</w:t>
            </w:r>
            <w:r>
              <w:rPr>
                <w:rFonts w:ascii="Arial" w:hAnsi="Arial" w:cs="Arial"/>
                <w:sz w:val="24"/>
                <w:szCs w:val="24"/>
              </w:rPr>
              <w:t>iológica</w:t>
            </w:r>
          </w:p>
        </w:tc>
        <w:tc>
          <w:tcPr>
            <w:tcW w:w="1276"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2430.7</w:t>
            </w:r>
          </w:p>
        </w:tc>
        <w:tc>
          <w:tcPr>
            <w:tcW w:w="1134"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0.98</w:t>
            </w:r>
          </w:p>
        </w:tc>
      </w:tr>
      <w:tr w:rsidR="003C16EC" w:rsidRPr="00982496" w:rsidTr="001014E0">
        <w:tc>
          <w:tcPr>
            <w:tcW w:w="3652"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Índice</w:t>
            </w:r>
            <w:r>
              <w:rPr>
                <w:rFonts w:ascii="Arial" w:hAnsi="Arial" w:cs="Arial"/>
                <w:sz w:val="24"/>
                <w:szCs w:val="24"/>
              </w:rPr>
              <w:t xml:space="preserve"> de cosecha</w:t>
            </w:r>
          </w:p>
        </w:tc>
        <w:tc>
          <w:tcPr>
            <w:tcW w:w="1276"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0.067</w:t>
            </w:r>
          </w:p>
        </w:tc>
        <w:tc>
          <w:tcPr>
            <w:tcW w:w="1134" w:type="dxa"/>
          </w:tcPr>
          <w:p w:rsidR="003C16EC" w:rsidRPr="003C16EC" w:rsidRDefault="003C16EC" w:rsidP="001014E0">
            <w:pPr>
              <w:jc w:val="center"/>
              <w:rPr>
                <w:rFonts w:ascii="Arial" w:hAnsi="Arial" w:cs="Arial"/>
                <w:sz w:val="24"/>
                <w:szCs w:val="24"/>
              </w:rPr>
            </w:pPr>
            <w:r w:rsidRPr="003C16EC">
              <w:rPr>
                <w:rFonts w:ascii="Arial" w:hAnsi="Arial" w:cs="Arial"/>
                <w:sz w:val="24"/>
                <w:szCs w:val="24"/>
              </w:rPr>
              <w:t>0.98</w:t>
            </w:r>
          </w:p>
        </w:tc>
      </w:tr>
    </w:tbl>
    <w:p w:rsidR="00F9236D" w:rsidRDefault="00F9236D" w:rsidP="00F9236D">
      <w:pPr>
        <w:rPr>
          <w:sz w:val="36"/>
          <w:szCs w:val="36"/>
        </w:rPr>
      </w:pPr>
    </w:p>
    <w:p w:rsidR="00E12F8A" w:rsidRDefault="00E12F8A">
      <w:pPr>
        <w:rPr>
          <w:rFonts w:ascii="Times New Roman" w:hAnsi="Times New Roman" w:cs="Times New Roman"/>
          <w:sz w:val="24"/>
          <w:szCs w:val="24"/>
        </w:rPr>
      </w:pPr>
    </w:p>
    <w:p w:rsidR="003102C2" w:rsidRDefault="003102C2">
      <w:pPr>
        <w:rPr>
          <w:rFonts w:ascii="Times New Roman" w:hAnsi="Times New Roman" w:cs="Times New Roman"/>
          <w:sz w:val="24"/>
          <w:szCs w:val="24"/>
        </w:rPr>
      </w:pPr>
    </w:p>
    <w:p w:rsidR="003102C2" w:rsidRDefault="003102C2">
      <w:pPr>
        <w:rPr>
          <w:rFonts w:ascii="Times New Roman" w:hAnsi="Times New Roman" w:cs="Times New Roman"/>
          <w:sz w:val="24"/>
          <w:szCs w:val="24"/>
        </w:rPr>
      </w:pPr>
    </w:p>
    <w:p w:rsidR="004957E9" w:rsidRDefault="004957E9">
      <w:pPr>
        <w:rPr>
          <w:rFonts w:ascii="Times New Roman" w:hAnsi="Times New Roman" w:cs="Times New Roman"/>
          <w:sz w:val="24"/>
          <w:szCs w:val="24"/>
        </w:rPr>
      </w:pPr>
    </w:p>
    <w:p w:rsidR="004957E9" w:rsidRDefault="004957E9">
      <w:pPr>
        <w:rPr>
          <w:rFonts w:ascii="Times New Roman" w:hAnsi="Times New Roman" w:cs="Times New Roman"/>
          <w:sz w:val="24"/>
          <w:szCs w:val="24"/>
        </w:rPr>
      </w:pPr>
    </w:p>
    <w:p w:rsidR="004957E9" w:rsidRDefault="004957E9">
      <w:pPr>
        <w:rPr>
          <w:rFonts w:ascii="Times New Roman" w:hAnsi="Times New Roman" w:cs="Times New Roman"/>
          <w:sz w:val="24"/>
          <w:szCs w:val="24"/>
        </w:rPr>
      </w:pPr>
    </w:p>
    <w:p w:rsidR="004957E9" w:rsidRDefault="004957E9">
      <w:pPr>
        <w:rPr>
          <w:rFonts w:ascii="Times New Roman" w:hAnsi="Times New Roman" w:cs="Times New Roman"/>
          <w:sz w:val="24"/>
          <w:szCs w:val="24"/>
        </w:rPr>
      </w:pPr>
    </w:p>
    <w:p w:rsidR="004957E9" w:rsidRDefault="004957E9">
      <w:pPr>
        <w:rPr>
          <w:rFonts w:ascii="Times New Roman" w:hAnsi="Times New Roman" w:cs="Times New Roman"/>
          <w:sz w:val="24"/>
          <w:szCs w:val="24"/>
        </w:rPr>
      </w:pPr>
    </w:p>
    <w:p w:rsidR="004957E9" w:rsidRDefault="004957E9">
      <w:pPr>
        <w:rPr>
          <w:rFonts w:ascii="Times New Roman" w:hAnsi="Times New Roman" w:cs="Times New Roman"/>
          <w:sz w:val="24"/>
          <w:szCs w:val="24"/>
        </w:rPr>
      </w:pPr>
      <w:r>
        <w:rPr>
          <w:noProof/>
          <w:lang w:val="es-ES" w:eastAsia="es-ES"/>
        </w:rPr>
        <w:lastRenderedPageBreak/>
        <w:drawing>
          <wp:inline distT="0" distB="0" distL="0" distR="0">
            <wp:extent cx="2383277" cy="2013626"/>
            <wp:effectExtent l="0" t="0" r="17145" b="247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noProof/>
          <w:lang w:val="es-ES" w:eastAsia="es-ES"/>
        </w:rPr>
        <w:drawing>
          <wp:inline distT="0" distB="0" distL="0" distR="0">
            <wp:extent cx="2597285" cy="2013625"/>
            <wp:effectExtent l="0" t="0" r="12700" b="2476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957E9" w:rsidRDefault="004957E9">
      <w:pPr>
        <w:rPr>
          <w:rFonts w:ascii="Times New Roman" w:hAnsi="Times New Roman" w:cs="Times New Roman"/>
          <w:sz w:val="24"/>
          <w:szCs w:val="24"/>
        </w:rPr>
      </w:pPr>
      <w:r>
        <w:rPr>
          <w:noProof/>
          <w:lang w:val="es-ES" w:eastAsia="es-ES"/>
        </w:rPr>
        <w:drawing>
          <wp:inline distT="0" distB="0" distL="0" distR="0">
            <wp:extent cx="2383277" cy="2422187"/>
            <wp:effectExtent l="0" t="0" r="17145" b="1651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lang w:val="es-ES" w:eastAsia="es-ES"/>
        </w:rPr>
        <w:drawing>
          <wp:inline distT="0" distB="0" distL="0" distR="0">
            <wp:extent cx="2548647" cy="2412460"/>
            <wp:effectExtent l="0" t="0" r="23495" b="2603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957E9" w:rsidRDefault="004957E9">
      <w:pPr>
        <w:rPr>
          <w:rFonts w:ascii="Times New Roman" w:hAnsi="Times New Roman" w:cs="Times New Roman"/>
          <w:sz w:val="24"/>
          <w:szCs w:val="24"/>
        </w:rPr>
      </w:pPr>
      <w:r>
        <w:rPr>
          <w:noProof/>
          <w:lang w:val="es-ES" w:eastAsia="es-ES"/>
        </w:rPr>
        <w:drawing>
          <wp:inline distT="0" distB="0" distL="0" distR="0">
            <wp:extent cx="2402732" cy="2169268"/>
            <wp:effectExtent l="0" t="0" r="17145" b="2159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lang w:val="es-ES" w:eastAsia="es-ES"/>
        </w:rPr>
        <w:drawing>
          <wp:inline distT="0" distB="0" distL="0" distR="0">
            <wp:extent cx="2529192" cy="2178995"/>
            <wp:effectExtent l="0" t="0" r="24130" b="1206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B4BDB" w:rsidRDefault="009B4BDB">
      <w:pPr>
        <w:rPr>
          <w:rFonts w:ascii="Times New Roman" w:hAnsi="Times New Roman" w:cs="Times New Roman"/>
          <w:sz w:val="24"/>
          <w:szCs w:val="24"/>
        </w:rPr>
      </w:pPr>
      <w:r>
        <w:rPr>
          <w:noProof/>
          <w:lang w:val="es-ES" w:eastAsia="es-ES"/>
        </w:rPr>
        <w:lastRenderedPageBreak/>
        <w:drawing>
          <wp:inline distT="0" distB="0" distL="0" distR="0">
            <wp:extent cx="2402732" cy="2295727"/>
            <wp:effectExtent l="0" t="0" r="17145"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lang w:val="es-ES" w:eastAsia="es-ES"/>
        </w:rPr>
        <w:drawing>
          <wp:inline distT="0" distB="0" distL="0" distR="0">
            <wp:extent cx="2636196" cy="2324910"/>
            <wp:effectExtent l="0" t="0" r="12065" b="1841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B4BDB" w:rsidRDefault="009B4BDB">
      <w:pPr>
        <w:rPr>
          <w:rFonts w:ascii="Times New Roman" w:hAnsi="Times New Roman" w:cs="Times New Roman"/>
          <w:sz w:val="24"/>
          <w:szCs w:val="24"/>
        </w:rPr>
      </w:pPr>
      <w:r>
        <w:rPr>
          <w:noProof/>
          <w:lang w:val="es-ES" w:eastAsia="es-ES"/>
        </w:rPr>
        <w:drawing>
          <wp:inline distT="0" distB="0" distL="0" distR="0">
            <wp:extent cx="2529192" cy="2101175"/>
            <wp:effectExtent l="0" t="0" r="24130" b="1397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val="es-ES" w:eastAsia="es-ES"/>
        </w:rPr>
        <w:drawing>
          <wp:inline distT="0" distB="0" distL="0" distR="0">
            <wp:extent cx="2597285" cy="2091447"/>
            <wp:effectExtent l="0" t="0" r="12700" b="2349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B4BDB" w:rsidRDefault="009B4BDB">
      <w:pPr>
        <w:rPr>
          <w:rFonts w:ascii="Times New Roman" w:hAnsi="Times New Roman" w:cs="Times New Roman"/>
          <w:sz w:val="24"/>
          <w:szCs w:val="24"/>
        </w:rPr>
      </w:pPr>
      <w:r>
        <w:rPr>
          <w:noProof/>
          <w:lang w:val="es-ES" w:eastAsia="es-ES"/>
        </w:rPr>
        <w:drawing>
          <wp:inline distT="0" distB="0" distL="0" distR="0">
            <wp:extent cx="2548647" cy="2373549"/>
            <wp:effectExtent l="0" t="0" r="23495" b="2730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noProof/>
          <w:lang w:val="es-ES" w:eastAsia="es-ES"/>
        </w:rPr>
        <w:drawing>
          <wp:inline distT="0" distB="0" distL="0" distR="0">
            <wp:extent cx="2548647" cy="2393004"/>
            <wp:effectExtent l="0" t="0" r="23495" b="2667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B4BDB" w:rsidRDefault="009B4BDB">
      <w:pPr>
        <w:rPr>
          <w:rFonts w:ascii="Times New Roman" w:hAnsi="Times New Roman" w:cs="Times New Roman"/>
          <w:sz w:val="24"/>
          <w:szCs w:val="24"/>
        </w:rPr>
      </w:pPr>
      <w:r>
        <w:rPr>
          <w:noProof/>
          <w:lang w:val="es-ES" w:eastAsia="es-ES"/>
        </w:rPr>
        <w:lastRenderedPageBreak/>
        <w:drawing>
          <wp:inline distT="0" distB="0" distL="0" distR="0">
            <wp:extent cx="2500009" cy="2276272"/>
            <wp:effectExtent l="0" t="0" r="14605" b="1016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lang w:val="es-ES" w:eastAsia="es-ES"/>
        </w:rPr>
        <w:drawing>
          <wp:inline distT="0" distB="0" distL="0" distR="0">
            <wp:extent cx="2587557" cy="2266544"/>
            <wp:effectExtent l="0" t="0" r="22860" b="1968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957E9" w:rsidRDefault="004957E9">
      <w:pPr>
        <w:rPr>
          <w:rFonts w:ascii="Times New Roman" w:hAnsi="Times New Roman" w:cs="Times New Roman"/>
          <w:sz w:val="24"/>
          <w:szCs w:val="24"/>
        </w:rPr>
      </w:pPr>
    </w:p>
    <w:p w:rsidR="004957E9" w:rsidRDefault="005F1B8F">
      <w:pPr>
        <w:rPr>
          <w:rFonts w:ascii="Times New Roman" w:hAnsi="Times New Roman" w:cs="Times New Roman"/>
          <w:sz w:val="24"/>
          <w:szCs w:val="24"/>
        </w:rPr>
      </w:pPr>
      <w:r>
        <w:rPr>
          <w:rFonts w:ascii="Times New Roman" w:hAnsi="Times New Roman" w:cs="Times New Roman"/>
          <w:sz w:val="24"/>
          <w:szCs w:val="24"/>
        </w:rPr>
        <w:t>Bibliografía</w:t>
      </w:r>
    </w:p>
    <w:p w:rsidR="005F1B8F" w:rsidRPr="0078487B" w:rsidRDefault="005F1B8F" w:rsidP="005F1B8F">
      <w:pPr>
        <w:autoSpaceDE w:val="0"/>
        <w:autoSpaceDN w:val="0"/>
        <w:adjustRightInd w:val="0"/>
        <w:spacing w:after="0" w:line="240" w:lineRule="auto"/>
        <w:rPr>
          <w:rFonts w:ascii="Times New Roman" w:hAnsi="Times New Roman" w:cs="Times New Roman"/>
          <w:i/>
          <w:iCs/>
          <w:sz w:val="21"/>
          <w:szCs w:val="21"/>
        </w:rPr>
      </w:pPr>
      <w:r>
        <w:rPr>
          <w:rFonts w:ascii="Times New Roman" w:hAnsi="Times New Roman" w:cs="Times New Roman"/>
          <w:sz w:val="24"/>
          <w:szCs w:val="24"/>
        </w:rPr>
        <w:t xml:space="preserve">1.- </w:t>
      </w:r>
      <w:r w:rsidRPr="0078487B">
        <w:rPr>
          <w:rFonts w:ascii="Times New Roman" w:hAnsi="Times New Roman" w:cs="Times New Roman"/>
          <w:b/>
          <w:bCs/>
          <w:i/>
          <w:iCs/>
          <w:sz w:val="21"/>
          <w:szCs w:val="21"/>
        </w:rPr>
        <w:t>UNIVERSIDAD NACIONAL DE ENTRE RÍOS</w:t>
      </w:r>
      <w:r w:rsidRPr="0078487B">
        <w:rPr>
          <w:rFonts w:ascii="Times New Roman" w:hAnsi="Times New Roman" w:cs="Times New Roman"/>
          <w:i/>
          <w:iCs/>
          <w:sz w:val="21"/>
          <w:szCs w:val="21"/>
        </w:rPr>
        <w:t>FACULTAD DE CIENCIAS AGROPECUARIAS</w:t>
      </w:r>
    </w:p>
    <w:p w:rsidR="005F1B8F" w:rsidRDefault="005F1B8F" w:rsidP="005F1B8F">
      <w:pPr>
        <w:autoSpaceDE w:val="0"/>
        <w:autoSpaceDN w:val="0"/>
        <w:adjustRightInd w:val="0"/>
        <w:spacing w:after="0" w:line="240" w:lineRule="auto"/>
        <w:rPr>
          <w:rFonts w:ascii="Times New Roman" w:hAnsi="Times New Roman" w:cs="Times New Roman"/>
          <w:b/>
          <w:bCs/>
          <w:i/>
          <w:iCs/>
          <w:sz w:val="21"/>
          <w:szCs w:val="21"/>
        </w:rPr>
      </w:pPr>
      <w:r w:rsidRPr="0078487B">
        <w:rPr>
          <w:rFonts w:ascii="Times New Roman" w:hAnsi="Times New Roman" w:cs="Times New Roman"/>
          <w:b/>
          <w:bCs/>
          <w:i/>
          <w:iCs/>
          <w:sz w:val="21"/>
          <w:szCs w:val="21"/>
        </w:rPr>
        <w:t>CÁTEDRA DE CLIMATOLOGÍA Y FENOLOGÍA AGRÍCOLA2009</w:t>
      </w:r>
      <w:r>
        <w:rPr>
          <w:rFonts w:ascii="Times New Roman" w:hAnsi="Times New Roman" w:cs="Times New Roman"/>
          <w:b/>
          <w:bCs/>
          <w:i/>
          <w:iCs/>
          <w:sz w:val="21"/>
          <w:szCs w:val="21"/>
        </w:rPr>
        <w:t>.</w:t>
      </w:r>
    </w:p>
    <w:p w:rsidR="00302F9D" w:rsidRPr="008238C3" w:rsidRDefault="00302F9D" w:rsidP="00302F9D">
      <w:pPr>
        <w:autoSpaceDE w:val="0"/>
        <w:autoSpaceDN w:val="0"/>
        <w:adjustRightInd w:val="0"/>
        <w:spacing w:after="0" w:line="240" w:lineRule="auto"/>
        <w:jc w:val="both"/>
        <w:rPr>
          <w:rFonts w:ascii="Times New Roman" w:hAnsi="Times New Roman" w:cs="Times New Roman"/>
          <w:sz w:val="24"/>
          <w:szCs w:val="24"/>
          <w:lang w:val="en-US"/>
        </w:rPr>
      </w:pPr>
      <w:r w:rsidRPr="008238C3">
        <w:rPr>
          <w:rFonts w:ascii="Times New Roman" w:hAnsi="Times New Roman" w:cs="Times New Roman"/>
          <w:bCs/>
          <w:iCs/>
          <w:sz w:val="24"/>
          <w:szCs w:val="24"/>
          <w:lang w:val="en-US"/>
        </w:rPr>
        <w:t>2. -</w:t>
      </w:r>
      <w:r w:rsidRPr="008238C3">
        <w:rPr>
          <w:rFonts w:ascii="Times New Roman" w:hAnsi="Times New Roman" w:cs="Times New Roman"/>
          <w:sz w:val="24"/>
          <w:szCs w:val="24"/>
          <w:lang w:val="en-US"/>
        </w:rPr>
        <w:t>M. Henseler et al. / Agricultural Systems 100 (2009) 31–42.</w:t>
      </w:r>
    </w:p>
    <w:p w:rsidR="00302F9D" w:rsidRPr="008238C3" w:rsidRDefault="005A1A58" w:rsidP="00302F9D">
      <w:pPr>
        <w:autoSpaceDE w:val="0"/>
        <w:autoSpaceDN w:val="0"/>
        <w:adjustRightInd w:val="0"/>
        <w:spacing w:after="0" w:line="240" w:lineRule="auto"/>
        <w:jc w:val="both"/>
        <w:rPr>
          <w:rFonts w:ascii="Times New Roman" w:hAnsi="Times New Roman" w:cs="Times New Roman"/>
          <w:color w:val="000000"/>
          <w:sz w:val="24"/>
          <w:szCs w:val="24"/>
        </w:rPr>
      </w:pPr>
      <w:r w:rsidRPr="008238C3">
        <w:rPr>
          <w:rFonts w:ascii="Times New Roman" w:hAnsi="Times New Roman" w:cs="Times New Roman"/>
          <w:sz w:val="24"/>
          <w:szCs w:val="24"/>
        </w:rPr>
        <w:t>3. -</w:t>
      </w:r>
      <w:r w:rsidRPr="008238C3">
        <w:rPr>
          <w:rFonts w:ascii="Times New Roman" w:hAnsi="Times New Roman" w:cs="Times New Roman"/>
          <w:color w:val="000000"/>
          <w:sz w:val="24"/>
          <w:szCs w:val="24"/>
        </w:rPr>
        <w:t>(</w:t>
      </w:r>
      <w:r w:rsidRPr="008238C3">
        <w:rPr>
          <w:rFonts w:ascii="Times New Roman" w:hAnsi="Times New Roman" w:cs="Times New Roman"/>
          <w:color w:val="000066"/>
          <w:sz w:val="24"/>
          <w:szCs w:val="24"/>
        </w:rPr>
        <w:t>IPCC, 2007</w:t>
      </w:r>
      <w:r w:rsidRPr="008238C3">
        <w:rPr>
          <w:rFonts w:ascii="Times New Roman" w:hAnsi="Times New Roman" w:cs="Times New Roman"/>
          <w:color w:val="000000"/>
          <w:sz w:val="24"/>
          <w:szCs w:val="24"/>
        </w:rPr>
        <w:t>).</w:t>
      </w:r>
    </w:p>
    <w:p w:rsidR="005A1A58" w:rsidRPr="008238C3" w:rsidRDefault="005A1A58" w:rsidP="005A1A58">
      <w:pPr>
        <w:autoSpaceDE w:val="0"/>
        <w:autoSpaceDN w:val="0"/>
        <w:adjustRightInd w:val="0"/>
        <w:spacing w:after="0" w:line="240" w:lineRule="auto"/>
        <w:rPr>
          <w:rFonts w:ascii="Times New Roman" w:hAnsi="Times New Roman" w:cs="Times New Roman"/>
          <w:sz w:val="24"/>
          <w:szCs w:val="24"/>
        </w:rPr>
      </w:pPr>
      <w:r w:rsidRPr="008238C3">
        <w:rPr>
          <w:rFonts w:ascii="Times New Roman" w:hAnsi="Times New Roman" w:cs="Times New Roman"/>
          <w:color w:val="000000"/>
          <w:sz w:val="24"/>
          <w:szCs w:val="24"/>
        </w:rPr>
        <w:t xml:space="preserve">4.- </w:t>
      </w:r>
      <w:r w:rsidRPr="008238C3">
        <w:rPr>
          <w:rFonts w:ascii="Times New Roman" w:hAnsi="Times New Roman" w:cs="Times New Roman"/>
          <w:sz w:val="24"/>
          <w:szCs w:val="24"/>
        </w:rPr>
        <w:t xml:space="preserve">(Centella </w:t>
      </w:r>
      <w:r w:rsidRPr="008238C3">
        <w:rPr>
          <w:rFonts w:ascii="Times New Roman" w:hAnsi="Times New Roman" w:cs="Times New Roman"/>
          <w:i/>
          <w:sz w:val="24"/>
          <w:szCs w:val="24"/>
        </w:rPr>
        <w:t>et al.</w:t>
      </w:r>
      <w:r w:rsidRPr="008238C3">
        <w:rPr>
          <w:rFonts w:ascii="Times New Roman" w:hAnsi="Times New Roman" w:cs="Times New Roman"/>
          <w:sz w:val="24"/>
          <w:szCs w:val="24"/>
        </w:rPr>
        <w:t>, 2010)</w:t>
      </w:r>
    </w:p>
    <w:p w:rsidR="005A1A58" w:rsidRPr="008238C3" w:rsidRDefault="005A1A58" w:rsidP="005A1A58">
      <w:pPr>
        <w:pStyle w:val="Textocomentario"/>
        <w:rPr>
          <w:rFonts w:ascii="Times New Roman" w:hAnsi="Times New Roman" w:cs="Times New Roman"/>
          <w:b/>
          <w:sz w:val="24"/>
          <w:szCs w:val="24"/>
        </w:rPr>
      </w:pPr>
      <w:r w:rsidRPr="008238C3">
        <w:rPr>
          <w:rFonts w:ascii="Times New Roman" w:hAnsi="Times New Roman" w:cs="Times New Roman"/>
          <w:sz w:val="24"/>
          <w:szCs w:val="24"/>
        </w:rPr>
        <w:t xml:space="preserve">5.- Arnaldo Álvarez </w:t>
      </w:r>
      <w:r w:rsidR="008238C3">
        <w:rPr>
          <w:rFonts w:ascii="Times New Roman" w:hAnsi="Times New Roman" w:cs="Times New Roman"/>
          <w:sz w:val="24"/>
          <w:szCs w:val="24"/>
        </w:rPr>
        <w:t>Octubre 2010.</w:t>
      </w:r>
    </w:p>
    <w:p w:rsidR="00DC2EB6" w:rsidRPr="008238C3" w:rsidRDefault="00DC2EB6" w:rsidP="00DC2EB6">
      <w:pPr>
        <w:pStyle w:val="Textocomentario"/>
        <w:rPr>
          <w:rFonts w:ascii="Times New Roman" w:hAnsi="Times New Roman" w:cs="Times New Roman"/>
          <w:sz w:val="24"/>
          <w:szCs w:val="24"/>
        </w:rPr>
      </w:pPr>
      <w:r w:rsidRPr="008238C3">
        <w:rPr>
          <w:rFonts w:ascii="Times New Roman" w:hAnsi="Times New Roman" w:cs="Times New Roman"/>
          <w:sz w:val="24"/>
          <w:szCs w:val="24"/>
        </w:rPr>
        <w:t>6.- Cultivos Tropicales, 2013, vol. 34, no. 2, p. 24-29</w:t>
      </w:r>
    </w:p>
    <w:p w:rsidR="00DC2EB6" w:rsidRPr="00DC2EB6" w:rsidRDefault="00DC2EB6" w:rsidP="005A1A58">
      <w:pPr>
        <w:pStyle w:val="Textocomentario"/>
      </w:pPr>
    </w:p>
    <w:p w:rsidR="005A1A58" w:rsidRPr="005A1A58" w:rsidRDefault="005A1A58" w:rsidP="00302F9D">
      <w:pPr>
        <w:autoSpaceDE w:val="0"/>
        <w:autoSpaceDN w:val="0"/>
        <w:adjustRightInd w:val="0"/>
        <w:spacing w:after="0" w:line="240" w:lineRule="auto"/>
        <w:jc w:val="both"/>
        <w:rPr>
          <w:rFonts w:ascii="Times New Roman" w:hAnsi="Times New Roman" w:cs="Times New Roman"/>
          <w:sz w:val="24"/>
          <w:szCs w:val="24"/>
          <w:lang w:val="es-ES"/>
        </w:rPr>
      </w:pPr>
    </w:p>
    <w:p w:rsidR="005F1B8F" w:rsidRPr="005A1A58" w:rsidRDefault="005F1B8F" w:rsidP="005F1B8F">
      <w:pPr>
        <w:autoSpaceDE w:val="0"/>
        <w:autoSpaceDN w:val="0"/>
        <w:adjustRightInd w:val="0"/>
        <w:spacing w:after="0" w:line="240" w:lineRule="auto"/>
        <w:rPr>
          <w:rFonts w:ascii="Times New Roman" w:hAnsi="Times New Roman" w:cs="Times New Roman"/>
          <w:bCs/>
          <w:iCs/>
          <w:sz w:val="21"/>
          <w:szCs w:val="21"/>
        </w:rPr>
      </w:pPr>
    </w:p>
    <w:p w:rsidR="005F1B8F" w:rsidRPr="005A1A58" w:rsidRDefault="005F1B8F">
      <w:pPr>
        <w:rPr>
          <w:rFonts w:ascii="Times New Roman" w:hAnsi="Times New Roman" w:cs="Times New Roman"/>
          <w:sz w:val="24"/>
          <w:szCs w:val="24"/>
        </w:rPr>
      </w:pPr>
    </w:p>
    <w:sectPr w:rsidR="005F1B8F" w:rsidRPr="005A1A58" w:rsidSect="00533CAB">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Luffi" w:date="2016-03-12T12:13:00Z" w:initials="L">
    <w:p w:rsidR="005E0A1B" w:rsidRDefault="005E0A1B">
      <w:pPr>
        <w:pStyle w:val="Textocomentario"/>
      </w:pPr>
      <w:r>
        <w:rPr>
          <w:rStyle w:val="Refdecomentario"/>
        </w:rPr>
        <w:annotationRef/>
      </w:r>
      <w:r>
        <w:t>¿Sorgo?</w:t>
      </w:r>
      <w:bookmarkStart w:id="1" w:name="_GoBack"/>
      <w:bookmarkEnd w:id="1"/>
    </w:p>
  </w:comment>
  <w:comment w:id="2" w:author="usuario" w:date="2013-07-12T11:06:00Z" w:initials="u">
    <w:p w:rsidR="00CC11AC" w:rsidRDefault="00CC11AC" w:rsidP="00CC11AC">
      <w:pPr>
        <w:pStyle w:val="Textocomentario"/>
      </w:pPr>
      <w:r>
        <w:rPr>
          <w:rStyle w:val="Refdecomentario"/>
        </w:rPr>
        <w:annotationRef/>
      </w:r>
      <w:r>
        <w:t xml:space="preserve">Sacado de </w:t>
      </w:r>
      <w:r>
        <w:rPr>
          <w:rFonts w:ascii="Arial" w:hAnsi="Arial" w:cs="Arial"/>
          <w:sz w:val="16"/>
          <w:szCs w:val="16"/>
        </w:rPr>
        <w:t>Cultivos Tropicales, 2010, vol. 31, no. 3, p. 60-65</w:t>
      </w:r>
    </w:p>
    <w:p w:rsidR="00CC11AC" w:rsidRDefault="00CC11AC" w:rsidP="00CC11AC">
      <w:pPr>
        <w:pStyle w:val="Textocomentario"/>
      </w:pPr>
    </w:p>
  </w:comment>
  <w:comment w:id="3" w:author="usuario" w:date="2013-07-12T11:47:00Z" w:initials="u">
    <w:p w:rsidR="0089297B" w:rsidRDefault="0089297B">
      <w:pPr>
        <w:pStyle w:val="Textocomentario"/>
      </w:pPr>
      <w:r>
        <w:rPr>
          <w:rStyle w:val="Refdecomentario"/>
        </w:rPr>
        <w:annotationRef/>
      </w:r>
      <w:r>
        <w:t>Ver revisión de Naivy</w:t>
      </w:r>
    </w:p>
  </w:comment>
  <w:comment w:id="4" w:author="usuario" w:date="2013-07-12T11:09:00Z" w:initials="u">
    <w:p w:rsidR="00CC11AC" w:rsidRDefault="00CC11AC" w:rsidP="00CC11AC">
      <w:pPr>
        <w:pStyle w:val="Textocomentario"/>
      </w:pPr>
      <w:r>
        <w:rPr>
          <w:rStyle w:val="Refdecomentario"/>
        </w:rPr>
        <w:annotationRef/>
      </w:r>
      <w:r>
        <w:t xml:space="preserve">Sacado de </w:t>
      </w:r>
      <w:r>
        <w:rPr>
          <w:rFonts w:ascii="Arial" w:hAnsi="Arial" w:cs="Arial"/>
          <w:sz w:val="16"/>
          <w:szCs w:val="16"/>
        </w:rPr>
        <w:t>Cultivos Tropicales, 2009, vol. 30, no. 1, p. 73-82</w:t>
      </w:r>
    </w:p>
  </w:comment>
  <w:comment w:id="5" w:author="usuario" w:date="2013-07-04T11:27:00Z" w:initials="u">
    <w:p w:rsidR="003526C0" w:rsidRDefault="003526C0">
      <w:pPr>
        <w:pStyle w:val="Textocomentario"/>
      </w:pPr>
      <w:r>
        <w:rPr>
          <w:rStyle w:val="Refdecomentario"/>
        </w:rPr>
        <w:annotationRef/>
      </w:r>
      <w:r>
        <w:t xml:space="preserve">Sacado de </w:t>
      </w:r>
      <w:r>
        <w:rPr>
          <w:rFonts w:ascii="Helvetica" w:hAnsi="Helvetica" w:cs="Helvetica"/>
          <w:sz w:val="16"/>
          <w:szCs w:val="16"/>
        </w:rPr>
        <w:t>Cultivos Tropicales, 2013, vol. 34, no. 2, p. 24-29</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characterSpacingControl w:val="doNotCompress"/>
  <w:compat>
    <w:compatSetting w:name="compatibilityMode" w:uri="http://schemas.microsoft.com/office/word" w:val="12"/>
  </w:compat>
  <w:rsids>
    <w:rsidRoot w:val="00E12F8A"/>
    <w:rsid w:val="0000545E"/>
    <w:rsid w:val="00025947"/>
    <w:rsid w:val="00042B72"/>
    <w:rsid w:val="000B0C15"/>
    <w:rsid w:val="001014E0"/>
    <w:rsid w:val="00101DDD"/>
    <w:rsid w:val="00121A99"/>
    <w:rsid w:val="001A0B49"/>
    <w:rsid w:val="0028583D"/>
    <w:rsid w:val="002D0B90"/>
    <w:rsid w:val="002D16FC"/>
    <w:rsid w:val="002E7D85"/>
    <w:rsid w:val="002F0BB0"/>
    <w:rsid w:val="002F269F"/>
    <w:rsid w:val="00302F9D"/>
    <w:rsid w:val="003102C2"/>
    <w:rsid w:val="003526C0"/>
    <w:rsid w:val="00397F71"/>
    <w:rsid w:val="003C1188"/>
    <w:rsid w:val="003C16EC"/>
    <w:rsid w:val="0043247F"/>
    <w:rsid w:val="004957E9"/>
    <w:rsid w:val="004E5FA0"/>
    <w:rsid w:val="00533CAB"/>
    <w:rsid w:val="00567273"/>
    <w:rsid w:val="00594882"/>
    <w:rsid w:val="005968A0"/>
    <w:rsid w:val="005A1A58"/>
    <w:rsid w:val="005E0A1B"/>
    <w:rsid w:val="005F1B8F"/>
    <w:rsid w:val="006233EA"/>
    <w:rsid w:val="006C4221"/>
    <w:rsid w:val="00737A9F"/>
    <w:rsid w:val="00766692"/>
    <w:rsid w:val="00785478"/>
    <w:rsid w:val="007B7018"/>
    <w:rsid w:val="007C14AF"/>
    <w:rsid w:val="008238C3"/>
    <w:rsid w:val="0089297B"/>
    <w:rsid w:val="008E6A19"/>
    <w:rsid w:val="00933C81"/>
    <w:rsid w:val="00982496"/>
    <w:rsid w:val="009B288C"/>
    <w:rsid w:val="009B4BDB"/>
    <w:rsid w:val="00AA1119"/>
    <w:rsid w:val="00B7039F"/>
    <w:rsid w:val="00C75C64"/>
    <w:rsid w:val="00C82083"/>
    <w:rsid w:val="00C83DAD"/>
    <w:rsid w:val="00CC11AC"/>
    <w:rsid w:val="00D51A9C"/>
    <w:rsid w:val="00D62DFF"/>
    <w:rsid w:val="00D9308A"/>
    <w:rsid w:val="00DB115E"/>
    <w:rsid w:val="00DC2EB6"/>
    <w:rsid w:val="00E12F8A"/>
    <w:rsid w:val="00E2226C"/>
    <w:rsid w:val="00E27A8D"/>
    <w:rsid w:val="00EA6F24"/>
    <w:rsid w:val="00F71AED"/>
    <w:rsid w:val="00F9236D"/>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C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2F0BB0"/>
    <w:rPr>
      <w:sz w:val="16"/>
      <w:szCs w:val="16"/>
    </w:rPr>
  </w:style>
  <w:style w:type="paragraph" w:styleId="Textocomentario">
    <w:name w:val="annotation text"/>
    <w:basedOn w:val="Normal"/>
    <w:link w:val="TextocomentarioCar"/>
    <w:uiPriority w:val="99"/>
    <w:semiHidden/>
    <w:unhideWhenUsed/>
    <w:rsid w:val="002F0B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0BB0"/>
    <w:rPr>
      <w:sz w:val="20"/>
      <w:szCs w:val="20"/>
    </w:rPr>
  </w:style>
  <w:style w:type="paragraph" w:styleId="Asuntodelcomentario">
    <w:name w:val="annotation subject"/>
    <w:basedOn w:val="Textocomentario"/>
    <w:next w:val="Textocomentario"/>
    <w:link w:val="AsuntodelcomentarioCar"/>
    <w:uiPriority w:val="99"/>
    <w:semiHidden/>
    <w:unhideWhenUsed/>
    <w:rsid w:val="002F0BB0"/>
    <w:rPr>
      <w:b/>
      <w:bCs/>
    </w:rPr>
  </w:style>
  <w:style w:type="character" w:customStyle="1" w:styleId="AsuntodelcomentarioCar">
    <w:name w:val="Asunto del comentario Car"/>
    <w:basedOn w:val="TextocomentarioCar"/>
    <w:link w:val="Asuntodelcomentario"/>
    <w:uiPriority w:val="99"/>
    <w:semiHidden/>
    <w:rsid w:val="002F0BB0"/>
    <w:rPr>
      <w:b/>
      <w:bCs/>
      <w:sz w:val="20"/>
      <w:szCs w:val="20"/>
    </w:rPr>
  </w:style>
  <w:style w:type="paragraph" w:styleId="Textodeglobo">
    <w:name w:val="Balloon Text"/>
    <w:basedOn w:val="Normal"/>
    <w:link w:val="TextodegloboCar"/>
    <w:uiPriority w:val="99"/>
    <w:semiHidden/>
    <w:unhideWhenUsed/>
    <w:rsid w:val="002F0B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0BB0"/>
    <w:rPr>
      <w:rFonts w:ascii="Tahoma" w:hAnsi="Tahoma" w:cs="Tahoma"/>
      <w:sz w:val="16"/>
      <w:szCs w:val="16"/>
    </w:rPr>
  </w:style>
  <w:style w:type="table" w:styleId="Tablaconcuadrcula">
    <w:name w:val="Table Grid"/>
    <w:basedOn w:val="Tablanormal"/>
    <w:uiPriority w:val="59"/>
    <w:rsid w:val="00B703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rsid w:val="002D0B9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qFormat/>
    <w:rsid w:val="008238C3"/>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2F0BB0"/>
    <w:rPr>
      <w:sz w:val="16"/>
      <w:szCs w:val="16"/>
    </w:rPr>
  </w:style>
  <w:style w:type="paragraph" w:styleId="Textocomentario">
    <w:name w:val="annotation text"/>
    <w:basedOn w:val="Normal"/>
    <w:link w:val="TextocomentarioCar"/>
    <w:uiPriority w:val="99"/>
    <w:semiHidden/>
    <w:unhideWhenUsed/>
    <w:rsid w:val="002F0B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0BB0"/>
    <w:rPr>
      <w:sz w:val="20"/>
      <w:szCs w:val="20"/>
    </w:rPr>
  </w:style>
  <w:style w:type="paragraph" w:styleId="Asuntodelcomentario">
    <w:name w:val="annotation subject"/>
    <w:basedOn w:val="Textocomentario"/>
    <w:next w:val="Textocomentario"/>
    <w:link w:val="AsuntodelcomentarioCar"/>
    <w:uiPriority w:val="99"/>
    <w:semiHidden/>
    <w:unhideWhenUsed/>
    <w:rsid w:val="002F0BB0"/>
    <w:rPr>
      <w:b/>
      <w:bCs/>
    </w:rPr>
  </w:style>
  <w:style w:type="character" w:customStyle="1" w:styleId="AsuntodelcomentarioCar">
    <w:name w:val="Asunto del comentario Car"/>
    <w:basedOn w:val="TextocomentarioCar"/>
    <w:link w:val="Asuntodelcomentario"/>
    <w:uiPriority w:val="99"/>
    <w:semiHidden/>
    <w:rsid w:val="002F0BB0"/>
    <w:rPr>
      <w:b/>
      <w:bCs/>
      <w:sz w:val="20"/>
      <w:szCs w:val="20"/>
    </w:rPr>
  </w:style>
  <w:style w:type="paragraph" w:styleId="Textodeglobo">
    <w:name w:val="Balloon Text"/>
    <w:basedOn w:val="Normal"/>
    <w:link w:val="TextodegloboCar"/>
    <w:uiPriority w:val="99"/>
    <w:semiHidden/>
    <w:unhideWhenUsed/>
    <w:rsid w:val="002F0B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0BB0"/>
    <w:rPr>
      <w:rFonts w:ascii="Tahoma" w:hAnsi="Tahoma" w:cs="Tahoma"/>
      <w:sz w:val="16"/>
      <w:szCs w:val="16"/>
    </w:rPr>
  </w:style>
  <w:style w:type="table" w:styleId="Tablaconcuadrcula">
    <w:name w:val="Table Grid"/>
    <w:basedOn w:val="Tablanormal"/>
    <w:uiPriority w:val="59"/>
    <w:rsid w:val="00B703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rsid w:val="002D0B9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qFormat/>
    <w:rsid w:val="008238C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Excel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a:pPr>
            <a:r>
              <a:rPr lang="en-US" sz="1200"/>
              <a:t>Días a la floración en maíz</a:t>
            </a:r>
          </a:p>
        </c:rich>
      </c:tx>
      <c:layout>
        <c:manualLayout>
          <c:xMode val="edge"/>
          <c:yMode val="edge"/>
          <c:x val="0.19242161108423411"/>
          <c:y val="5.6765917505344973E-2"/>
        </c:manualLayout>
      </c:layout>
      <c:overlay val="0"/>
    </c:title>
    <c:autoTitleDeleted val="0"/>
    <c:plotArea>
      <c:layout>
        <c:manualLayout>
          <c:layoutTarget val="inner"/>
          <c:xMode val="edge"/>
          <c:yMode val="edge"/>
          <c:x val="0.15183552055993008"/>
          <c:y val="0.19480351414406538"/>
          <c:w val="0.81760892388451478"/>
          <c:h val="0.56288349372995039"/>
        </c:manualLayout>
      </c:layout>
      <c:barChart>
        <c:barDir val="col"/>
        <c:grouping val="clustered"/>
        <c:varyColors val="0"/>
        <c:ser>
          <c:idx val="0"/>
          <c:order val="0"/>
          <c:tx>
            <c:strRef>
              <c:f>Hoja2!$B$2</c:f>
              <c:strCache>
                <c:ptCount val="1"/>
                <c:pt idx="0">
                  <c:v>Estimado</c:v>
                </c:pt>
              </c:strCache>
            </c:strRef>
          </c:tx>
          <c:invertIfNegative val="0"/>
          <c:cat>
            <c:strRef>
              <c:f>Hoja2!$A$3:$A$6</c:f>
              <c:strCache>
                <c:ptCount val="4"/>
                <c:pt idx="0">
                  <c:v>nov.</c:v>
                </c:pt>
                <c:pt idx="1">
                  <c:v>jun.</c:v>
                </c:pt>
                <c:pt idx="2">
                  <c:v>jul.</c:v>
                </c:pt>
                <c:pt idx="3">
                  <c:v>dic.</c:v>
                </c:pt>
              </c:strCache>
            </c:strRef>
          </c:cat>
          <c:val>
            <c:numRef>
              <c:f>Hoja2!$B$3:$B$6</c:f>
              <c:numCache>
                <c:formatCode>General</c:formatCode>
                <c:ptCount val="4"/>
                <c:pt idx="0">
                  <c:v>76</c:v>
                </c:pt>
                <c:pt idx="1">
                  <c:v>52</c:v>
                </c:pt>
                <c:pt idx="2">
                  <c:v>55</c:v>
                </c:pt>
                <c:pt idx="3">
                  <c:v>85</c:v>
                </c:pt>
              </c:numCache>
            </c:numRef>
          </c:val>
        </c:ser>
        <c:ser>
          <c:idx val="1"/>
          <c:order val="1"/>
          <c:tx>
            <c:strRef>
              <c:f>Hoja2!$C$2</c:f>
              <c:strCache>
                <c:ptCount val="1"/>
                <c:pt idx="0">
                  <c:v>Medido</c:v>
                </c:pt>
              </c:strCache>
            </c:strRef>
          </c:tx>
          <c:invertIfNegative val="0"/>
          <c:cat>
            <c:strRef>
              <c:f>Hoja2!$A$3:$A$6</c:f>
              <c:strCache>
                <c:ptCount val="4"/>
                <c:pt idx="0">
                  <c:v>nov.</c:v>
                </c:pt>
                <c:pt idx="1">
                  <c:v>jun.</c:v>
                </c:pt>
                <c:pt idx="2">
                  <c:v>jul.</c:v>
                </c:pt>
                <c:pt idx="3">
                  <c:v>dic.</c:v>
                </c:pt>
              </c:strCache>
            </c:strRef>
          </c:cat>
          <c:val>
            <c:numRef>
              <c:f>Hoja2!$C$3:$C$6</c:f>
              <c:numCache>
                <c:formatCode>General</c:formatCode>
                <c:ptCount val="4"/>
                <c:pt idx="0">
                  <c:v>76</c:v>
                </c:pt>
                <c:pt idx="1">
                  <c:v>53</c:v>
                </c:pt>
                <c:pt idx="2">
                  <c:v>52</c:v>
                </c:pt>
                <c:pt idx="3">
                  <c:v>83</c:v>
                </c:pt>
              </c:numCache>
            </c:numRef>
          </c:val>
        </c:ser>
        <c:dLbls>
          <c:showLegendKey val="0"/>
          <c:showVal val="0"/>
          <c:showCatName val="0"/>
          <c:showSerName val="0"/>
          <c:showPercent val="0"/>
          <c:showBubbleSize val="0"/>
        </c:dLbls>
        <c:gapWidth val="150"/>
        <c:axId val="88939904"/>
        <c:axId val="88942080"/>
      </c:barChart>
      <c:catAx>
        <c:axId val="88939904"/>
        <c:scaling>
          <c:orientation val="minMax"/>
        </c:scaling>
        <c:delete val="0"/>
        <c:axPos val="b"/>
        <c:title>
          <c:tx>
            <c:rich>
              <a:bodyPr/>
              <a:lstStyle/>
              <a:p>
                <a:pPr>
                  <a:defRPr lang="es-MX"/>
                </a:pPr>
                <a:r>
                  <a:rPr lang="en-US"/>
                  <a:t>fechas de siembra</a:t>
                </a:r>
              </a:p>
            </c:rich>
          </c:tx>
          <c:layout>
            <c:manualLayout>
              <c:xMode val="edge"/>
              <c:yMode val="edge"/>
              <c:x val="0.75847309711286093"/>
              <c:y val="0.83701370662000585"/>
            </c:manualLayout>
          </c:layout>
          <c:overlay val="0"/>
        </c:title>
        <c:majorTickMark val="out"/>
        <c:minorTickMark val="none"/>
        <c:tickLblPos val="nextTo"/>
        <c:txPr>
          <a:bodyPr/>
          <a:lstStyle/>
          <a:p>
            <a:pPr>
              <a:defRPr lang="es-MX"/>
            </a:pPr>
            <a:endParaRPr lang="es-ES"/>
          </a:p>
        </c:txPr>
        <c:crossAx val="88942080"/>
        <c:crosses val="autoZero"/>
        <c:auto val="1"/>
        <c:lblAlgn val="ctr"/>
        <c:lblOffset val="100"/>
        <c:noMultiLvlLbl val="0"/>
      </c:catAx>
      <c:valAx>
        <c:axId val="88942080"/>
        <c:scaling>
          <c:orientation val="minMax"/>
          <c:min val="30"/>
        </c:scaling>
        <c:delete val="0"/>
        <c:axPos val="l"/>
        <c:title>
          <c:tx>
            <c:rich>
              <a:bodyPr rot="0" vert="horz"/>
              <a:lstStyle/>
              <a:p>
                <a:pPr>
                  <a:defRPr lang="es-MX"/>
                </a:pPr>
                <a:r>
                  <a:rPr lang="en-US"/>
                  <a:t>días</a:t>
                </a:r>
              </a:p>
            </c:rich>
          </c:tx>
          <c:layout>
            <c:manualLayout>
              <c:xMode val="edge"/>
              <c:yMode val="edge"/>
              <c:x val="1.3888888888888899E-2"/>
              <c:y val="5.00944152814232E-2"/>
            </c:manualLayout>
          </c:layout>
          <c:overlay val="0"/>
        </c:title>
        <c:numFmt formatCode="General" sourceLinked="1"/>
        <c:majorTickMark val="out"/>
        <c:minorTickMark val="none"/>
        <c:tickLblPos val="nextTo"/>
        <c:txPr>
          <a:bodyPr/>
          <a:lstStyle/>
          <a:p>
            <a:pPr>
              <a:defRPr lang="es-MX"/>
            </a:pPr>
            <a:endParaRPr lang="es-ES"/>
          </a:p>
        </c:txPr>
        <c:crossAx val="88939904"/>
        <c:crosses val="autoZero"/>
        <c:crossBetween val="between"/>
      </c:valAx>
    </c:plotArea>
    <c:legend>
      <c:legendPos val="b"/>
      <c:layout>
        <c:manualLayout>
          <c:xMode val="edge"/>
          <c:yMode val="edge"/>
          <c:x val="0.21829658792650924"/>
          <c:y val="0.91628280839894993"/>
          <c:w val="0.62840995822139034"/>
          <c:h val="8.3717343024429736E-2"/>
        </c:manualLayout>
      </c:layout>
      <c:overlay val="0"/>
      <c:txPr>
        <a:bodyPr/>
        <a:lstStyle/>
        <a:p>
          <a:pPr>
            <a:defRPr lang="es-MX" sz="800"/>
          </a:pPr>
          <a:endParaRPr lang="es-E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a:pPr>
            <a:r>
              <a:rPr lang="en-US" sz="1200"/>
              <a:t>Nitrógeno en la biomasa a la antesis</a:t>
            </a:r>
          </a:p>
        </c:rich>
      </c:tx>
      <c:overlay val="0"/>
    </c:title>
    <c:autoTitleDeleted val="0"/>
    <c:plotArea>
      <c:layout>
        <c:manualLayout>
          <c:layoutTarget val="inner"/>
          <c:xMode val="edge"/>
          <c:yMode val="edge"/>
          <c:x val="0.22922164680515184"/>
          <c:y val="0.2635553279619326"/>
          <c:w val="0.71704060219856414"/>
          <c:h val="0.35441439847349782"/>
        </c:manualLayout>
      </c:layout>
      <c:barChart>
        <c:barDir val="col"/>
        <c:grouping val="clustered"/>
        <c:varyColors val="0"/>
        <c:ser>
          <c:idx val="0"/>
          <c:order val="0"/>
          <c:tx>
            <c:strRef>
              <c:f>Hoja2!$B$151</c:f>
              <c:strCache>
                <c:ptCount val="1"/>
                <c:pt idx="0">
                  <c:v>Estimado</c:v>
                </c:pt>
              </c:strCache>
            </c:strRef>
          </c:tx>
          <c:invertIfNegative val="0"/>
          <c:cat>
            <c:strRef>
              <c:f>Hoja2!$A$152:$A$155</c:f>
              <c:strCache>
                <c:ptCount val="4"/>
                <c:pt idx="0">
                  <c:v>nov.</c:v>
                </c:pt>
                <c:pt idx="1">
                  <c:v>jun.</c:v>
                </c:pt>
                <c:pt idx="2">
                  <c:v>jul.</c:v>
                </c:pt>
                <c:pt idx="3">
                  <c:v>dic.</c:v>
                </c:pt>
              </c:strCache>
            </c:strRef>
          </c:cat>
          <c:val>
            <c:numRef>
              <c:f>Hoja2!$B$152:$B$155</c:f>
              <c:numCache>
                <c:formatCode>General</c:formatCode>
                <c:ptCount val="4"/>
                <c:pt idx="0">
                  <c:v>94</c:v>
                </c:pt>
                <c:pt idx="1">
                  <c:v>96</c:v>
                </c:pt>
                <c:pt idx="2">
                  <c:v>105</c:v>
                </c:pt>
                <c:pt idx="3">
                  <c:v>93</c:v>
                </c:pt>
              </c:numCache>
            </c:numRef>
          </c:val>
        </c:ser>
        <c:ser>
          <c:idx val="1"/>
          <c:order val="1"/>
          <c:tx>
            <c:strRef>
              <c:f>Hoja2!$C$151</c:f>
              <c:strCache>
                <c:ptCount val="1"/>
                <c:pt idx="0">
                  <c:v>Medido</c:v>
                </c:pt>
              </c:strCache>
            </c:strRef>
          </c:tx>
          <c:invertIfNegative val="0"/>
          <c:cat>
            <c:strRef>
              <c:f>Hoja2!$A$152:$A$155</c:f>
              <c:strCache>
                <c:ptCount val="4"/>
                <c:pt idx="0">
                  <c:v>nov.</c:v>
                </c:pt>
                <c:pt idx="1">
                  <c:v>jun.</c:v>
                </c:pt>
                <c:pt idx="2">
                  <c:v>jul.</c:v>
                </c:pt>
                <c:pt idx="3">
                  <c:v>dic.</c:v>
                </c:pt>
              </c:strCache>
            </c:strRef>
          </c:cat>
          <c:val>
            <c:numRef>
              <c:f>Hoja2!$C$152:$C$155</c:f>
              <c:numCache>
                <c:formatCode>General</c:formatCode>
                <c:ptCount val="4"/>
                <c:pt idx="0">
                  <c:v>40.1</c:v>
                </c:pt>
                <c:pt idx="1">
                  <c:v>49.7</c:v>
                </c:pt>
                <c:pt idx="2">
                  <c:v>25.3</c:v>
                </c:pt>
                <c:pt idx="3">
                  <c:v>83.8</c:v>
                </c:pt>
              </c:numCache>
            </c:numRef>
          </c:val>
        </c:ser>
        <c:dLbls>
          <c:showLegendKey val="0"/>
          <c:showVal val="0"/>
          <c:showCatName val="0"/>
          <c:showSerName val="0"/>
          <c:showPercent val="0"/>
          <c:showBubbleSize val="0"/>
        </c:dLbls>
        <c:gapWidth val="150"/>
        <c:axId val="93732224"/>
        <c:axId val="93734400"/>
      </c:barChart>
      <c:catAx>
        <c:axId val="93732224"/>
        <c:scaling>
          <c:orientation val="minMax"/>
        </c:scaling>
        <c:delete val="0"/>
        <c:axPos val="b"/>
        <c:title>
          <c:tx>
            <c:rich>
              <a:bodyPr/>
              <a:lstStyle/>
              <a:p>
                <a:pPr>
                  <a:defRPr lang="es-MX"/>
                </a:pPr>
                <a:r>
                  <a:rPr lang="en-US"/>
                  <a:t>fechas de siembra</a:t>
                </a:r>
              </a:p>
            </c:rich>
          </c:tx>
          <c:layout>
            <c:manualLayout>
              <c:xMode val="edge"/>
              <c:yMode val="edge"/>
              <c:x val="0.7651677602799648"/>
              <c:y val="0.78107429279673379"/>
            </c:manualLayout>
          </c:layout>
          <c:overlay val="0"/>
        </c:title>
        <c:majorTickMark val="out"/>
        <c:minorTickMark val="none"/>
        <c:tickLblPos val="nextTo"/>
        <c:txPr>
          <a:bodyPr/>
          <a:lstStyle/>
          <a:p>
            <a:pPr>
              <a:defRPr lang="es-MX"/>
            </a:pPr>
            <a:endParaRPr lang="es-ES"/>
          </a:p>
        </c:txPr>
        <c:crossAx val="93734400"/>
        <c:crosses val="autoZero"/>
        <c:auto val="1"/>
        <c:lblAlgn val="ctr"/>
        <c:lblOffset val="100"/>
        <c:noMultiLvlLbl val="0"/>
      </c:catAx>
      <c:valAx>
        <c:axId val="93734400"/>
        <c:scaling>
          <c:orientation val="minMax"/>
        </c:scaling>
        <c:delete val="0"/>
        <c:axPos val="l"/>
        <c:title>
          <c:tx>
            <c:rich>
              <a:bodyPr rot="0" vert="horz"/>
              <a:lstStyle/>
              <a:p>
                <a:pPr>
                  <a:defRPr lang="es-MX" sz="800"/>
                </a:pPr>
                <a:r>
                  <a:rPr lang="en-US" sz="800"/>
                  <a:t>Kg.ha</a:t>
                </a:r>
                <a:r>
                  <a:rPr lang="en-US" sz="800" baseline="30000"/>
                  <a:t>-1</a:t>
                </a:r>
              </a:p>
            </c:rich>
          </c:tx>
          <c:layout>
            <c:manualLayout>
              <c:xMode val="edge"/>
              <c:yMode val="edge"/>
              <c:x val="1.3888888888888897E-2"/>
              <c:y val="0.14012248468941385"/>
            </c:manualLayout>
          </c:layout>
          <c:overlay val="0"/>
        </c:title>
        <c:numFmt formatCode="General" sourceLinked="1"/>
        <c:majorTickMark val="out"/>
        <c:minorTickMark val="none"/>
        <c:tickLblPos val="nextTo"/>
        <c:txPr>
          <a:bodyPr/>
          <a:lstStyle/>
          <a:p>
            <a:pPr>
              <a:defRPr lang="es-MX"/>
            </a:pPr>
            <a:endParaRPr lang="es-ES"/>
          </a:p>
        </c:txPr>
        <c:crossAx val="93732224"/>
        <c:crosses val="autoZero"/>
        <c:crossBetween val="between"/>
      </c:valAx>
    </c:plotArea>
    <c:legend>
      <c:legendPos val="b"/>
      <c:overlay val="0"/>
      <c:txPr>
        <a:bodyPr/>
        <a:lstStyle/>
        <a:p>
          <a:pPr>
            <a:defRPr lang="es-MX" sz="800"/>
          </a:pPr>
          <a:endParaRPr lang="es-E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a:pPr>
            <a:r>
              <a:rPr lang="en-US" sz="1200"/>
              <a:t>Nitrógeno en grano</a:t>
            </a:r>
          </a:p>
        </c:rich>
      </c:tx>
      <c:overlay val="0"/>
    </c:title>
    <c:autoTitleDeleted val="0"/>
    <c:plotArea>
      <c:layout>
        <c:manualLayout>
          <c:layoutTarget val="inner"/>
          <c:xMode val="edge"/>
          <c:yMode val="edge"/>
          <c:x val="0.22863606664168223"/>
          <c:y val="0.1859481308369873"/>
          <c:w val="0.71669593506144436"/>
          <c:h val="0.45061509157805468"/>
        </c:manualLayout>
      </c:layout>
      <c:barChart>
        <c:barDir val="col"/>
        <c:grouping val="clustered"/>
        <c:varyColors val="0"/>
        <c:ser>
          <c:idx val="0"/>
          <c:order val="0"/>
          <c:tx>
            <c:strRef>
              <c:f>Hoja2!$B$168</c:f>
              <c:strCache>
                <c:ptCount val="1"/>
                <c:pt idx="0">
                  <c:v>Estimado</c:v>
                </c:pt>
              </c:strCache>
            </c:strRef>
          </c:tx>
          <c:invertIfNegative val="0"/>
          <c:cat>
            <c:strRef>
              <c:f>Hoja2!$A$169:$A$172</c:f>
              <c:strCache>
                <c:ptCount val="4"/>
                <c:pt idx="0">
                  <c:v>nov.</c:v>
                </c:pt>
                <c:pt idx="1">
                  <c:v>jun.</c:v>
                </c:pt>
                <c:pt idx="2">
                  <c:v>jul.</c:v>
                </c:pt>
                <c:pt idx="3">
                  <c:v>dic.</c:v>
                </c:pt>
              </c:strCache>
            </c:strRef>
          </c:cat>
          <c:val>
            <c:numRef>
              <c:f>Hoja2!$B$169:$B$172</c:f>
              <c:numCache>
                <c:formatCode>General</c:formatCode>
                <c:ptCount val="4"/>
                <c:pt idx="0">
                  <c:v>112</c:v>
                </c:pt>
                <c:pt idx="1">
                  <c:v>120</c:v>
                </c:pt>
                <c:pt idx="2">
                  <c:v>94</c:v>
                </c:pt>
                <c:pt idx="3">
                  <c:v>102</c:v>
                </c:pt>
              </c:numCache>
            </c:numRef>
          </c:val>
        </c:ser>
        <c:ser>
          <c:idx val="1"/>
          <c:order val="1"/>
          <c:tx>
            <c:strRef>
              <c:f>Hoja2!$C$168</c:f>
              <c:strCache>
                <c:ptCount val="1"/>
                <c:pt idx="0">
                  <c:v>Medido</c:v>
                </c:pt>
              </c:strCache>
            </c:strRef>
          </c:tx>
          <c:invertIfNegative val="0"/>
          <c:cat>
            <c:strRef>
              <c:f>Hoja2!$A$169:$A$172</c:f>
              <c:strCache>
                <c:ptCount val="4"/>
                <c:pt idx="0">
                  <c:v>nov.</c:v>
                </c:pt>
                <c:pt idx="1">
                  <c:v>jun.</c:v>
                </c:pt>
                <c:pt idx="2">
                  <c:v>jul.</c:v>
                </c:pt>
                <c:pt idx="3">
                  <c:v>dic.</c:v>
                </c:pt>
              </c:strCache>
            </c:strRef>
          </c:cat>
          <c:val>
            <c:numRef>
              <c:f>Hoja2!$C$169:$C$172</c:f>
              <c:numCache>
                <c:formatCode>General</c:formatCode>
                <c:ptCount val="4"/>
                <c:pt idx="0">
                  <c:v>11.9</c:v>
                </c:pt>
                <c:pt idx="1">
                  <c:v>35.200000000000003</c:v>
                </c:pt>
                <c:pt idx="2">
                  <c:v>17.100000000000001</c:v>
                </c:pt>
                <c:pt idx="3">
                  <c:v>25.5</c:v>
                </c:pt>
              </c:numCache>
            </c:numRef>
          </c:val>
        </c:ser>
        <c:dLbls>
          <c:showLegendKey val="0"/>
          <c:showVal val="0"/>
          <c:showCatName val="0"/>
          <c:showSerName val="0"/>
          <c:showPercent val="0"/>
          <c:showBubbleSize val="0"/>
        </c:dLbls>
        <c:gapWidth val="150"/>
        <c:axId val="94222976"/>
        <c:axId val="94229248"/>
      </c:barChart>
      <c:catAx>
        <c:axId val="94222976"/>
        <c:scaling>
          <c:orientation val="minMax"/>
        </c:scaling>
        <c:delete val="0"/>
        <c:axPos val="b"/>
        <c:title>
          <c:tx>
            <c:rich>
              <a:bodyPr/>
              <a:lstStyle/>
              <a:p>
                <a:pPr>
                  <a:defRPr lang="es-MX"/>
                </a:pPr>
                <a:r>
                  <a:rPr lang="en-US"/>
                  <a:t>fechas de siembra</a:t>
                </a:r>
              </a:p>
            </c:rich>
          </c:tx>
          <c:layout>
            <c:manualLayout>
              <c:xMode val="edge"/>
              <c:yMode val="edge"/>
              <c:x val="0.74850109361329875"/>
              <c:y val="0.76718540390784484"/>
            </c:manualLayout>
          </c:layout>
          <c:overlay val="0"/>
        </c:title>
        <c:majorTickMark val="out"/>
        <c:minorTickMark val="none"/>
        <c:tickLblPos val="nextTo"/>
        <c:txPr>
          <a:bodyPr/>
          <a:lstStyle/>
          <a:p>
            <a:pPr>
              <a:defRPr lang="es-MX"/>
            </a:pPr>
            <a:endParaRPr lang="es-ES"/>
          </a:p>
        </c:txPr>
        <c:crossAx val="94229248"/>
        <c:crosses val="autoZero"/>
        <c:auto val="1"/>
        <c:lblAlgn val="ctr"/>
        <c:lblOffset val="100"/>
        <c:noMultiLvlLbl val="0"/>
      </c:catAx>
      <c:valAx>
        <c:axId val="94229248"/>
        <c:scaling>
          <c:orientation val="minMax"/>
        </c:scaling>
        <c:delete val="0"/>
        <c:axPos val="l"/>
        <c:title>
          <c:tx>
            <c:rich>
              <a:bodyPr rot="0" vert="horz"/>
              <a:lstStyle/>
              <a:p>
                <a:pPr>
                  <a:defRPr lang="es-MX" sz="800"/>
                </a:pPr>
                <a:r>
                  <a:rPr lang="en-US" sz="800"/>
                  <a:t>Kg.ha</a:t>
                </a:r>
                <a:r>
                  <a:rPr lang="en-US" sz="800" baseline="30000"/>
                  <a:t>-1</a:t>
                </a:r>
              </a:p>
            </c:rich>
          </c:tx>
          <c:layout>
            <c:manualLayout>
              <c:xMode val="edge"/>
              <c:yMode val="edge"/>
              <c:x val="1.6666490102395511E-2"/>
              <c:y val="8.7357537626501489E-2"/>
            </c:manualLayout>
          </c:layout>
          <c:overlay val="0"/>
        </c:title>
        <c:numFmt formatCode="General" sourceLinked="1"/>
        <c:majorTickMark val="out"/>
        <c:minorTickMark val="none"/>
        <c:tickLblPos val="nextTo"/>
        <c:txPr>
          <a:bodyPr/>
          <a:lstStyle/>
          <a:p>
            <a:pPr>
              <a:defRPr lang="es-MX"/>
            </a:pPr>
            <a:endParaRPr lang="es-ES"/>
          </a:p>
        </c:txPr>
        <c:crossAx val="94222976"/>
        <c:crosses val="autoZero"/>
        <c:crossBetween val="between"/>
      </c:valAx>
    </c:plotArea>
    <c:legend>
      <c:legendPos val="b"/>
      <c:overlay val="0"/>
      <c:txPr>
        <a:bodyPr/>
        <a:lstStyle/>
        <a:p>
          <a:pPr>
            <a:defRPr lang="es-MX" sz="800"/>
          </a:pPr>
          <a:endParaRPr lang="es-ES"/>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a:pPr>
            <a:r>
              <a:rPr lang="en-US" sz="1200"/>
              <a:t>Nitrógeno en biomasa total</a:t>
            </a:r>
          </a:p>
        </c:rich>
      </c:tx>
      <c:overlay val="0"/>
    </c:title>
    <c:autoTitleDeleted val="0"/>
    <c:plotArea>
      <c:layout>
        <c:manualLayout>
          <c:layoutTarget val="inner"/>
          <c:xMode val="edge"/>
          <c:yMode val="edge"/>
          <c:x val="0.24358747456592861"/>
          <c:y val="0.18443638205368657"/>
          <c:w val="0.70174452713719815"/>
          <c:h val="0.45508156275543221"/>
        </c:manualLayout>
      </c:layout>
      <c:barChart>
        <c:barDir val="col"/>
        <c:grouping val="clustered"/>
        <c:varyColors val="0"/>
        <c:ser>
          <c:idx val="0"/>
          <c:order val="0"/>
          <c:tx>
            <c:strRef>
              <c:f>Hoja2!$B$185</c:f>
              <c:strCache>
                <c:ptCount val="1"/>
                <c:pt idx="0">
                  <c:v>Estimado</c:v>
                </c:pt>
              </c:strCache>
            </c:strRef>
          </c:tx>
          <c:invertIfNegative val="0"/>
          <c:cat>
            <c:strRef>
              <c:f>Hoja2!$A$186:$A$189</c:f>
              <c:strCache>
                <c:ptCount val="4"/>
                <c:pt idx="0">
                  <c:v>nov.</c:v>
                </c:pt>
                <c:pt idx="1">
                  <c:v>jun.</c:v>
                </c:pt>
                <c:pt idx="2">
                  <c:v>jul.</c:v>
                </c:pt>
                <c:pt idx="3">
                  <c:v>dic.</c:v>
                </c:pt>
              </c:strCache>
            </c:strRef>
          </c:cat>
          <c:val>
            <c:numRef>
              <c:f>Hoja2!$B$186:$B$189</c:f>
              <c:numCache>
                <c:formatCode>General</c:formatCode>
                <c:ptCount val="4"/>
                <c:pt idx="0">
                  <c:v>145</c:v>
                </c:pt>
                <c:pt idx="1">
                  <c:v>147</c:v>
                </c:pt>
                <c:pt idx="2">
                  <c:v>143</c:v>
                </c:pt>
                <c:pt idx="3">
                  <c:v>144</c:v>
                </c:pt>
              </c:numCache>
            </c:numRef>
          </c:val>
        </c:ser>
        <c:ser>
          <c:idx val="1"/>
          <c:order val="1"/>
          <c:tx>
            <c:strRef>
              <c:f>Hoja2!$C$185</c:f>
              <c:strCache>
                <c:ptCount val="1"/>
                <c:pt idx="0">
                  <c:v>Medido</c:v>
                </c:pt>
              </c:strCache>
            </c:strRef>
          </c:tx>
          <c:invertIfNegative val="0"/>
          <c:cat>
            <c:strRef>
              <c:f>Hoja2!$A$186:$A$189</c:f>
              <c:strCache>
                <c:ptCount val="4"/>
                <c:pt idx="0">
                  <c:v>nov.</c:v>
                </c:pt>
                <c:pt idx="1">
                  <c:v>jun.</c:v>
                </c:pt>
                <c:pt idx="2">
                  <c:v>jul.</c:v>
                </c:pt>
                <c:pt idx="3">
                  <c:v>dic.</c:v>
                </c:pt>
              </c:strCache>
            </c:strRef>
          </c:cat>
          <c:val>
            <c:numRef>
              <c:f>Hoja2!$C$186:$C$189</c:f>
              <c:numCache>
                <c:formatCode>General</c:formatCode>
                <c:ptCount val="4"/>
                <c:pt idx="0">
                  <c:v>65.7</c:v>
                </c:pt>
                <c:pt idx="1">
                  <c:v>132.80000000000001</c:v>
                </c:pt>
                <c:pt idx="2">
                  <c:v>63.6</c:v>
                </c:pt>
                <c:pt idx="3">
                  <c:v>90.4</c:v>
                </c:pt>
              </c:numCache>
            </c:numRef>
          </c:val>
        </c:ser>
        <c:dLbls>
          <c:showLegendKey val="0"/>
          <c:showVal val="0"/>
          <c:showCatName val="0"/>
          <c:showSerName val="0"/>
          <c:showPercent val="0"/>
          <c:showBubbleSize val="0"/>
        </c:dLbls>
        <c:gapWidth val="150"/>
        <c:axId val="93907200"/>
        <c:axId val="93909376"/>
      </c:barChart>
      <c:catAx>
        <c:axId val="93907200"/>
        <c:scaling>
          <c:orientation val="minMax"/>
        </c:scaling>
        <c:delete val="0"/>
        <c:axPos val="b"/>
        <c:title>
          <c:tx>
            <c:rich>
              <a:bodyPr/>
              <a:lstStyle/>
              <a:p>
                <a:pPr>
                  <a:defRPr lang="es-MX"/>
                </a:pPr>
                <a:r>
                  <a:rPr lang="en-US"/>
                  <a:t>fechas de siembra</a:t>
                </a:r>
              </a:p>
            </c:rich>
          </c:tx>
          <c:layout>
            <c:manualLayout>
              <c:xMode val="edge"/>
              <c:yMode val="edge"/>
              <c:x val="0.72905664916885393"/>
              <c:y val="0.78107429279673379"/>
            </c:manualLayout>
          </c:layout>
          <c:overlay val="0"/>
        </c:title>
        <c:majorTickMark val="out"/>
        <c:minorTickMark val="none"/>
        <c:tickLblPos val="nextTo"/>
        <c:txPr>
          <a:bodyPr/>
          <a:lstStyle/>
          <a:p>
            <a:pPr>
              <a:defRPr lang="es-MX"/>
            </a:pPr>
            <a:endParaRPr lang="es-ES"/>
          </a:p>
        </c:txPr>
        <c:crossAx val="93909376"/>
        <c:crosses val="autoZero"/>
        <c:auto val="1"/>
        <c:lblAlgn val="ctr"/>
        <c:lblOffset val="100"/>
        <c:noMultiLvlLbl val="0"/>
      </c:catAx>
      <c:valAx>
        <c:axId val="93909376"/>
        <c:scaling>
          <c:orientation val="minMax"/>
        </c:scaling>
        <c:delete val="0"/>
        <c:axPos val="l"/>
        <c:title>
          <c:tx>
            <c:rich>
              <a:bodyPr rot="0" vert="horz"/>
              <a:lstStyle/>
              <a:p>
                <a:pPr>
                  <a:defRPr lang="es-MX" sz="800"/>
                </a:pPr>
                <a:r>
                  <a:rPr lang="en-US" sz="800"/>
                  <a:t>Kg.ha</a:t>
                </a:r>
                <a:r>
                  <a:rPr lang="en-US" sz="800" baseline="30000"/>
                  <a:t>-1</a:t>
                </a:r>
              </a:p>
            </c:rich>
          </c:tx>
          <c:layout>
            <c:manualLayout>
              <c:xMode val="edge"/>
              <c:yMode val="edge"/>
              <c:x val="4.4928784599657413E-3"/>
              <c:y val="0.1208076299379775"/>
            </c:manualLayout>
          </c:layout>
          <c:overlay val="0"/>
        </c:title>
        <c:numFmt formatCode="General" sourceLinked="1"/>
        <c:majorTickMark val="out"/>
        <c:minorTickMark val="none"/>
        <c:tickLblPos val="nextTo"/>
        <c:txPr>
          <a:bodyPr/>
          <a:lstStyle/>
          <a:p>
            <a:pPr>
              <a:defRPr lang="es-MX"/>
            </a:pPr>
            <a:endParaRPr lang="es-ES"/>
          </a:p>
        </c:txPr>
        <c:crossAx val="93907200"/>
        <c:crosses val="autoZero"/>
        <c:crossBetween val="between"/>
      </c:valAx>
    </c:plotArea>
    <c:legend>
      <c:legendPos val="b"/>
      <c:overlay val="0"/>
      <c:txPr>
        <a:bodyPr/>
        <a:lstStyle/>
        <a:p>
          <a:pPr>
            <a:defRPr lang="es-MX" sz="800"/>
          </a:pPr>
          <a:endParaRPr lang="es-ES"/>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a:pPr>
            <a:r>
              <a:rPr lang="en-US" sz="1200"/>
              <a:t>Nitrógeno en tallo</a:t>
            </a:r>
          </a:p>
        </c:rich>
      </c:tx>
      <c:overlay val="0"/>
    </c:title>
    <c:autoTitleDeleted val="0"/>
    <c:plotArea>
      <c:layout>
        <c:manualLayout>
          <c:layoutTarget val="inner"/>
          <c:xMode val="edge"/>
          <c:yMode val="edge"/>
          <c:x val="0.20729401458802926"/>
          <c:y val="0.19389466636676109"/>
          <c:w val="0.73683147366294743"/>
          <c:h val="0.42713700295922458"/>
        </c:manualLayout>
      </c:layout>
      <c:barChart>
        <c:barDir val="col"/>
        <c:grouping val="clustered"/>
        <c:varyColors val="0"/>
        <c:ser>
          <c:idx val="0"/>
          <c:order val="0"/>
          <c:tx>
            <c:strRef>
              <c:f>Hoja2!$B$202</c:f>
              <c:strCache>
                <c:ptCount val="1"/>
                <c:pt idx="0">
                  <c:v>Estimado</c:v>
                </c:pt>
              </c:strCache>
            </c:strRef>
          </c:tx>
          <c:invertIfNegative val="0"/>
          <c:cat>
            <c:strRef>
              <c:f>Hoja2!$A$203:$A$206</c:f>
              <c:strCache>
                <c:ptCount val="4"/>
                <c:pt idx="0">
                  <c:v>nov.</c:v>
                </c:pt>
                <c:pt idx="1">
                  <c:v>jun.</c:v>
                </c:pt>
                <c:pt idx="2">
                  <c:v>jul.</c:v>
                </c:pt>
                <c:pt idx="3">
                  <c:v>dic.</c:v>
                </c:pt>
              </c:strCache>
            </c:strRef>
          </c:cat>
          <c:val>
            <c:numRef>
              <c:f>Hoja2!$B$203:$B$206</c:f>
              <c:numCache>
                <c:formatCode>General</c:formatCode>
                <c:ptCount val="4"/>
                <c:pt idx="0">
                  <c:v>34</c:v>
                </c:pt>
                <c:pt idx="1">
                  <c:v>28</c:v>
                </c:pt>
                <c:pt idx="2">
                  <c:v>49</c:v>
                </c:pt>
                <c:pt idx="3">
                  <c:v>42</c:v>
                </c:pt>
              </c:numCache>
            </c:numRef>
          </c:val>
        </c:ser>
        <c:ser>
          <c:idx val="1"/>
          <c:order val="1"/>
          <c:tx>
            <c:strRef>
              <c:f>Hoja2!$C$202</c:f>
              <c:strCache>
                <c:ptCount val="1"/>
                <c:pt idx="0">
                  <c:v>Medido</c:v>
                </c:pt>
              </c:strCache>
            </c:strRef>
          </c:tx>
          <c:spPr>
            <a:ln>
              <a:solidFill>
                <a:srgbClr val="C00000"/>
              </a:solidFill>
            </a:ln>
          </c:spPr>
          <c:invertIfNegative val="0"/>
          <c:cat>
            <c:strRef>
              <c:f>Hoja2!$A$203:$A$206</c:f>
              <c:strCache>
                <c:ptCount val="4"/>
                <c:pt idx="0">
                  <c:v>nov.</c:v>
                </c:pt>
                <c:pt idx="1">
                  <c:v>jun.</c:v>
                </c:pt>
                <c:pt idx="2">
                  <c:v>jul.</c:v>
                </c:pt>
                <c:pt idx="3">
                  <c:v>dic.</c:v>
                </c:pt>
              </c:strCache>
            </c:strRef>
          </c:cat>
          <c:val>
            <c:numRef>
              <c:f>Hoja2!$C$203:$C$206</c:f>
              <c:numCache>
                <c:formatCode>General</c:formatCode>
                <c:ptCount val="4"/>
                <c:pt idx="0">
                  <c:v>22.2</c:v>
                </c:pt>
                <c:pt idx="1">
                  <c:v>44.7</c:v>
                </c:pt>
                <c:pt idx="2">
                  <c:v>16.899999999999999</c:v>
                </c:pt>
                <c:pt idx="3">
                  <c:v>36.5</c:v>
                </c:pt>
              </c:numCache>
            </c:numRef>
          </c:val>
        </c:ser>
        <c:dLbls>
          <c:showLegendKey val="0"/>
          <c:showVal val="0"/>
          <c:showCatName val="0"/>
          <c:showSerName val="0"/>
          <c:showPercent val="0"/>
          <c:showBubbleSize val="0"/>
        </c:dLbls>
        <c:gapWidth val="150"/>
        <c:axId val="94295552"/>
        <c:axId val="94297472"/>
      </c:barChart>
      <c:catAx>
        <c:axId val="94295552"/>
        <c:scaling>
          <c:orientation val="minMax"/>
        </c:scaling>
        <c:delete val="0"/>
        <c:axPos val="b"/>
        <c:title>
          <c:tx>
            <c:rich>
              <a:bodyPr/>
              <a:lstStyle/>
              <a:p>
                <a:pPr>
                  <a:defRPr lang="es-MX"/>
                </a:pPr>
                <a:r>
                  <a:rPr lang="en-US"/>
                  <a:t>fechas de siembra</a:t>
                </a:r>
              </a:p>
            </c:rich>
          </c:tx>
          <c:layout>
            <c:manualLayout>
              <c:xMode val="edge"/>
              <c:yMode val="edge"/>
              <c:x val="0.70534842519685059"/>
              <c:y val="0.79033355205599298"/>
            </c:manualLayout>
          </c:layout>
          <c:overlay val="0"/>
        </c:title>
        <c:majorTickMark val="out"/>
        <c:minorTickMark val="none"/>
        <c:tickLblPos val="nextTo"/>
        <c:txPr>
          <a:bodyPr/>
          <a:lstStyle/>
          <a:p>
            <a:pPr>
              <a:defRPr lang="es-MX"/>
            </a:pPr>
            <a:endParaRPr lang="es-ES"/>
          </a:p>
        </c:txPr>
        <c:crossAx val="94297472"/>
        <c:crosses val="autoZero"/>
        <c:auto val="1"/>
        <c:lblAlgn val="ctr"/>
        <c:lblOffset val="100"/>
        <c:noMultiLvlLbl val="0"/>
      </c:catAx>
      <c:valAx>
        <c:axId val="94297472"/>
        <c:scaling>
          <c:orientation val="minMax"/>
        </c:scaling>
        <c:delete val="0"/>
        <c:axPos val="l"/>
        <c:title>
          <c:tx>
            <c:rich>
              <a:bodyPr rot="0" vert="horz"/>
              <a:lstStyle/>
              <a:p>
                <a:pPr>
                  <a:defRPr lang="es-MX" sz="800"/>
                </a:pPr>
                <a:r>
                  <a:rPr lang="en-US" sz="800"/>
                  <a:t>Kg.ha</a:t>
                </a:r>
                <a:r>
                  <a:rPr lang="en-US" sz="800" baseline="30000"/>
                  <a:t>-1</a:t>
                </a:r>
              </a:p>
            </c:rich>
          </c:tx>
          <c:layout>
            <c:manualLayout>
              <c:xMode val="edge"/>
              <c:yMode val="edge"/>
              <c:x val="2.4048848097696196E-2"/>
              <c:y val="6.294818616422948E-2"/>
            </c:manualLayout>
          </c:layout>
          <c:overlay val="0"/>
        </c:title>
        <c:numFmt formatCode="General" sourceLinked="1"/>
        <c:majorTickMark val="out"/>
        <c:minorTickMark val="none"/>
        <c:tickLblPos val="nextTo"/>
        <c:txPr>
          <a:bodyPr/>
          <a:lstStyle/>
          <a:p>
            <a:pPr>
              <a:defRPr lang="es-MX"/>
            </a:pPr>
            <a:endParaRPr lang="es-ES"/>
          </a:p>
        </c:txPr>
        <c:crossAx val="94295552"/>
        <c:crosses val="autoZero"/>
        <c:crossBetween val="between"/>
      </c:valAx>
    </c:plotArea>
    <c:legend>
      <c:legendPos val="b"/>
      <c:overlay val="0"/>
      <c:txPr>
        <a:bodyPr/>
        <a:lstStyle/>
        <a:p>
          <a:pPr>
            <a:defRPr lang="es-MX" sz="800"/>
          </a:pPr>
          <a:endParaRPr lang="es-E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a:pPr>
            <a:r>
              <a:rPr lang="en-US" sz="1200"/>
              <a:t>Nitrógeno en grano (%)</a:t>
            </a:r>
          </a:p>
        </c:rich>
      </c:tx>
      <c:overlay val="0"/>
    </c:title>
    <c:autoTitleDeleted val="0"/>
    <c:plotArea>
      <c:layout/>
      <c:barChart>
        <c:barDir val="col"/>
        <c:grouping val="clustered"/>
        <c:varyColors val="0"/>
        <c:ser>
          <c:idx val="0"/>
          <c:order val="0"/>
          <c:tx>
            <c:strRef>
              <c:f>Hoja2!$B$218</c:f>
              <c:strCache>
                <c:ptCount val="1"/>
                <c:pt idx="0">
                  <c:v>Estimado</c:v>
                </c:pt>
              </c:strCache>
            </c:strRef>
          </c:tx>
          <c:invertIfNegative val="0"/>
          <c:cat>
            <c:strRef>
              <c:f>Hoja2!$A$219:$A$222</c:f>
              <c:strCache>
                <c:ptCount val="4"/>
                <c:pt idx="0">
                  <c:v>nov.</c:v>
                </c:pt>
                <c:pt idx="1">
                  <c:v>jun.</c:v>
                </c:pt>
                <c:pt idx="2">
                  <c:v>jul.</c:v>
                </c:pt>
                <c:pt idx="3">
                  <c:v>dic.</c:v>
                </c:pt>
              </c:strCache>
            </c:strRef>
          </c:cat>
          <c:val>
            <c:numRef>
              <c:f>Hoja2!$B$219:$B$222</c:f>
              <c:numCache>
                <c:formatCode>General</c:formatCode>
                <c:ptCount val="4"/>
                <c:pt idx="0">
                  <c:v>1.7</c:v>
                </c:pt>
                <c:pt idx="1">
                  <c:v>1.6400000000000001</c:v>
                </c:pt>
                <c:pt idx="2">
                  <c:v>1.75</c:v>
                </c:pt>
                <c:pt idx="3">
                  <c:v>1.7</c:v>
                </c:pt>
              </c:numCache>
            </c:numRef>
          </c:val>
        </c:ser>
        <c:ser>
          <c:idx val="1"/>
          <c:order val="1"/>
          <c:tx>
            <c:strRef>
              <c:f>Hoja2!$C$218</c:f>
              <c:strCache>
                <c:ptCount val="1"/>
                <c:pt idx="0">
                  <c:v>Medido</c:v>
                </c:pt>
              </c:strCache>
            </c:strRef>
          </c:tx>
          <c:spPr>
            <a:ln>
              <a:solidFill>
                <a:srgbClr val="C00000"/>
              </a:solidFill>
            </a:ln>
          </c:spPr>
          <c:invertIfNegative val="0"/>
          <c:cat>
            <c:strRef>
              <c:f>Hoja2!$A$219:$A$222</c:f>
              <c:strCache>
                <c:ptCount val="4"/>
                <c:pt idx="0">
                  <c:v>nov.</c:v>
                </c:pt>
                <c:pt idx="1">
                  <c:v>jun.</c:v>
                </c:pt>
                <c:pt idx="2">
                  <c:v>jul.</c:v>
                </c:pt>
                <c:pt idx="3">
                  <c:v>dic.</c:v>
                </c:pt>
              </c:strCache>
            </c:strRef>
          </c:cat>
          <c:val>
            <c:numRef>
              <c:f>Hoja2!$C$219:$C$222</c:f>
              <c:numCache>
                <c:formatCode>General</c:formatCode>
                <c:ptCount val="4"/>
                <c:pt idx="0">
                  <c:v>2.48</c:v>
                </c:pt>
                <c:pt idx="1">
                  <c:v>2.17</c:v>
                </c:pt>
                <c:pt idx="2">
                  <c:v>1.6400000000000001</c:v>
                </c:pt>
                <c:pt idx="3">
                  <c:v>2.13</c:v>
                </c:pt>
              </c:numCache>
            </c:numRef>
          </c:val>
        </c:ser>
        <c:dLbls>
          <c:showLegendKey val="0"/>
          <c:showVal val="0"/>
          <c:showCatName val="0"/>
          <c:showSerName val="0"/>
          <c:showPercent val="0"/>
          <c:showBubbleSize val="0"/>
        </c:dLbls>
        <c:gapWidth val="150"/>
        <c:axId val="94409472"/>
        <c:axId val="94411392"/>
      </c:barChart>
      <c:catAx>
        <c:axId val="94409472"/>
        <c:scaling>
          <c:orientation val="minMax"/>
        </c:scaling>
        <c:delete val="0"/>
        <c:axPos val="b"/>
        <c:title>
          <c:tx>
            <c:rich>
              <a:bodyPr/>
              <a:lstStyle/>
              <a:p>
                <a:pPr>
                  <a:defRPr lang="es-MX"/>
                </a:pPr>
                <a:r>
                  <a:rPr lang="en-US"/>
                  <a:t>fechas de siembra</a:t>
                </a:r>
              </a:p>
            </c:rich>
          </c:tx>
          <c:layout>
            <c:manualLayout>
              <c:xMode val="edge"/>
              <c:yMode val="edge"/>
              <c:x val="0.68420231846019264"/>
              <c:y val="0.78608778069407992"/>
            </c:manualLayout>
          </c:layout>
          <c:overlay val="0"/>
        </c:title>
        <c:majorTickMark val="out"/>
        <c:minorTickMark val="none"/>
        <c:tickLblPos val="nextTo"/>
        <c:txPr>
          <a:bodyPr/>
          <a:lstStyle/>
          <a:p>
            <a:pPr>
              <a:defRPr lang="es-MX"/>
            </a:pPr>
            <a:endParaRPr lang="es-ES"/>
          </a:p>
        </c:txPr>
        <c:crossAx val="94411392"/>
        <c:crosses val="autoZero"/>
        <c:auto val="1"/>
        <c:lblAlgn val="ctr"/>
        <c:lblOffset val="100"/>
        <c:noMultiLvlLbl val="0"/>
      </c:catAx>
      <c:valAx>
        <c:axId val="94411392"/>
        <c:scaling>
          <c:orientation val="minMax"/>
        </c:scaling>
        <c:delete val="0"/>
        <c:axPos val="l"/>
        <c:title>
          <c:tx>
            <c:rich>
              <a:bodyPr rot="0" vert="horz"/>
              <a:lstStyle/>
              <a:p>
                <a:pPr>
                  <a:defRPr lang="es-MX" sz="800"/>
                </a:pPr>
                <a:r>
                  <a:rPr lang="en-US" sz="800"/>
                  <a:t>%</a:t>
                </a:r>
              </a:p>
            </c:rich>
          </c:tx>
          <c:layout>
            <c:manualLayout>
              <c:xMode val="edge"/>
              <c:yMode val="edge"/>
              <c:x val="2.9722204517838823E-2"/>
              <c:y val="8.6977802397815898E-2"/>
            </c:manualLayout>
          </c:layout>
          <c:overlay val="0"/>
        </c:title>
        <c:numFmt formatCode="General" sourceLinked="1"/>
        <c:majorTickMark val="out"/>
        <c:minorTickMark val="none"/>
        <c:tickLblPos val="nextTo"/>
        <c:txPr>
          <a:bodyPr/>
          <a:lstStyle/>
          <a:p>
            <a:pPr>
              <a:defRPr lang="es-MX"/>
            </a:pPr>
            <a:endParaRPr lang="es-ES"/>
          </a:p>
        </c:txPr>
        <c:crossAx val="94409472"/>
        <c:crosses val="autoZero"/>
        <c:crossBetween val="between"/>
      </c:valAx>
    </c:plotArea>
    <c:legend>
      <c:legendPos val="b"/>
      <c:overlay val="0"/>
      <c:txPr>
        <a:bodyPr/>
        <a:lstStyle/>
        <a:p>
          <a:pPr>
            <a:defRPr lang="es-MX" sz="800"/>
          </a:pPr>
          <a:endParaRPr lang="es-E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a:pPr>
            <a:r>
              <a:rPr lang="en-US" sz="1200"/>
              <a:t>Días a la madurez fisiológica en maíz</a:t>
            </a:r>
          </a:p>
        </c:rich>
      </c:tx>
      <c:layout>
        <c:manualLayout>
          <c:xMode val="edge"/>
          <c:yMode val="edge"/>
          <c:x val="0.17470356991654767"/>
          <c:y val="0"/>
        </c:manualLayout>
      </c:layout>
      <c:overlay val="0"/>
    </c:title>
    <c:autoTitleDeleted val="0"/>
    <c:plotArea>
      <c:layout>
        <c:manualLayout>
          <c:layoutTarget val="inner"/>
          <c:xMode val="edge"/>
          <c:yMode val="edge"/>
          <c:x val="0.1166272965879265"/>
          <c:y val="0.1071468265350876"/>
          <c:w val="0.77017782152230974"/>
          <c:h val="0.6705825313502477"/>
        </c:manualLayout>
      </c:layout>
      <c:barChart>
        <c:barDir val="col"/>
        <c:grouping val="clustered"/>
        <c:varyColors val="0"/>
        <c:ser>
          <c:idx val="0"/>
          <c:order val="0"/>
          <c:tx>
            <c:strRef>
              <c:f>Hoja2!$B$19</c:f>
              <c:strCache>
                <c:ptCount val="1"/>
                <c:pt idx="0">
                  <c:v>Estimado</c:v>
                </c:pt>
              </c:strCache>
            </c:strRef>
          </c:tx>
          <c:invertIfNegative val="0"/>
          <c:cat>
            <c:strRef>
              <c:f>Hoja2!$A$20:$A$23</c:f>
              <c:strCache>
                <c:ptCount val="4"/>
                <c:pt idx="0">
                  <c:v>nov.</c:v>
                </c:pt>
                <c:pt idx="1">
                  <c:v>jun.</c:v>
                </c:pt>
                <c:pt idx="2">
                  <c:v>jul.</c:v>
                </c:pt>
                <c:pt idx="3">
                  <c:v>dic.</c:v>
                </c:pt>
              </c:strCache>
            </c:strRef>
          </c:cat>
          <c:val>
            <c:numRef>
              <c:f>Hoja2!$B$20:$B$23</c:f>
              <c:numCache>
                <c:formatCode>General</c:formatCode>
                <c:ptCount val="4"/>
                <c:pt idx="0">
                  <c:v>115</c:v>
                </c:pt>
                <c:pt idx="1">
                  <c:v>82</c:v>
                </c:pt>
                <c:pt idx="2">
                  <c:v>98</c:v>
                </c:pt>
                <c:pt idx="3">
                  <c:v>123</c:v>
                </c:pt>
              </c:numCache>
            </c:numRef>
          </c:val>
        </c:ser>
        <c:ser>
          <c:idx val="1"/>
          <c:order val="1"/>
          <c:tx>
            <c:strRef>
              <c:f>Hoja2!$C$19</c:f>
              <c:strCache>
                <c:ptCount val="1"/>
                <c:pt idx="0">
                  <c:v>Medido</c:v>
                </c:pt>
              </c:strCache>
            </c:strRef>
          </c:tx>
          <c:invertIfNegative val="0"/>
          <c:cat>
            <c:strRef>
              <c:f>Hoja2!$A$20:$A$23</c:f>
              <c:strCache>
                <c:ptCount val="4"/>
                <c:pt idx="0">
                  <c:v>nov.</c:v>
                </c:pt>
                <c:pt idx="1">
                  <c:v>jun.</c:v>
                </c:pt>
                <c:pt idx="2">
                  <c:v>jul.</c:v>
                </c:pt>
                <c:pt idx="3">
                  <c:v>dic.</c:v>
                </c:pt>
              </c:strCache>
            </c:strRef>
          </c:cat>
          <c:val>
            <c:numRef>
              <c:f>Hoja2!$C$20:$C$23</c:f>
              <c:numCache>
                <c:formatCode>General</c:formatCode>
                <c:ptCount val="4"/>
                <c:pt idx="0">
                  <c:v>114</c:v>
                </c:pt>
                <c:pt idx="1">
                  <c:v>82</c:v>
                </c:pt>
                <c:pt idx="2">
                  <c:v>98</c:v>
                </c:pt>
                <c:pt idx="3">
                  <c:v>124</c:v>
                </c:pt>
              </c:numCache>
            </c:numRef>
          </c:val>
        </c:ser>
        <c:dLbls>
          <c:showLegendKey val="0"/>
          <c:showVal val="0"/>
          <c:showCatName val="0"/>
          <c:showSerName val="0"/>
          <c:showPercent val="0"/>
          <c:showBubbleSize val="0"/>
        </c:dLbls>
        <c:gapWidth val="150"/>
        <c:axId val="89013248"/>
        <c:axId val="89023616"/>
      </c:barChart>
      <c:catAx>
        <c:axId val="89013248"/>
        <c:scaling>
          <c:orientation val="minMax"/>
        </c:scaling>
        <c:delete val="0"/>
        <c:axPos val="b"/>
        <c:title>
          <c:tx>
            <c:rich>
              <a:bodyPr/>
              <a:lstStyle/>
              <a:p>
                <a:pPr>
                  <a:defRPr lang="es-MX"/>
                </a:pPr>
                <a:r>
                  <a:rPr lang="en-US"/>
                  <a:t>fechas de siembra</a:t>
                </a:r>
              </a:p>
            </c:rich>
          </c:tx>
          <c:layout>
            <c:manualLayout>
              <c:xMode val="edge"/>
              <c:yMode val="edge"/>
              <c:x val="0.74468153980752394"/>
              <c:y val="0.86089823495626494"/>
            </c:manualLayout>
          </c:layout>
          <c:overlay val="0"/>
        </c:title>
        <c:majorTickMark val="out"/>
        <c:minorTickMark val="none"/>
        <c:tickLblPos val="nextTo"/>
        <c:txPr>
          <a:bodyPr/>
          <a:lstStyle/>
          <a:p>
            <a:pPr>
              <a:defRPr lang="es-MX"/>
            </a:pPr>
            <a:endParaRPr lang="es-ES"/>
          </a:p>
        </c:txPr>
        <c:crossAx val="89023616"/>
        <c:crosses val="autoZero"/>
        <c:auto val="1"/>
        <c:lblAlgn val="ctr"/>
        <c:lblOffset val="100"/>
        <c:noMultiLvlLbl val="0"/>
      </c:catAx>
      <c:valAx>
        <c:axId val="89023616"/>
        <c:scaling>
          <c:orientation val="minMax"/>
          <c:min val="60"/>
        </c:scaling>
        <c:delete val="0"/>
        <c:axPos val="l"/>
        <c:title>
          <c:tx>
            <c:rich>
              <a:bodyPr rot="0" vert="horz"/>
              <a:lstStyle/>
              <a:p>
                <a:pPr>
                  <a:defRPr lang="es-MX"/>
                </a:pPr>
                <a:r>
                  <a:rPr lang="en-US"/>
                  <a:t>días</a:t>
                </a:r>
              </a:p>
            </c:rich>
          </c:tx>
          <c:layout>
            <c:manualLayout>
              <c:xMode val="edge"/>
              <c:yMode val="edge"/>
              <c:x val="0"/>
              <c:y val="9.0590948858665734E-4"/>
            </c:manualLayout>
          </c:layout>
          <c:overlay val="0"/>
        </c:title>
        <c:numFmt formatCode="General" sourceLinked="1"/>
        <c:majorTickMark val="out"/>
        <c:minorTickMark val="none"/>
        <c:tickLblPos val="nextTo"/>
        <c:txPr>
          <a:bodyPr/>
          <a:lstStyle/>
          <a:p>
            <a:pPr>
              <a:defRPr lang="es-MX"/>
            </a:pPr>
            <a:endParaRPr lang="es-ES"/>
          </a:p>
        </c:txPr>
        <c:crossAx val="89013248"/>
        <c:crosses val="autoZero"/>
        <c:crossBetween val="between"/>
      </c:valAx>
    </c:plotArea>
    <c:legend>
      <c:legendPos val="b"/>
      <c:layout>
        <c:manualLayout>
          <c:xMode val="edge"/>
          <c:yMode val="edge"/>
          <c:x val="0.25369650222293644"/>
          <c:y val="0.91179066641060136"/>
          <c:w val="0.37275215598050254"/>
          <c:h val="8.8209270232973466E-2"/>
        </c:manualLayout>
      </c:layout>
      <c:overlay val="0"/>
      <c:txPr>
        <a:bodyPr/>
        <a:lstStyle/>
        <a:p>
          <a:pPr>
            <a:defRPr lang="es-MX" sz="800"/>
          </a:pPr>
          <a:endParaRPr lang="es-E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a:pPr>
            <a:r>
              <a:rPr lang="en-US" sz="1200"/>
              <a:t>Rendimiento en grano. Maíz</a:t>
            </a:r>
          </a:p>
        </c:rich>
      </c:tx>
      <c:layout>
        <c:manualLayout>
          <c:xMode val="edge"/>
          <c:yMode val="edge"/>
          <c:x val="0.10971867726663755"/>
          <c:y val="0"/>
        </c:manualLayout>
      </c:layout>
      <c:overlay val="0"/>
    </c:title>
    <c:autoTitleDeleted val="0"/>
    <c:plotArea>
      <c:layout>
        <c:manualLayout>
          <c:layoutTarget val="inner"/>
          <c:xMode val="edge"/>
          <c:yMode val="edge"/>
          <c:x val="0.27149388101067712"/>
          <c:y val="0.18221425513389358"/>
          <c:w val="0.66993754078102352"/>
          <c:h val="0.46164685055282684"/>
        </c:manualLayout>
      </c:layout>
      <c:barChart>
        <c:barDir val="col"/>
        <c:grouping val="clustered"/>
        <c:varyColors val="0"/>
        <c:ser>
          <c:idx val="0"/>
          <c:order val="0"/>
          <c:tx>
            <c:strRef>
              <c:f>Hoja2!$B$36</c:f>
              <c:strCache>
                <c:ptCount val="1"/>
                <c:pt idx="0">
                  <c:v>Estimado</c:v>
                </c:pt>
              </c:strCache>
            </c:strRef>
          </c:tx>
          <c:invertIfNegative val="0"/>
          <c:cat>
            <c:strRef>
              <c:f>Hoja2!$A$37:$A$40</c:f>
              <c:strCache>
                <c:ptCount val="4"/>
                <c:pt idx="0">
                  <c:v>nov.</c:v>
                </c:pt>
                <c:pt idx="1">
                  <c:v>jun.</c:v>
                </c:pt>
                <c:pt idx="2">
                  <c:v>jul.</c:v>
                </c:pt>
                <c:pt idx="3">
                  <c:v>dic.</c:v>
                </c:pt>
              </c:strCache>
            </c:strRef>
          </c:cat>
          <c:val>
            <c:numRef>
              <c:f>Hoja2!$B$37:$B$40</c:f>
              <c:numCache>
                <c:formatCode>General</c:formatCode>
                <c:ptCount val="4"/>
                <c:pt idx="0">
                  <c:v>6585</c:v>
                </c:pt>
                <c:pt idx="1">
                  <c:v>7267</c:v>
                </c:pt>
                <c:pt idx="2">
                  <c:v>5382</c:v>
                </c:pt>
                <c:pt idx="3">
                  <c:v>6011</c:v>
                </c:pt>
              </c:numCache>
            </c:numRef>
          </c:val>
        </c:ser>
        <c:ser>
          <c:idx val="1"/>
          <c:order val="1"/>
          <c:tx>
            <c:strRef>
              <c:f>Hoja2!$C$36</c:f>
              <c:strCache>
                <c:ptCount val="1"/>
                <c:pt idx="0">
                  <c:v>Medido</c:v>
                </c:pt>
              </c:strCache>
            </c:strRef>
          </c:tx>
          <c:invertIfNegative val="0"/>
          <c:cat>
            <c:strRef>
              <c:f>Hoja2!$A$37:$A$40</c:f>
              <c:strCache>
                <c:ptCount val="4"/>
                <c:pt idx="0">
                  <c:v>nov.</c:v>
                </c:pt>
                <c:pt idx="1">
                  <c:v>jun.</c:v>
                </c:pt>
                <c:pt idx="2">
                  <c:v>jul.</c:v>
                </c:pt>
                <c:pt idx="3">
                  <c:v>dic.</c:v>
                </c:pt>
              </c:strCache>
            </c:strRef>
          </c:cat>
          <c:val>
            <c:numRef>
              <c:f>Hoja2!$C$37:$C$40</c:f>
              <c:numCache>
                <c:formatCode>General</c:formatCode>
                <c:ptCount val="4"/>
                <c:pt idx="0">
                  <c:v>6586</c:v>
                </c:pt>
                <c:pt idx="1">
                  <c:v>7268</c:v>
                </c:pt>
                <c:pt idx="2">
                  <c:v>5337</c:v>
                </c:pt>
                <c:pt idx="3">
                  <c:v>6010</c:v>
                </c:pt>
              </c:numCache>
            </c:numRef>
          </c:val>
        </c:ser>
        <c:dLbls>
          <c:showLegendKey val="0"/>
          <c:showVal val="0"/>
          <c:showCatName val="0"/>
          <c:showSerName val="0"/>
          <c:showPercent val="0"/>
          <c:showBubbleSize val="0"/>
        </c:dLbls>
        <c:gapWidth val="150"/>
        <c:axId val="90323200"/>
        <c:axId val="90366336"/>
      </c:barChart>
      <c:catAx>
        <c:axId val="90323200"/>
        <c:scaling>
          <c:orientation val="minMax"/>
        </c:scaling>
        <c:delete val="0"/>
        <c:axPos val="b"/>
        <c:title>
          <c:tx>
            <c:rich>
              <a:bodyPr/>
              <a:lstStyle/>
              <a:p>
                <a:pPr>
                  <a:defRPr lang="es-MX"/>
                </a:pPr>
                <a:r>
                  <a:rPr lang="en-US"/>
                  <a:t>fechas de siembra</a:t>
                </a:r>
              </a:p>
            </c:rich>
          </c:tx>
          <c:layout>
            <c:manualLayout>
              <c:xMode val="edge"/>
              <c:yMode val="edge"/>
              <c:x val="0.73887620297462853"/>
              <c:y val="0.79331002838521092"/>
            </c:manualLayout>
          </c:layout>
          <c:overlay val="0"/>
        </c:title>
        <c:majorTickMark val="out"/>
        <c:minorTickMark val="none"/>
        <c:tickLblPos val="nextTo"/>
        <c:txPr>
          <a:bodyPr/>
          <a:lstStyle/>
          <a:p>
            <a:pPr>
              <a:defRPr lang="es-MX"/>
            </a:pPr>
            <a:endParaRPr lang="es-ES"/>
          </a:p>
        </c:txPr>
        <c:crossAx val="90366336"/>
        <c:crosses val="autoZero"/>
        <c:auto val="1"/>
        <c:lblAlgn val="ctr"/>
        <c:lblOffset val="100"/>
        <c:noMultiLvlLbl val="0"/>
      </c:catAx>
      <c:valAx>
        <c:axId val="90366336"/>
        <c:scaling>
          <c:orientation val="minMax"/>
          <c:min val="4000"/>
        </c:scaling>
        <c:delete val="0"/>
        <c:axPos val="l"/>
        <c:title>
          <c:tx>
            <c:rich>
              <a:bodyPr rot="0" vert="horz"/>
              <a:lstStyle/>
              <a:p>
                <a:pPr>
                  <a:defRPr lang="es-MX" sz="800"/>
                </a:pPr>
                <a:r>
                  <a:rPr lang="en-US" sz="800"/>
                  <a:t>Kg.ha</a:t>
                </a:r>
                <a:r>
                  <a:rPr lang="en-US" sz="800" baseline="30000"/>
                  <a:t>-1</a:t>
                </a:r>
              </a:p>
            </c:rich>
          </c:tx>
          <c:layout>
            <c:manualLayout>
              <c:xMode val="edge"/>
              <c:yMode val="edge"/>
              <c:x val="5.9523924411639957E-2"/>
              <c:y val="6.4980655603681423E-2"/>
            </c:manualLayout>
          </c:layout>
          <c:overlay val="0"/>
        </c:title>
        <c:numFmt formatCode="General" sourceLinked="1"/>
        <c:majorTickMark val="out"/>
        <c:minorTickMark val="none"/>
        <c:tickLblPos val="nextTo"/>
        <c:txPr>
          <a:bodyPr/>
          <a:lstStyle/>
          <a:p>
            <a:pPr>
              <a:defRPr lang="es-MX"/>
            </a:pPr>
            <a:endParaRPr lang="es-ES"/>
          </a:p>
        </c:txPr>
        <c:crossAx val="90323200"/>
        <c:crosses val="autoZero"/>
        <c:crossBetween val="between"/>
      </c:valAx>
    </c:plotArea>
    <c:legend>
      <c:legendPos val="b"/>
      <c:overlay val="0"/>
      <c:txPr>
        <a:bodyPr/>
        <a:lstStyle/>
        <a:p>
          <a:pPr>
            <a:defRPr lang="es-MX" sz="800"/>
          </a:pPr>
          <a:endParaRPr lang="es-E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a:pPr>
            <a:r>
              <a:rPr lang="en-US" sz="1200"/>
              <a:t>granos por m2. maiz</a:t>
            </a:r>
          </a:p>
        </c:rich>
      </c:tx>
      <c:layout>
        <c:manualLayout>
          <c:xMode val="edge"/>
          <c:yMode val="edge"/>
          <c:x val="0.29809973684076296"/>
          <c:y val="0"/>
        </c:manualLayout>
      </c:layout>
      <c:overlay val="0"/>
    </c:title>
    <c:autoTitleDeleted val="0"/>
    <c:plotArea>
      <c:layout>
        <c:manualLayout>
          <c:layoutTarget val="inner"/>
          <c:xMode val="edge"/>
          <c:yMode val="edge"/>
          <c:x val="0.25554068492027338"/>
          <c:y val="9.2477713778802123E-2"/>
          <c:w val="0.71888670166229218"/>
          <c:h val="0.61189648262608054"/>
        </c:manualLayout>
      </c:layout>
      <c:barChart>
        <c:barDir val="col"/>
        <c:grouping val="clustered"/>
        <c:varyColors val="0"/>
        <c:ser>
          <c:idx val="0"/>
          <c:order val="0"/>
          <c:tx>
            <c:strRef>
              <c:f>Hoja2!$B$53</c:f>
              <c:strCache>
                <c:ptCount val="1"/>
                <c:pt idx="0">
                  <c:v>Estimado</c:v>
                </c:pt>
              </c:strCache>
            </c:strRef>
          </c:tx>
          <c:invertIfNegative val="0"/>
          <c:cat>
            <c:strRef>
              <c:f>Hoja2!$A$54:$A$57</c:f>
              <c:strCache>
                <c:ptCount val="4"/>
                <c:pt idx="0">
                  <c:v>nov.</c:v>
                </c:pt>
                <c:pt idx="1">
                  <c:v>jun.</c:v>
                </c:pt>
                <c:pt idx="2">
                  <c:v>jul.</c:v>
                </c:pt>
                <c:pt idx="3">
                  <c:v>dic.</c:v>
                </c:pt>
              </c:strCache>
            </c:strRef>
          </c:cat>
          <c:val>
            <c:numRef>
              <c:f>Hoja2!$B$54:$B$57</c:f>
              <c:numCache>
                <c:formatCode>General</c:formatCode>
                <c:ptCount val="4"/>
                <c:pt idx="0">
                  <c:v>2020</c:v>
                </c:pt>
                <c:pt idx="1">
                  <c:v>2456</c:v>
                </c:pt>
                <c:pt idx="2">
                  <c:v>1772</c:v>
                </c:pt>
                <c:pt idx="3">
                  <c:v>2026</c:v>
                </c:pt>
              </c:numCache>
            </c:numRef>
          </c:val>
        </c:ser>
        <c:ser>
          <c:idx val="1"/>
          <c:order val="1"/>
          <c:tx>
            <c:strRef>
              <c:f>Hoja2!$C$53</c:f>
              <c:strCache>
                <c:ptCount val="1"/>
                <c:pt idx="0">
                  <c:v>Medido</c:v>
                </c:pt>
              </c:strCache>
            </c:strRef>
          </c:tx>
          <c:invertIfNegative val="0"/>
          <c:cat>
            <c:strRef>
              <c:f>Hoja2!$A$54:$A$57</c:f>
              <c:strCache>
                <c:ptCount val="4"/>
                <c:pt idx="0">
                  <c:v>nov.</c:v>
                </c:pt>
                <c:pt idx="1">
                  <c:v>jun.</c:v>
                </c:pt>
                <c:pt idx="2">
                  <c:v>jul.</c:v>
                </c:pt>
                <c:pt idx="3">
                  <c:v>dic.</c:v>
                </c:pt>
              </c:strCache>
            </c:strRef>
          </c:cat>
          <c:val>
            <c:numRef>
              <c:f>Hoja2!$C$54:$C$57</c:f>
              <c:numCache>
                <c:formatCode>General</c:formatCode>
                <c:ptCount val="4"/>
                <c:pt idx="0">
                  <c:v>2025</c:v>
                </c:pt>
                <c:pt idx="1">
                  <c:v>2452</c:v>
                </c:pt>
                <c:pt idx="2">
                  <c:v>1770</c:v>
                </c:pt>
                <c:pt idx="3">
                  <c:v>2027</c:v>
                </c:pt>
              </c:numCache>
            </c:numRef>
          </c:val>
        </c:ser>
        <c:dLbls>
          <c:showLegendKey val="0"/>
          <c:showVal val="0"/>
          <c:showCatName val="0"/>
          <c:showSerName val="0"/>
          <c:showPercent val="0"/>
          <c:showBubbleSize val="0"/>
        </c:dLbls>
        <c:gapWidth val="150"/>
        <c:axId val="90437120"/>
        <c:axId val="90439040"/>
      </c:barChart>
      <c:catAx>
        <c:axId val="90437120"/>
        <c:scaling>
          <c:orientation val="minMax"/>
        </c:scaling>
        <c:delete val="0"/>
        <c:axPos val="b"/>
        <c:title>
          <c:tx>
            <c:rich>
              <a:bodyPr/>
              <a:lstStyle/>
              <a:p>
                <a:pPr>
                  <a:defRPr lang="es-MX"/>
                </a:pPr>
                <a:r>
                  <a:rPr lang="en-US"/>
                  <a:t>fechas de siembra</a:t>
                </a:r>
              </a:p>
            </c:rich>
          </c:tx>
          <c:layout>
            <c:manualLayout>
              <c:xMode val="edge"/>
              <c:yMode val="edge"/>
              <c:x val="0.59605037496365698"/>
              <c:y val="0.82592352318160822"/>
            </c:manualLayout>
          </c:layout>
          <c:overlay val="0"/>
        </c:title>
        <c:majorTickMark val="out"/>
        <c:minorTickMark val="none"/>
        <c:tickLblPos val="nextTo"/>
        <c:txPr>
          <a:bodyPr/>
          <a:lstStyle/>
          <a:p>
            <a:pPr>
              <a:defRPr lang="es-MX"/>
            </a:pPr>
            <a:endParaRPr lang="es-ES"/>
          </a:p>
        </c:txPr>
        <c:crossAx val="90439040"/>
        <c:crosses val="autoZero"/>
        <c:auto val="1"/>
        <c:lblAlgn val="ctr"/>
        <c:lblOffset val="100"/>
        <c:noMultiLvlLbl val="0"/>
      </c:catAx>
      <c:valAx>
        <c:axId val="90439040"/>
        <c:scaling>
          <c:orientation val="minMax"/>
          <c:min val="1000"/>
        </c:scaling>
        <c:delete val="0"/>
        <c:axPos val="l"/>
        <c:title>
          <c:tx>
            <c:rich>
              <a:bodyPr rot="0" vert="horz"/>
              <a:lstStyle/>
              <a:p>
                <a:pPr>
                  <a:defRPr lang="es-MX" sz="800"/>
                </a:pPr>
                <a:r>
                  <a:rPr lang="en-US" sz="800"/>
                  <a:t>granos.m</a:t>
                </a:r>
                <a:r>
                  <a:rPr lang="en-US" sz="800" baseline="30000"/>
                  <a:t>2</a:t>
                </a:r>
              </a:p>
            </c:rich>
          </c:tx>
          <c:layout>
            <c:manualLayout>
              <c:xMode val="edge"/>
              <c:yMode val="edge"/>
              <c:x val="0"/>
              <c:y val="3.2428757671413761E-3"/>
            </c:manualLayout>
          </c:layout>
          <c:overlay val="0"/>
        </c:title>
        <c:numFmt formatCode="General" sourceLinked="1"/>
        <c:majorTickMark val="out"/>
        <c:minorTickMark val="none"/>
        <c:tickLblPos val="nextTo"/>
        <c:txPr>
          <a:bodyPr/>
          <a:lstStyle/>
          <a:p>
            <a:pPr>
              <a:defRPr lang="es-MX"/>
            </a:pPr>
            <a:endParaRPr lang="es-ES"/>
          </a:p>
        </c:txPr>
        <c:crossAx val="90437120"/>
        <c:crosses val="autoZero"/>
        <c:crossBetween val="between"/>
      </c:valAx>
    </c:plotArea>
    <c:legend>
      <c:legendPos val="b"/>
      <c:overlay val="0"/>
      <c:txPr>
        <a:bodyPr/>
        <a:lstStyle/>
        <a:p>
          <a:pPr>
            <a:defRPr lang="es-MX" sz="800"/>
          </a:pPr>
          <a:endParaRPr lang="es-E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a:pPr>
            <a:r>
              <a:rPr lang="en-US" sz="1200"/>
              <a:t>Granos por mazorca. Maíz</a:t>
            </a:r>
          </a:p>
        </c:rich>
      </c:tx>
      <c:overlay val="0"/>
    </c:title>
    <c:autoTitleDeleted val="0"/>
    <c:plotArea>
      <c:layout/>
      <c:barChart>
        <c:barDir val="col"/>
        <c:grouping val="clustered"/>
        <c:varyColors val="0"/>
        <c:ser>
          <c:idx val="0"/>
          <c:order val="0"/>
          <c:tx>
            <c:strRef>
              <c:f>Hoja2!$B$70</c:f>
              <c:strCache>
                <c:ptCount val="1"/>
                <c:pt idx="0">
                  <c:v>Estimado</c:v>
                </c:pt>
              </c:strCache>
            </c:strRef>
          </c:tx>
          <c:invertIfNegative val="0"/>
          <c:cat>
            <c:strRef>
              <c:f>Hoja2!$A$71:$A$74</c:f>
              <c:strCache>
                <c:ptCount val="4"/>
                <c:pt idx="0">
                  <c:v>nov.</c:v>
                </c:pt>
                <c:pt idx="1">
                  <c:v>jun.</c:v>
                </c:pt>
                <c:pt idx="2">
                  <c:v>jul.</c:v>
                </c:pt>
                <c:pt idx="3">
                  <c:v>dic.</c:v>
                </c:pt>
              </c:strCache>
            </c:strRef>
          </c:cat>
          <c:val>
            <c:numRef>
              <c:f>Hoja2!$B$71:$B$74</c:f>
              <c:numCache>
                <c:formatCode>General</c:formatCode>
                <c:ptCount val="4"/>
                <c:pt idx="0">
                  <c:v>444</c:v>
                </c:pt>
                <c:pt idx="1">
                  <c:v>491</c:v>
                </c:pt>
                <c:pt idx="2">
                  <c:v>354</c:v>
                </c:pt>
                <c:pt idx="3">
                  <c:v>405</c:v>
                </c:pt>
              </c:numCache>
            </c:numRef>
          </c:val>
        </c:ser>
        <c:ser>
          <c:idx val="1"/>
          <c:order val="1"/>
          <c:tx>
            <c:strRef>
              <c:f>Hoja2!$C$70</c:f>
              <c:strCache>
                <c:ptCount val="1"/>
                <c:pt idx="0">
                  <c:v>Medido</c:v>
                </c:pt>
              </c:strCache>
            </c:strRef>
          </c:tx>
          <c:invertIfNegative val="0"/>
          <c:cat>
            <c:strRef>
              <c:f>Hoja2!$A$71:$A$74</c:f>
              <c:strCache>
                <c:ptCount val="4"/>
                <c:pt idx="0">
                  <c:v>nov.</c:v>
                </c:pt>
                <c:pt idx="1">
                  <c:v>jun.</c:v>
                </c:pt>
                <c:pt idx="2">
                  <c:v>jul.</c:v>
                </c:pt>
                <c:pt idx="3">
                  <c:v>dic.</c:v>
                </c:pt>
              </c:strCache>
            </c:strRef>
          </c:cat>
          <c:val>
            <c:numRef>
              <c:f>Hoja2!$C$71:$C$74</c:f>
              <c:numCache>
                <c:formatCode>General</c:formatCode>
                <c:ptCount val="4"/>
                <c:pt idx="0">
                  <c:v>445</c:v>
                </c:pt>
                <c:pt idx="1">
                  <c:v>490</c:v>
                </c:pt>
                <c:pt idx="2">
                  <c:v>354</c:v>
                </c:pt>
                <c:pt idx="3">
                  <c:v>405</c:v>
                </c:pt>
              </c:numCache>
            </c:numRef>
          </c:val>
        </c:ser>
        <c:dLbls>
          <c:showLegendKey val="0"/>
          <c:showVal val="0"/>
          <c:showCatName val="0"/>
          <c:showSerName val="0"/>
          <c:showPercent val="0"/>
          <c:showBubbleSize val="0"/>
        </c:dLbls>
        <c:gapWidth val="150"/>
        <c:axId val="90968832"/>
        <c:axId val="90970752"/>
      </c:barChart>
      <c:catAx>
        <c:axId val="90968832"/>
        <c:scaling>
          <c:orientation val="minMax"/>
        </c:scaling>
        <c:delete val="0"/>
        <c:axPos val="b"/>
        <c:title>
          <c:tx>
            <c:rich>
              <a:bodyPr/>
              <a:lstStyle/>
              <a:p>
                <a:pPr>
                  <a:defRPr lang="es-MX"/>
                </a:pPr>
                <a:r>
                  <a:rPr lang="en-US"/>
                  <a:t>fechas de siembra</a:t>
                </a:r>
              </a:p>
            </c:rich>
          </c:tx>
          <c:layout>
            <c:manualLayout>
              <c:xMode val="edge"/>
              <c:yMode val="edge"/>
              <c:x val="0.7596122047244096"/>
              <c:y val="0.77181503353747505"/>
            </c:manualLayout>
          </c:layout>
          <c:overlay val="0"/>
        </c:title>
        <c:majorTickMark val="out"/>
        <c:minorTickMark val="none"/>
        <c:tickLblPos val="nextTo"/>
        <c:txPr>
          <a:bodyPr/>
          <a:lstStyle/>
          <a:p>
            <a:pPr>
              <a:defRPr lang="es-MX"/>
            </a:pPr>
            <a:endParaRPr lang="es-ES"/>
          </a:p>
        </c:txPr>
        <c:crossAx val="90970752"/>
        <c:crosses val="autoZero"/>
        <c:auto val="1"/>
        <c:lblAlgn val="ctr"/>
        <c:lblOffset val="100"/>
        <c:noMultiLvlLbl val="0"/>
      </c:catAx>
      <c:valAx>
        <c:axId val="90970752"/>
        <c:scaling>
          <c:orientation val="minMax"/>
          <c:min val="200"/>
        </c:scaling>
        <c:delete val="0"/>
        <c:axPos val="l"/>
        <c:numFmt formatCode="General" sourceLinked="1"/>
        <c:majorTickMark val="out"/>
        <c:minorTickMark val="none"/>
        <c:tickLblPos val="nextTo"/>
        <c:txPr>
          <a:bodyPr/>
          <a:lstStyle/>
          <a:p>
            <a:pPr>
              <a:defRPr lang="es-MX"/>
            </a:pPr>
            <a:endParaRPr lang="es-ES"/>
          </a:p>
        </c:txPr>
        <c:crossAx val="90968832"/>
        <c:crosses val="autoZero"/>
        <c:crossBetween val="between"/>
      </c:valAx>
    </c:plotArea>
    <c:legend>
      <c:legendPos val="b"/>
      <c:overlay val="0"/>
      <c:txPr>
        <a:bodyPr/>
        <a:lstStyle/>
        <a:p>
          <a:pPr>
            <a:defRPr lang="es-MX" sz="800"/>
          </a:pPr>
          <a:endParaRPr lang="es-E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a:pPr>
            <a:r>
              <a:rPr lang="en-US" sz="1200"/>
              <a:t>IAF máximo</a:t>
            </a:r>
          </a:p>
        </c:rich>
      </c:tx>
      <c:overlay val="0"/>
    </c:title>
    <c:autoTitleDeleted val="0"/>
    <c:plotArea>
      <c:layout/>
      <c:barChart>
        <c:barDir val="col"/>
        <c:grouping val="clustered"/>
        <c:varyColors val="0"/>
        <c:ser>
          <c:idx val="0"/>
          <c:order val="0"/>
          <c:tx>
            <c:strRef>
              <c:f>Hoja2!$B$87</c:f>
              <c:strCache>
                <c:ptCount val="1"/>
                <c:pt idx="0">
                  <c:v>Estimado</c:v>
                </c:pt>
              </c:strCache>
            </c:strRef>
          </c:tx>
          <c:invertIfNegative val="0"/>
          <c:cat>
            <c:strRef>
              <c:f>Hoja2!$A$88:$A$91</c:f>
              <c:strCache>
                <c:ptCount val="4"/>
                <c:pt idx="0">
                  <c:v>nov.</c:v>
                </c:pt>
                <c:pt idx="1">
                  <c:v>jun.</c:v>
                </c:pt>
                <c:pt idx="2">
                  <c:v>jul.</c:v>
                </c:pt>
                <c:pt idx="3">
                  <c:v>dic.</c:v>
                </c:pt>
              </c:strCache>
            </c:strRef>
          </c:cat>
          <c:val>
            <c:numRef>
              <c:f>Hoja2!$B$88:$B$91</c:f>
              <c:numCache>
                <c:formatCode>General</c:formatCode>
                <c:ptCount val="4"/>
                <c:pt idx="0">
                  <c:v>2.25</c:v>
                </c:pt>
                <c:pt idx="1">
                  <c:v>2.48</c:v>
                </c:pt>
                <c:pt idx="2">
                  <c:v>3.06</c:v>
                </c:pt>
                <c:pt idx="3">
                  <c:v>2.2200000000000002</c:v>
                </c:pt>
              </c:numCache>
            </c:numRef>
          </c:val>
        </c:ser>
        <c:ser>
          <c:idx val="1"/>
          <c:order val="1"/>
          <c:tx>
            <c:strRef>
              <c:f>Hoja2!$C$87</c:f>
              <c:strCache>
                <c:ptCount val="1"/>
                <c:pt idx="0">
                  <c:v>Medido</c:v>
                </c:pt>
              </c:strCache>
            </c:strRef>
          </c:tx>
          <c:invertIfNegative val="0"/>
          <c:cat>
            <c:strRef>
              <c:f>Hoja2!$A$88:$A$91</c:f>
              <c:strCache>
                <c:ptCount val="4"/>
                <c:pt idx="0">
                  <c:v>nov.</c:v>
                </c:pt>
                <c:pt idx="1">
                  <c:v>jun.</c:v>
                </c:pt>
                <c:pt idx="2">
                  <c:v>jul.</c:v>
                </c:pt>
                <c:pt idx="3">
                  <c:v>dic.</c:v>
                </c:pt>
              </c:strCache>
            </c:strRef>
          </c:cat>
          <c:val>
            <c:numRef>
              <c:f>Hoja2!$C$88:$C$91</c:f>
              <c:numCache>
                <c:formatCode>General</c:formatCode>
                <c:ptCount val="4"/>
                <c:pt idx="0">
                  <c:v>2.73</c:v>
                </c:pt>
                <c:pt idx="1">
                  <c:v>8.2000000000000011</c:v>
                </c:pt>
                <c:pt idx="2">
                  <c:v>7.04</c:v>
                </c:pt>
                <c:pt idx="3">
                  <c:v>6.7</c:v>
                </c:pt>
              </c:numCache>
            </c:numRef>
          </c:val>
        </c:ser>
        <c:dLbls>
          <c:showLegendKey val="0"/>
          <c:showVal val="0"/>
          <c:showCatName val="0"/>
          <c:showSerName val="0"/>
          <c:showPercent val="0"/>
          <c:showBubbleSize val="0"/>
        </c:dLbls>
        <c:gapWidth val="150"/>
        <c:axId val="92380544"/>
        <c:axId val="92390912"/>
      </c:barChart>
      <c:catAx>
        <c:axId val="92380544"/>
        <c:scaling>
          <c:orientation val="minMax"/>
        </c:scaling>
        <c:delete val="0"/>
        <c:axPos val="b"/>
        <c:title>
          <c:tx>
            <c:rich>
              <a:bodyPr/>
              <a:lstStyle/>
              <a:p>
                <a:pPr>
                  <a:defRPr lang="es-MX"/>
                </a:pPr>
                <a:r>
                  <a:rPr lang="en-US"/>
                  <a:t>fechas de siembra</a:t>
                </a:r>
              </a:p>
            </c:rich>
          </c:tx>
          <c:layout>
            <c:manualLayout>
              <c:xMode val="edge"/>
              <c:yMode val="edge"/>
              <c:x val="0.71645953630796144"/>
              <c:y val="0.76255577427821541"/>
            </c:manualLayout>
          </c:layout>
          <c:overlay val="0"/>
        </c:title>
        <c:majorTickMark val="out"/>
        <c:minorTickMark val="none"/>
        <c:tickLblPos val="nextTo"/>
        <c:txPr>
          <a:bodyPr/>
          <a:lstStyle/>
          <a:p>
            <a:pPr>
              <a:defRPr lang="es-MX"/>
            </a:pPr>
            <a:endParaRPr lang="es-ES"/>
          </a:p>
        </c:txPr>
        <c:crossAx val="92390912"/>
        <c:crosses val="autoZero"/>
        <c:auto val="1"/>
        <c:lblAlgn val="ctr"/>
        <c:lblOffset val="100"/>
        <c:noMultiLvlLbl val="0"/>
      </c:catAx>
      <c:valAx>
        <c:axId val="92390912"/>
        <c:scaling>
          <c:orientation val="minMax"/>
        </c:scaling>
        <c:delete val="0"/>
        <c:axPos val="l"/>
        <c:numFmt formatCode="General" sourceLinked="1"/>
        <c:majorTickMark val="out"/>
        <c:minorTickMark val="none"/>
        <c:tickLblPos val="nextTo"/>
        <c:txPr>
          <a:bodyPr/>
          <a:lstStyle/>
          <a:p>
            <a:pPr>
              <a:defRPr lang="es-MX"/>
            </a:pPr>
            <a:endParaRPr lang="es-ES"/>
          </a:p>
        </c:txPr>
        <c:crossAx val="92380544"/>
        <c:crosses val="autoZero"/>
        <c:crossBetween val="between"/>
      </c:valAx>
    </c:plotArea>
    <c:legend>
      <c:legendPos val="b"/>
      <c:overlay val="0"/>
      <c:txPr>
        <a:bodyPr/>
        <a:lstStyle/>
        <a:p>
          <a:pPr>
            <a:defRPr lang="es-MX" sz="800"/>
          </a:pPr>
          <a:endParaRPr lang="es-E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a:pPr>
            <a:r>
              <a:rPr lang="en-US" sz="1200"/>
              <a:t>Biomasa a la antésis</a:t>
            </a:r>
          </a:p>
        </c:rich>
      </c:tx>
      <c:overlay val="0"/>
    </c:title>
    <c:autoTitleDeleted val="0"/>
    <c:plotArea>
      <c:layout>
        <c:manualLayout>
          <c:layoutTarget val="inner"/>
          <c:xMode val="edge"/>
          <c:yMode val="edge"/>
          <c:x val="0.22098862642169725"/>
          <c:y val="0.21038779527559054"/>
          <c:w val="0.66790026246719214"/>
          <c:h val="0.43791417322834669"/>
        </c:manualLayout>
      </c:layout>
      <c:barChart>
        <c:barDir val="col"/>
        <c:grouping val="clustered"/>
        <c:varyColors val="0"/>
        <c:ser>
          <c:idx val="0"/>
          <c:order val="0"/>
          <c:tx>
            <c:strRef>
              <c:f>Hoja2!$B$103</c:f>
              <c:strCache>
                <c:ptCount val="1"/>
                <c:pt idx="0">
                  <c:v>Estimado</c:v>
                </c:pt>
              </c:strCache>
            </c:strRef>
          </c:tx>
          <c:invertIfNegative val="0"/>
          <c:cat>
            <c:strRef>
              <c:f>Hoja2!$A$104:$A$107</c:f>
              <c:strCache>
                <c:ptCount val="4"/>
                <c:pt idx="0">
                  <c:v>nov.</c:v>
                </c:pt>
                <c:pt idx="1">
                  <c:v>jun.</c:v>
                </c:pt>
                <c:pt idx="2">
                  <c:v>jul.</c:v>
                </c:pt>
                <c:pt idx="3">
                  <c:v>dic.</c:v>
                </c:pt>
              </c:strCache>
            </c:strRef>
          </c:cat>
          <c:val>
            <c:numRef>
              <c:f>Hoja2!$B$104:$B$107</c:f>
              <c:numCache>
                <c:formatCode>General</c:formatCode>
                <c:ptCount val="4"/>
                <c:pt idx="0">
                  <c:v>4268</c:v>
                </c:pt>
                <c:pt idx="1">
                  <c:v>4721</c:v>
                </c:pt>
                <c:pt idx="2">
                  <c:v>5478</c:v>
                </c:pt>
                <c:pt idx="3">
                  <c:v>4240</c:v>
                </c:pt>
              </c:numCache>
            </c:numRef>
          </c:val>
        </c:ser>
        <c:ser>
          <c:idx val="1"/>
          <c:order val="1"/>
          <c:tx>
            <c:strRef>
              <c:f>Hoja2!$C$103</c:f>
              <c:strCache>
                <c:ptCount val="1"/>
                <c:pt idx="0">
                  <c:v>Medido</c:v>
                </c:pt>
              </c:strCache>
            </c:strRef>
          </c:tx>
          <c:invertIfNegative val="0"/>
          <c:cat>
            <c:strRef>
              <c:f>Hoja2!$A$104:$A$107</c:f>
              <c:strCache>
                <c:ptCount val="4"/>
                <c:pt idx="0">
                  <c:v>nov.</c:v>
                </c:pt>
                <c:pt idx="1">
                  <c:v>jun.</c:v>
                </c:pt>
                <c:pt idx="2">
                  <c:v>jul.</c:v>
                </c:pt>
                <c:pt idx="3">
                  <c:v>dic.</c:v>
                </c:pt>
              </c:strCache>
            </c:strRef>
          </c:cat>
          <c:val>
            <c:numRef>
              <c:f>Hoja2!$C$104:$C$107</c:f>
              <c:numCache>
                <c:formatCode>General</c:formatCode>
                <c:ptCount val="4"/>
                <c:pt idx="0">
                  <c:v>4608</c:v>
                </c:pt>
                <c:pt idx="1">
                  <c:v>4824</c:v>
                </c:pt>
                <c:pt idx="2">
                  <c:v>2891</c:v>
                </c:pt>
                <c:pt idx="3">
                  <c:v>7056</c:v>
                </c:pt>
              </c:numCache>
            </c:numRef>
          </c:val>
        </c:ser>
        <c:dLbls>
          <c:showLegendKey val="0"/>
          <c:showVal val="0"/>
          <c:showCatName val="0"/>
          <c:showSerName val="0"/>
          <c:showPercent val="0"/>
          <c:showBubbleSize val="0"/>
        </c:dLbls>
        <c:gapWidth val="150"/>
        <c:axId val="92457216"/>
        <c:axId val="92459392"/>
      </c:barChart>
      <c:catAx>
        <c:axId val="92457216"/>
        <c:scaling>
          <c:orientation val="minMax"/>
        </c:scaling>
        <c:delete val="0"/>
        <c:axPos val="b"/>
        <c:title>
          <c:tx>
            <c:rich>
              <a:bodyPr/>
              <a:lstStyle/>
              <a:p>
                <a:pPr>
                  <a:defRPr lang="es-MX"/>
                </a:pPr>
                <a:r>
                  <a:rPr lang="en-US"/>
                  <a:t>fechas de siembra</a:t>
                </a:r>
              </a:p>
            </c:rich>
          </c:tx>
          <c:layout>
            <c:manualLayout>
              <c:xMode val="edge"/>
              <c:yMode val="edge"/>
              <c:x val="0.73887620297462853"/>
              <c:y val="0.76718540390784484"/>
            </c:manualLayout>
          </c:layout>
          <c:overlay val="0"/>
        </c:title>
        <c:majorTickMark val="out"/>
        <c:minorTickMark val="none"/>
        <c:tickLblPos val="nextTo"/>
        <c:txPr>
          <a:bodyPr/>
          <a:lstStyle/>
          <a:p>
            <a:pPr>
              <a:defRPr lang="es-MX"/>
            </a:pPr>
            <a:endParaRPr lang="es-ES"/>
          </a:p>
        </c:txPr>
        <c:crossAx val="92459392"/>
        <c:crosses val="autoZero"/>
        <c:auto val="1"/>
        <c:lblAlgn val="ctr"/>
        <c:lblOffset val="100"/>
        <c:noMultiLvlLbl val="0"/>
      </c:catAx>
      <c:valAx>
        <c:axId val="92459392"/>
        <c:scaling>
          <c:orientation val="minMax"/>
          <c:min val="2000"/>
        </c:scaling>
        <c:delete val="0"/>
        <c:axPos val="l"/>
        <c:title>
          <c:tx>
            <c:rich>
              <a:bodyPr rot="0" vert="horz"/>
              <a:lstStyle/>
              <a:p>
                <a:pPr>
                  <a:defRPr lang="es-MX" sz="800"/>
                </a:pPr>
                <a:r>
                  <a:rPr lang="en-US" sz="800"/>
                  <a:t>Kg.ha</a:t>
                </a:r>
                <a:r>
                  <a:rPr lang="en-US" sz="800" baseline="30000"/>
                  <a:t>-1</a:t>
                </a:r>
              </a:p>
            </c:rich>
          </c:tx>
          <c:layout>
            <c:manualLayout>
              <c:xMode val="edge"/>
              <c:yMode val="edge"/>
              <c:x val="1.9444444444444445E-2"/>
              <c:y val="7.9937299504228648E-2"/>
            </c:manualLayout>
          </c:layout>
          <c:overlay val="0"/>
        </c:title>
        <c:numFmt formatCode="General" sourceLinked="1"/>
        <c:majorTickMark val="out"/>
        <c:minorTickMark val="none"/>
        <c:tickLblPos val="nextTo"/>
        <c:txPr>
          <a:bodyPr/>
          <a:lstStyle/>
          <a:p>
            <a:pPr>
              <a:defRPr lang="es-MX"/>
            </a:pPr>
            <a:endParaRPr lang="es-ES"/>
          </a:p>
        </c:txPr>
        <c:crossAx val="92457216"/>
        <c:crosses val="autoZero"/>
        <c:crossBetween val="between"/>
      </c:valAx>
    </c:plotArea>
    <c:legend>
      <c:legendPos val="b"/>
      <c:overlay val="0"/>
      <c:txPr>
        <a:bodyPr/>
        <a:lstStyle/>
        <a:p>
          <a:pPr>
            <a:defRPr lang="es-MX" sz="800"/>
          </a:pPr>
          <a:endParaRPr lang="es-E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a:pPr>
            <a:r>
              <a:rPr lang="en-US" sz="1200"/>
              <a:t>Biomasa a madurez Fisiológica</a:t>
            </a:r>
          </a:p>
        </c:rich>
      </c:tx>
      <c:overlay val="0"/>
    </c:title>
    <c:autoTitleDeleted val="0"/>
    <c:plotArea>
      <c:layout>
        <c:manualLayout>
          <c:layoutTarget val="inner"/>
          <c:xMode val="edge"/>
          <c:yMode val="edge"/>
          <c:x val="0.2650726416364903"/>
          <c:y val="0.18983831632192225"/>
          <c:w val="0.68204606801890066"/>
          <c:h val="0.43912151438120195"/>
        </c:manualLayout>
      </c:layout>
      <c:barChart>
        <c:barDir val="col"/>
        <c:grouping val="clustered"/>
        <c:varyColors val="0"/>
        <c:ser>
          <c:idx val="0"/>
          <c:order val="0"/>
          <c:tx>
            <c:strRef>
              <c:f>Hoja2!$B$119</c:f>
              <c:strCache>
                <c:ptCount val="1"/>
                <c:pt idx="0">
                  <c:v>Estimado</c:v>
                </c:pt>
              </c:strCache>
            </c:strRef>
          </c:tx>
          <c:invertIfNegative val="0"/>
          <c:cat>
            <c:strRef>
              <c:f>Hoja2!$A$120:$A$123</c:f>
              <c:strCache>
                <c:ptCount val="4"/>
                <c:pt idx="0">
                  <c:v>nov.</c:v>
                </c:pt>
                <c:pt idx="1">
                  <c:v>jun.</c:v>
                </c:pt>
                <c:pt idx="2">
                  <c:v>jul.</c:v>
                </c:pt>
                <c:pt idx="3">
                  <c:v>dic.</c:v>
                </c:pt>
              </c:strCache>
            </c:strRef>
          </c:cat>
          <c:val>
            <c:numRef>
              <c:f>Hoja2!$B$120:$B$123</c:f>
              <c:numCache>
                <c:formatCode>General</c:formatCode>
                <c:ptCount val="4"/>
                <c:pt idx="0">
                  <c:v>12695</c:v>
                </c:pt>
                <c:pt idx="1">
                  <c:v>13627</c:v>
                </c:pt>
                <c:pt idx="2">
                  <c:v>12603</c:v>
                </c:pt>
                <c:pt idx="3">
                  <c:v>12205</c:v>
                </c:pt>
              </c:numCache>
            </c:numRef>
          </c:val>
        </c:ser>
        <c:ser>
          <c:idx val="1"/>
          <c:order val="1"/>
          <c:tx>
            <c:strRef>
              <c:f>Hoja2!$C$119</c:f>
              <c:strCache>
                <c:ptCount val="1"/>
                <c:pt idx="0">
                  <c:v>Medido</c:v>
                </c:pt>
              </c:strCache>
            </c:strRef>
          </c:tx>
          <c:invertIfNegative val="0"/>
          <c:cat>
            <c:strRef>
              <c:f>Hoja2!$A$120:$A$123</c:f>
              <c:strCache>
                <c:ptCount val="4"/>
                <c:pt idx="0">
                  <c:v>nov.</c:v>
                </c:pt>
                <c:pt idx="1">
                  <c:v>jun.</c:v>
                </c:pt>
                <c:pt idx="2">
                  <c:v>jul.</c:v>
                </c:pt>
                <c:pt idx="3">
                  <c:v>dic.</c:v>
                </c:pt>
              </c:strCache>
            </c:strRef>
          </c:cat>
          <c:val>
            <c:numRef>
              <c:f>Hoja2!$C$120:$C$123</c:f>
              <c:numCache>
                <c:formatCode>General</c:formatCode>
                <c:ptCount val="4"/>
                <c:pt idx="0">
                  <c:v>13011</c:v>
                </c:pt>
                <c:pt idx="1">
                  <c:v>18026</c:v>
                </c:pt>
                <c:pt idx="2">
                  <c:v>12843</c:v>
                </c:pt>
                <c:pt idx="3">
                  <c:v>14236</c:v>
                </c:pt>
              </c:numCache>
            </c:numRef>
          </c:val>
        </c:ser>
        <c:dLbls>
          <c:showLegendKey val="0"/>
          <c:showVal val="0"/>
          <c:showCatName val="0"/>
          <c:showSerName val="0"/>
          <c:showPercent val="0"/>
          <c:showBubbleSize val="0"/>
        </c:dLbls>
        <c:gapWidth val="150"/>
        <c:axId val="93668864"/>
        <c:axId val="93670784"/>
      </c:barChart>
      <c:catAx>
        <c:axId val="93668864"/>
        <c:scaling>
          <c:orientation val="minMax"/>
        </c:scaling>
        <c:delete val="0"/>
        <c:axPos val="b"/>
        <c:title>
          <c:tx>
            <c:rich>
              <a:bodyPr/>
              <a:lstStyle/>
              <a:p>
                <a:pPr>
                  <a:defRPr lang="es-MX"/>
                </a:pPr>
                <a:r>
                  <a:rPr lang="en-US"/>
                  <a:t>fechas de siembra</a:t>
                </a:r>
              </a:p>
            </c:rich>
          </c:tx>
          <c:layout>
            <c:manualLayout>
              <c:xMode val="edge"/>
              <c:yMode val="edge"/>
              <c:x val="0.77369553805774305"/>
              <c:y val="0.76718540390784484"/>
            </c:manualLayout>
          </c:layout>
          <c:overlay val="0"/>
        </c:title>
        <c:majorTickMark val="out"/>
        <c:minorTickMark val="none"/>
        <c:tickLblPos val="nextTo"/>
        <c:txPr>
          <a:bodyPr/>
          <a:lstStyle/>
          <a:p>
            <a:pPr>
              <a:defRPr lang="es-MX"/>
            </a:pPr>
            <a:endParaRPr lang="es-ES"/>
          </a:p>
        </c:txPr>
        <c:crossAx val="93670784"/>
        <c:crosses val="autoZero"/>
        <c:auto val="1"/>
        <c:lblAlgn val="ctr"/>
        <c:lblOffset val="100"/>
        <c:noMultiLvlLbl val="0"/>
      </c:catAx>
      <c:valAx>
        <c:axId val="93670784"/>
        <c:scaling>
          <c:orientation val="minMax"/>
          <c:min val="6000"/>
        </c:scaling>
        <c:delete val="0"/>
        <c:axPos val="l"/>
        <c:title>
          <c:tx>
            <c:rich>
              <a:bodyPr rot="0" vert="horz"/>
              <a:lstStyle/>
              <a:p>
                <a:pPr>
                  <a:defRPr lang="es-MX" sz="800"/>
                </a:pPr>
                <a:r>
                  <a:rPr lang="en-US" sz="800"/>
                  <a:t>Kg.ha</a:t>
                </a:r>
                <a:r>
                  <a:rPr lang="en-US" sz="800" baseline="30000"/>
                  <a:t>-1</a:t>
                </a:r>
              </a:p>
            </c:rich>
          </c:tx>
          <c:layout>
            <c:manualLayout>
              <c:xMode val="edge"/>
              <c:yMode val="edge"/>
              <c:x val="1.3888888888888897E-2"/>
              <c:y val="0.10771507728200644"/>
            </c:manualLayout>
          </c:layout>
          <c:overlay val="0"/>
        </c:title>
        <c:numFmt formatCode="General" sourceLinked="1"/>
        <c:majorTickMark val="out"/>
        <c:minorTickMark val="none"/>
        <c:tickLblPos val="nextTo"/>
        <c:txPr>
          <a:bodyPr/>
          <a:lstStyle/>
          <a:p>
            <a:pPr>
              <a:defRPr lang="es-MX"/>
            </a:pPr>
            <a:endParaRPr lang="es-ES"/>
          </a:p>
        </c:txPr>
        <c:crossAx val="93668864"/>
        <c:crosses val="autoZero"/>
        <c:crossBetween val="between"/>
      </c:valAx>
    </c:plotArea>
    <c:legend>
      <c:legendPos val="b"/>
      <c:overlay val="0"/>
      <c:txPr>
        <a:bodyPr/>
        <a:lstStyle/>
        <a:p>
          <a:pPr>
            <a:defRPr lang="es-MX" sz="800"/>
          </a:pPr>
          <a:endParaRPr lang="es-E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a:pPr>
            <a:r>
              <a:rPr lang="en-US" sz="1200"/>
              <a:t>Índice de cosecha</a:t>
            </a:r>
          </a:p>
        </c:rich>
      </c:tx>
      <c:overlay val="0"/>
    </c:title>
    <c:autoTitleDeleted val="0"/>
    <c:plotArea>
      <c:layout/>
      <c:barChart>
        <c:barDir val="col"/>
        <c:grouping val="clustered"/>
        <c:varyColors val="0"/>
        <c:ser>
          <c:idx val="0"/>
          <c:order val="0"/>
          <c:tx>
            <c:strRef>
              <c:f>Hoja2!$B$135</c:f>
              <c:strCache>
                <c:ptCount val="1"/>
                <c:pt idx="0">
                  <c:v>Estimado</c:v>
                </c:pt>
              </c:strCache>
            </c:strRef>
          </c:tx>
          <c:invertIfNegative val="0"/>
          <c:cat>
            <c:strRef>
              <c:f>Hoja2!$A$136:$A$139</c:f>
              <c:strCache>
                <c:ptCount val="4"/>
                <c:pt idx="0">
                  <c:v>nov.</c:v>
                </c:pt>
                <c:pt idx="1">
                  <c:v>jun.</c:v>
                </c:pt>
                <c:pt idx="2">
                  <c:v>jul.</c:v>
                </c:pt>
                <c:pt idx="3">
                  <c:v>dic.</c:v>
                </c:pt>
              </c:strCache>
            </c:strRef>
          </c:cat>
          <c:val>
            <c:numRef>
              <c:f>Hoja2!$B$136:$B$139</c:f>
              <c:numCache>
                <c:formatCode>General</c:formatCode>
                <c:ptCount val="4"/>
                <c:pt idx="0">
                  <c:v>0.51900000000000002</c:v>
                </c:pt>
                <c:pt idx="1">
                  <c:v>0.53300000000000003</c:v>
                </c:pt>
                <c:pt idx="2">
                  <c:v>0.42700000000000016</c:v>
                </c:pt>
                <c:pt idx="3">
                  <c:v>0.49300000000000016</c:v>
                </c:pt>
              </c:numCache>
            </c:numRef>
          </c:val>
        </c:ser>
        <c:ser>
          <c:idx val="1"/>
          <c:order val="1"/>
          <c:tx>
            <c:strRef>
              <c:f>Hoja2!$C$135</c:f>
              <c:strCache>
                <c:ptCount val="1"/>
                <c:pt idx="0">
                  <c:v>Medido</c:v>
                </c:pt>
              </c:strCache>
            </c:strRef>
          </c:tx>
          <c:invertIfNegative val="0"/>
          <c:cat>
            <c:strRef>
              <c:f>Hoja2!$A$136:$A$139</c:f>
              <c:strCache>
                <c:ptCount val="4"/>
                <c:pt idx="0">
                  <c:v>nov.</c:v>
                </c:pt>
                <c:pt idx="1">
                  <c:v>jun.</c:v>
                </c:pt>
                <c:pt idx="2">
                  <c:v>jul.</c:v>
                </c:pt>
                <c:pt idx="3">
                  <c:v>dic.</c:v>
                </c:pt>
              </c:strCache>
            </c:strRef>
          </c:cat>
          <c:val>
            <c:numRef>
              <c:f>Hoja2!$C$136:$C$139</c:f>
              <c:numCache>
                <c:formatCode>General</c:formatCode>
                <c:ptCount val="4"/>
                <c:pt idx="0">
                  <c:v>0.51</c:v>
                </c:pt>
                <c:pt idx="1">
                  <c:v>0.4</c:v>
                </c:pt>
                <c:pt idx="2">
                  <c:v>0.41000000000000009</c:v>
                </c:pt>
                <c:pt idx="3">
                  <c:v>0.4200000000000001</c:v>
                </c:pt>
              </c:numCache>
            </c:numRef>
          </c:val>
        </c:ser>
        <c:dLbls>
          <c:showLegendKey val="0"/>
          <c:showVal val="0"/>
          <c:showCatName val="0"/>
          <c:showSerName val="0"/>
          <c:showPercent val="0"/>
          <c:showBubbleSize val="0"/>
        </c:dLbls>
        <c:gapWidth val="150"/>
        <c:axId val="93602560"/>
        <c:axId val="93604480"/>
      </c:barChart>
      <c:catAx>
        <c:axId val="93602560"/>
        <c:scaling>
          <c:orientation val="minMax"/>
        </c:scaling>
        <c:delete val="0"/>
        <c:axPos val="b"/>
        <c:title>
          <c:tx>
            <c:rich>
              <a:bodyPr/>
              <a:lstStyle/>
              <a:p>
                <a:pPr>
                  <a:defRPr lang="es-MX"/>
                </a:pPr>
                <a:r>
                  <a:rPr lang="en-US"/>
                  <a:t>fechas de siembra</a:t>
                </a:r>
              </a:p>
            </c:rich>
          </c:tx>
          <c:layout>
            <c:manualLayout>
              <c:xMode val="edge"/>
              <c:yMode val="edge"/>
              <c:x val="0.5527721896953649"/>
              <c:y val="0.72971179388549856"/>
            </c:manualLayout>
          </c:layout>
          <c:overlay val="0"/>
        </c:title>
        <c:majorTickMark val="out"/>
        <c:minorTickMark val="none"/>
        <c:tickLblPos val="nextTo"/>
        <c:txPr>
          <a:bodyPr/>
          <a:lstStyle/>
          <a:p>
            <a:pPr>
              <a:defRPr lang="es-MX"/>
            </a:pPr>
            <a:endParaRPr lang="es-ES"/>
          </a:p>
        </c:txPr>
        <c:crossAx val="93604480"/>
        <c:crosses val="autoZero"/>
        <c:auto val="1"/>
        <c:lblAlgn val="ctr"/>
        <c:lblOffset val="100"/>
        <c:noMultiLvlLbl val="0"/>
      </c:catAx>
      <c:valAx>
        <c:axId val="93604480"/>
        <c:scaling>
          <c:orientation val="minMax"/>
          <c:min val="0.2"/>
        </c:scaling>
        <c:delete val="0"/>
        <c:axPos val="l"/>
        <c:numFmt formatCode="General" sourceLinked="1"/>
        <c:majorTickMark val="out"/>
        <c:minorTickMark val="none"/>
        <c:tickLblPos val="nextTo"/>
        <c:txPr>
          <a:bodyPr/>
          <a:lstStyle/>
          <a:p>
            <a:pPr>
              <a:defRPr lang="es-MX"/>
            </a:pPr>
            <a:endParaRPr lang="es-ES"/>
          </a:p>
        </c:txPr>
        <c:crossAx val="93602560"/>
        <c:crosses val="autoZero"/>
        <c:crossBetween val="between"/>
      </c:valAx>
    </c:plotArea>
    <c:legend>
      <c:legendPos val="b"/>
      <c:overlay val="0"/>
      <c:txPr>
        <a:bodyPr/>
        <a:lstStyle/>
        <a:p>
          <a:pPr>
            <a:defRPr lang="es-MX" sz="800"/>
          </a:pPr>
          <a:endParaRPr lang="es-ES"/>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7E3D3-D441-4BAD-8FD8-AC71FF8C4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8</Pages>
  <Words>1446</Words>
  <Characters>7956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Luffi</cp:lastModifiedBy>
  <cp:revision>40</cp:revision>
  <dcterms:created xsi:type="dcterms:W3CDTF">2013-07-04T13:49:00Z</dcterms:created>
  <dcterms:modified xsi:type="dcterms:W3CDTF">2016-03-12T11:13:00Z</dcterms:modified>
</cp:coreProperties>
</file>